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152"/>
        <w:rPr>
          <w:sz w:val="20"/>
        </w:rPr>
      </w:pPr>
      <w:r>
        <w:rPr>
          <w:sz w:val="20"/>
        </w:rPr>
        <w:drawing>
          <wp:inline distT="0" distB="0" distL="0" distR="0">
            <wp:extent cx="1969769" cy="29546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69769" cy="295465"/>
                    </a:xfrm>
                    <a:prstGeom prst="rect">
                      <a:avLst/>
                    </a:prstGeom>
                  </pic:spPr>
                </pic:pic>
              </a:graphicData>
            </a:graphic>
          </wp:inline>
        </w:drawing>
      </w:r>
      <w:r>
        <w:rPr>
          <w:sz w:val="20"/>
        </w:rPr>
      </w:r>
    </w:p>
    <w:p>
      <w:pPr>
        <w:pStyle w:val="BodyText"/>
        <w:spacing w:before="3"/>
        <w:rPr>
          <w:sz w:val="13"/>
        </w:rPr>
      </w:pPr>
    </w:p>
    <w:p>
      <w:pPr>
        <w:spacing w:line="258" w:lineRule="exact" w:before="100"/>
        <w:ind w:left="94" w:right="95" w:firstLine="0"/>
        <w:jc w:val="center"/>
        <w:rPr>
          <w:rFonts w:ascii="Arial"/>
          <w:b/>
          <w:sz w:val="24"/>
        </w:rPr>
      </w:pPr>
      <w:bookmarkStart w:name="FIRST PAGE" w:id="1"/>
      <w:bookmarkEnd w:id="1"/>
      <w:r>
        <w:rPr/>
      </w:r>
      <w:bookmarkStart w:name="TO OUR SHAREHOLDERS" w:id="2"/>
      <w:bookmarkEnd w:id="2"/>
      <w:r>
        <w:rPr/>
      </w:r>
      <w:r>
        <w:rPr>
          <w:rFonts w:ascii="Arial"/>
          <w:b/>
          <w:color w:val="231F20"/>
          <w:sz w:val="24"/>
        </w:rPr>
        <w:t>SOUTHWEST AIRLINES CO.</w:t>
      </w:r>
    </w:p>
    <w:p>
      <w:pPr>
        <w:spacing w:line="258" w:lineRule="exact" w:before="0"/>
        <w:ind w:left="96" w:right="95" w:firstLine="0"/>
        <w:jc w:val="center"/>
        <w:rPr>
          <w:rFonts w:ascii="Arial"/>
          <w:b/>
          <w:sz w:val="24"/>
        </w:rPr>
      </w:pPr>
      <w:r>
        <w:rPr>
          <w:rFonts w:ascii="Arial"/>
          <w:b/>
          <w:color w:val="231F20"/>
          <w:sz w:val="24"/>
        </w:rPr>
        <w:t>2016 ANNUAL REPORT TO SHAREHOLDERS</w:t>
      </w:r>
    </w:p>
    <w:p>
      <w:pPr>
        <w:spacing w:before="243"/>
        <w:ind w:left="120" w:right="0" w:firstLine="0"/>
        <w:jc w:val="left"/>
        <w:rPr>
          <w:rFonts w:ascii="Arial"/>
          <w:sz w:val="23"/>
        </w:rPr>
      </w:pPr>
      <w:r>
        <w:rPr>
          <w:rFonts w:ascii="Arial"/>
          <w:color w:val="231F20"/>
          <w:sz w:val="23"/>
        </w:rPr>
        <w:t>To our Shareholders:</w:t>
      </w:r>
    </w:p>
    <w:p>
      <w:pPr>
        <w:pStyle w:val="BodyText"/>
        <w:spacing w:before="3"/>
        <w:rPr>
          <w:rFonts w:ascii="Arial"/>
          <w:sz w:val="21"/>
        </w:rPr>
      </w:pPr>
    </w:p>
    <w:p>
      <w:pPr>
        <w:spacing w:line="244" w:lineRule="auto" w:before="0"/>
        <w:ind w:left="120" w:right="258" w:firstLine="720"/>
        <w:jc w:val="left"/>
        <w:rPr>
          <w:rFonts w:ascii="Arial"/>
          <w:sz w:val="23"/>
        </w:rPr>
      </w:pPr>
      <w:r>
        <w:rPr>
          <w:rFonts w:ascii="Arial"/>
          <w:color w:val="231F20"/>
          <w:sz w:val="23"/>
        </w:rPr>
        <w:t>Following record years in 2014 and 2015, 2016 was another record year. It is remarkable that we were able to sustain, and in some cases, improve upon the dramatic results achieved in 2015. The foundation was laid with strategic initiatives that transformed Southwest during the five years ended 2014. Our results were further boosted by the significant reduction in energy prices, generally range-bound in the</w:t>
      </w:r>
    </w:p>
    <w:p>
      <w:pPr>
        <w:spacing w:line="244" w:lineRule="auto" w:before="0"/>
        <w:ind w:left="120" w:right="136" w:firstLine="0"/>
        <w:jc w:val="left"/>
        <w:rPr>
          <w:rFonts w:ascii="Arial"/>
          <w:sz w:val="23"/>
        </w:rPr>
      </w:pPr>
      <w:r>
        <w:rPr>
          <w:rFonts w:ascii="Arial"/>
          <w:color w:val="231F20"/>
          <w:sz w:val="23"/>
        </w:rPr>
        <w:t>$45-$55 a barrel range for Brent crude oil. The result was another year of record traffic, record load factors, record revenues, record profits, and a record year-end stock price (LUV). For the second year in a row, and for only the second time in our history, our annual pre-tax return on invested capital (ROIC)</w:t>
      </w:r>
      <w:r>
        <w:rPr>
          <w:rFonts w:ascii="Arial"/>
          <w:color w:val="231F20"/>
          <w:position w:val="6"/>
          <w:sz w:val="15"/>
        </w:rPr>
        <w:t>1 </w:t>
      </w:r>
      <w:r>
        <w:rPr>
          <w:rFonts w:ascii="Arial"/>
          <w:color w:val="231F20"/>
          <w:sz w:val="23"/>
        </w:rPr>
        <w:t>was 30 percent or better. It was our 44</w:t>
      </w:r>
      <w:r>
        <w:rPr>
          <w:rFonts w:ascii="Arial"/>
          <w:color w:val="231F20"/>
          <w:position w:val="6"/>
          <w:sz w:val="15"/>
        </w:rPr>
        <w:t>th </w:t>
      </w:r>
      <w:r>
        <w:rPr>
          <w:rFonts w:ascii="Arial"/>
          <w:color w:val="231F20"/>
          <w:sz w:val="23"/>
        </w:rPr>
        <w:t>consecutive year of profitability, a record unmatched in the domestic airline industry, and a continued display of our leadership in corporate America.</w:t>
      </w:r>
    </w:p>
    <w:p>
      <w:pPr>
        <w:pStyle w:val="BodyText"/>
        <w:spacing w:before="10"/>
        <w:rPr>
          <w:rFonts w:ascii="Arial"/>
          <w:sz w:val="20"/>
        </w:rPr>
      </w:pPr>
    </w:p>
    <w:p>
      <w:pPr>
        <w:spacing w:line="244" w:lineRule="auto" w:before="0"/>
        <w:ind w:left="119" w:right="334" w:firstLine="720"/>
        <w:jc w:val="left"/>
        <w:rPr>
          <w:rFonts w:ascii="Arial"/>
          <w:sz w:val="23"/>
        </w:rPr>
      </w:pPr>
      <w:r>
        <w:rPr>
          <w:rFonts w:ascii="Arial"/>
          <w:color w:val="231F20"/>
          <w:sz w:val="23"/>
        </w:rPr>
        <w:t>Our 2016 net income was a record $2.24 billion, or $3.55 per diluted share, 2.9 percent and 8.6 percent higher than 2015, respectively. Excluding special items</w:t>
      </w:r>
      <w:r>
        <w:rPr>
          <w:rFonts w:ascii="Arial"/>
          <w:color w:val="231F20"/>
          <w:position w:val="6"/>
          <w:sz w:val="15"/>
        </w:rPr>
        <w:t>1</w:t>
      </w:r>
      <w:r>
        <w:rPr>
          <w:rFonts w:ascii="Arial"/>
          <w:color w:val="231F20"/>
          <w:sz w:val="23"/>
        </w:rPr>
        <w:t>, our record 2016 earnings were $2.37 billion, or $3.75 per diluted share, 0.6 percent and 6.5 percent higher than a year ago, respectively.</w:t>
      </w:r>
    </w:p>
    <w:p>
      <w:pPr>
        <w:pStyle w:val="BodyText"/>
        <w:spacing w:before="10"/>
        <w:rPr>
          <w:rFonts w:ascii="Arial"/>
          <w:sz w:val="20"/>
        </w:rPr>
      </w:pPr>
    </w:p>
    <w:p>
      <w:pPr>
        <w:spacing w:line="244" w:lineRule="auto" w:before="0"/>
        <w:ind w:left="119" w:right="166" w:firstLine="720"/>
        <w:jc w:val="left"/>
        <w:rPr>
          <w:rFonts w:ascii="Arial" w:hAnsi="Arial"/>
          <w:sz w:val="23"/>
        </w:rPr>
      </w:pPr>
      <w:r>
        <w:rPr>
          <w:rFonts w:ascii="Arial" w:hAnsi="Arial"/>
          <w:color w:val="231F20"/>
          <w:sz w:val="23"/>
        </w:rPr>
        <w:t>Total operating revenues topped $20 billion for the first time, up 3.1 percent versus a year ago. On the heels of 2015’s healthy year-over-year available seat mile (capacity) growth of 7.2 percent, our 2016 year-over-year capacity growth slowed to 5.7 percent, as several of our strategic growth opportunities were realized (Dallas Love Field; Washington Reagan National; Houston Hobby International). Our goal was to grow revenues in line, or better, than capacity versus a year ago. Operating revenues per available seat mile fell slightly, by 1.6 percent, due to significant low fare competition and industry domestic capacity growth outpacing the sluggish economic growth. As a result, our average passenger fare fell 3.7 percent versus a year ago. Given that jet fuel prices fell further, year-over-year, the net profit result was still quite</w:t>
      </w:r>
      <w:r>
        <w:rPr>
          <w:rFonts w:ascii="Arial" w:hAnsi="Arial"/>
          <w:color w:val="231F20"/>
          <w:spacing w:val="1"/>
          <w:sz w:val="23"/>
        </w:rPr>
        <w:t> </w:t>
      </w:r>
      <w:r>
        <w:rPr>
          <w:rFonts w:ascii="Arial" w:hAnsi="Arial"/>
          <w:color w:val="231F20"/>
          <w:sz w:val="23"/>
        </w:rPr>
        <w:t>exceptional.</w:t>
      </w:r>
    </w:p>
    <w:p>
      <w:pPr>
        <w:pStyle w:val="BodyText"/>
        <w:spacing w:before="10"/>
        <w:rPr>
          <w:rFonts w:ascii="Arial"/>
          <w:sz w:val="20"/>
        </w:rPr>
      </w:pPr>
    </w:p>
    <w:p>
      <w:pPr>
        <w:spacing w:line="244" w:lineRule="auto" w:before="0"/>
        <w:ind w:left="119" w:right="165" w:firstLine="720"/>
        <w:jc w:val="left"/>
        <w:rPr>
          <w:rFonts w:ascii="Arial" w:hAnsi="Arial"/>
          <w:sz w:val="23"/>
        </w:rPr>
      </w:pPr>
      <w:r>
        <w:rPr>
          <w:rFonts w:ascii="Arial" w:hAnsi="Arial"/>
          <w:color w:val="231F20"/>
          <w:sz w:val="23"/>
        </w:rPr>
        <w:t>We were not planning to add any new cities in 2016; however, as I reported in last year’s Annual Report to Shareholders, slots became available in Long Beach, California, and flights resumed between the United States and Cuba. We reacted swiftly to these opportunities and launched service to Long Beach Airport; Varadero, Cuba; Havana,</w:t>
      </w:r>
    </w:p>
    <w:p>
      <w:pPr>
        <w:spacing w:line="244" w:lineRule="auto" w:before="0"/>
        <w:ind w:left="119" w:right="946" w:firstLine="0"/>
        <w:jc w:val="left"/>
        <w:rPr>
          <w:rFonts w:ascii="Arial"/>
          <w:sz w:val="23"/>
        </w:rPr>
      </w:pPr>
      <w:r>
        <w:rPr>
          <w:rFonts w:ascii="Arial"/>
          <w:color w:val="231F20"/>
          <w:sz w:val="23"/>
        </w:rPr>
        <w:t>Cuba (our 100</w:t>
      </w:r>
      <w:r>
        <w:rPr>
          <w:rFonts w:ascii="Arial"/>
          <w:color w:val="231F20"/>
          <w:position w:val="6"/>
          <w:sz w:val="15"/>
        </w:rPr>
        <w:t>th </w:t>
      </w:r>
      <w:r>
        <w:rPr>
          <w:rFonts w:ascii="Arial"/>
          <w:color w:val="231F20"/>
          <w:sz w:val="23"/>
        </w:rPr>
        <w:t>destination); and Santa Clara, Cuba. We serve Long Beach with short-haul flights in California and Cuba from Ft. Lauderdale and Tampa. We also</w:t>
      </w:r>
    </w:p>
    <w:p>
      <w:pPr>
        <w:spacing w:line="244" w:lineRule="auto" w:before="0"/>
        <w:ind w:left="119" w:right="297" w:firstLine="0"/>
        <w:jc w:val="left"/>
        <w:rPr>
          <w:rFonts w:ascii="Arial"/>
          <w:sz w:val="23"/>
        </w:rPr>
      </w:pPr>
      <w:r>
        <w:rPr>
          <w:rFonts w:ascii="Arial"/>
          <w:color w:val="231F20"/>
          <w:sz w:val="23"/>
        </w:rPr>
        <w:t>launched service from Los Angeles International Airport to Cancun, Puerto Vallarta, and Los Cabos, Mexico. Additional routes and frequencies within our existing network rounded out the balance of our 2016 expansion. It was another successful year in network development.</w:t>
      </w:r>
    </w:p>
    <w:p>
      <w:pPr>
        <w:spacing w:line="254" w:lineRule="auto" w:before="198"/>
        <w:ind w:left="119" w:right="258" w:firstLine="0"/>
        <w:jc w:val="left"/>
        <w:rPr>
          <w:sz w:val="18"/>
        </w:rPr>
      </w:pPr>
      <w:r>
        <w:rPr>
          <w:color w:val="231F20"/>
          <w:position w:val="4"/>
          <w:sz w:val="11"/>
        </w:rPr>
        <w:t>1 </w:t>
      </w:r>
      <w:r>
        <w:rPr>
          <w:color w:val="231F20"/>
          <w:sz w:val="18"/>
        </w:rPr>
        <w:t>See Note Regarding Use of Non-GAAP Financial Measures  and  related  reconciliations included in the accompanying  Form 10-K for the fiscal year ended December 31, 2016, for additional information on ROIC and special</w:t>
      </w:r>
      <w:r>
        <w:rPr>
          <w:color w:val="231F20"/>
          <w:spacing w:val="-1"/>
          <w:sz w:val="18"/>
        </w:rPr>
        <w:t> </w:t>
      </w:r>
      <w:r>
        <w:rPr>
          <w:color w:val="231F20"/>
          <w:sz w:val="18"/>
        </w:rPr>
        <w:t>items.</w:t>
      </w:r>
    </w:p>
    <w:p>
      <w:pPr>
        <w:spacing w:after="0" w:line="254" w:lineRule="auto"/>
        <w:jc w:val="left"/>
        <w:rPr>
          <w:sz w:val="18"/>
        </w:rPr>
        <w:sectPr>
          <w:type w:val="continuous"/>
          <w:pgSz w:w="11880" w:h="15480"/>
          <w:pgMar w:top="1260" w:bottom="280" w:left="1260" w:right="1260"/>
        </w:sectPr>
      </w:pPr>
    </w:p>
    <w:p>
      <w:pPr>
        <w:spacing w:line="244" w:lineRule="auto" w:before="74"/>
        <w:ind w:left="120" w:right="335" w:firstLine="720"/>
        <w:jc w:val="left"/>
        <w:rPr>
          <w:rFonts w:ascii="Arial" w:hAnsi="Arial"/>
          <w:sz w:val="23"/>
        </w:rPr>
      </w:pPr>
      <w:r>
        <w:rPr>
          <w:rFonts w:ascii="Arial" w:hAnsi="Arial"/>
          <w:color w:val="231F20"/>
          <w:sz w:val="23"/>
        </w:rPr>
        <w:t>Our operating expenses grew slightly faster than capacity. Average 2016 jet fuel prices declined 7.2 percent on an “economic basis” from a year ago</w:t>
      </w:r>
      <w:r>
        <w:rPr>
          <w:rFonts w:ascii="Arial" w:hAnsi="Arial"/>
          <w:color w:val="231F20"/>
          <w:position w:val="6"/>
          <w:sz w:val="15"/>
        </w:rPr>
        <w:t>2</w:t>
      </w:r>
      <w:r>
        <w:rPr>
          <w:rFonts w:ascii="Arial" w:hAnsi="Arial"/>
          <w:color w:val="231F20"/>
          <w:sz w:val="23"/>
        </w:rPr>
        <w:t>. Operating expenses per available seat mile (CASM) increased 0.4 percent, year-over-year.</w:t>
      </w:r>
    </w:p>
    <w:p>
      <w:pPr>
        <w:spacing w:line="244" w:lineRule="auto" w:before="0"/>
        <w:ind w:left="120" w:right="714" w:firstLine="0"/>
        <w:jc w:val="left"/>
        <w:rPr>
          <w:rFonts w:ascii="Arial"/>
          <w:sz w:val="23"/>
        </w:rPr>
      </w:pPr>
      <w:r>
        <w:rPr>
          <w:rFonts w:ascii="Arial"/>
          <w:color w:val="231F20"/>
          <w:sz w:val="23"/>
        </w:rPr>
        <w:t>Excluding fuel and oil expense and special items, CASM increased just 1.6 percent, year-over-year.</w:t>
      </w:r>
    </w:p>
    <w:p>
      <w:pPr>
        <w:pStyle w:val="BodyText"/>
        <w:spacing w:before="10"/>
        <w:rPr>
          <w:rFonts w:ascii="Arial"/>
          <w:sz w:val="20"/>
        </w:rPr>
      </w:pPr>
    </w:p>
    <w:p>
      <w:pPr>
        <w:spacing w:line="244" w:lineRule="auto" w:before="0"/>
        <w:ind w:left="120" w:right="171" w:firstLine="720"/>
        <w:jc w:val="left"/>
        <w:rPr>
          <w:rFonts w:ascii="Arial"/>
          <w:sz w:val="23"/>
        </w:rPr>
      </w:pPr>
      <w:r>
        <w:rPr>
          <w:rFonts w:ascii="Arial"/>
          <w:color w:val="231F20"/>
          <w:sz w:val="23"/>
        </w:rPr>
        <w:t>Our cash flow from operations was a record $4.29 billion, and our free cash flow</w:t>
      </w:r>
      <w:r>
        <w:rPr>
          <w:rFonts w:ascii="Arial"/>
          <w:color w:val="231F20"/>
          <w:position w:val="6"/>
          <w:sz w:val="15"/>
        </w:rPr>
        <w:t>3 </w:t>
      </w:r>
      <w:r>
        <w:rPr>
          <w:rFonts w:ascii="Arial"/>
          <w:color w:val="231F20"/>
          <w:sz w:val="23"/>
        </w:rPr>
        <w:t>was a record $2.25 billion. Our financial position strengthened, sustaining our solid investment grade credit ratings with all three credit rating agencies. Debt to total capital (including aircraft leases) declined to 32.5 percent as of year-end 2016. Our liquidity increased, as well, with year-end cash and short-term investments of $3.3 billion plus our fully-available $1.0 billion bank line of credit. We returned a record $1.97 billion to Shareholders in 2016, through $222 million in dividends and $1.75 billion in share repurchases. In May 2016, in recognition of our exceptionally strong results, our Board of Directors authorized a $2.0 billion share repurchase program and increased the quarterly dividend by 33 percent to $.10 per share.</w:t>
      </w:r>
    </w:p>
    <w:p>
      <w:pPr>
        <w:pStyle w:val="BodyText"/>
        <w:spacing w:before="10"/>
        <w:rPr>
          <w:rFonts w:ascii="Arial"/>
          <w:sz w:val="20"/>
        </w:rPr>
      </w:pPr>
    </w:p>
    <w:p>
      <w:pPr>
        <w:spacing w:line="244" w:lineRule="auto" w:before="0"/>
        <w:ind w:left="120" w:right="134" w:firstLine="720"/>
        <w:jc w:val="left"/>
        <w:rPr>
          <w:rFonts w:ascii="Arial" w:hAnsi="Arial"/>
          <w:sz w:val="23"/>
        </w:rPr>
      </w:pPr>
      <w:r>
        <w:rPr>
          <w:rFonts w:ascii="Arial" w:hAnsi="Arial"/>
          <w:color w:val="231F20"/>
          <w:sz w:val="23"/>
        </w:rPr>
        <w:t>We ended the year with 723 aircraft in our all-Boeing 737 (B737) fleet. Currently, our firm aircraft commitments and options would grow the fleet to 750 airplanes by year- end 2018. We have several significant fleet events planned for 2017. First, we are the launch customer with Boeing for the B737-8 (MAX) aircraft. We currently plan to launch this new airplane in commercial service October 1, 2017, and acquire a total of 14 for the year. Second, we plan to retire the 79 remaining B737-300 (Classic) airplanes in our fleet between now and October 1, 2017. Finally, we plan to acquire 39 new B737-800 (NG) aircraft this year. Due to the accelerated retirement of the Classics, we plan to end 2017 with 703 aircraft in our fleet, down from the 723 to start this year. By the end of 2018, all retired Classics will have been replaced with new deliveries from Boeing. The Classics have served us well, but with Boeing’s support, along with expected reduced maintenance, fuel consumption, and out-of-service time, we expect a substantial financial benefit, prospectively, once the Classics are retired. This is an important part of our fleet modernization initiative, which has been underway since 2011. It is exciting to see these long-held plans come together in 2017!</w:t>
      </w:r>
    </w:p>
    <w:p>
      <w:pPr>
        <w:pStyle w:val="BodyText"/>
        <w:spacing w:before="10"/>
        <w:rPr>
          <w:rFonts w:ascii="Arial"/>
          <w:sz w:val="20"/>
        </w:rPr>
      </w:pPr>
    </w:p>
    <w:p>
      <w:pPr>
        <w:spacing w:line="244" w:lineRule="auto" w:before="0"/>
        <w:ind w:left="120" w:right="110" w:firstLine="720"/>
        <w:jc w:val="left"/>
        <w:rPr>
          <w:rFonts w:ascii="Arial" w:hAnsi="Arial"/>
          <w:sz w:val="23"/>
        </w:rPr>
      </w:pPr>
      <w:r>
        <w:rPr>
          <w:rFonts w:ascii="Arial" w:hAnsi="Arial"/>
          <w:color w:val="231F20"/>
          <w:sz w:val="23"/>
        </w:rPr>
        <w:t>Another long-term effort scheduled to come to fruition in 2017 is the completion and deployment of our new Amadeus Altéa reservation system on May 9, 2017. Our current reservation system dates back to the 1980s. It, too, has served us well, but it is not well suited to our current or future needs. The effort to replace it is significant and strategic, and has been years in the making. We announced the first phase of the deployment into production in December 2016. The project is on track, and we look forward to the next important milestone in this effort. Once implemented, the system provides the foundation for future planned releases with further enhancements. We expect to derive benefits ranging from improved Customer Experiences to improved revenue management. We look forward to giving our Employees better tools that allow us to better serve our Customers and Shareholders.</w:t>
      </w:r>
    </w:p>
    <w:p>
      <w:pPr>
        <w:spacing w:line="254" w:lineRule="auto" w:before="198"/>
        <w:ind w:left="119" w:right="98" w:firstLine="0"/>
        <w:jc w:val="left"/>
        <w:rPr>
          <w:sz w:val="18"/>
        </w:rPr>
      </w:pPr>
      <w:r>
        <w:rPr>
          <w:color w:val="231F20"/>
          <w:position w:val="4"/>
          <w:sz w:val="11"/>
        </w:rPr>
        <w:t>2 </w:t>
      </w:r>
      <w:r>
        <w:rPr>
          <w:color w:val="231F20"/>
          <w:sz w:val="18"/>
        </w:rPr>
        <w:t>See Note Regarding Use of Non-GAAP Financial Measures and related reconciliation included in the accompanying Form 10-K for the fiscal year ended December 31, 2016, for additional information on economic fuel costs.</w:t>
      </w:r>
    </w:p>
    <w:p>
      <w:pPr>
        <w:spacing w:line="254" w:lineRule="auto" w:before="1"/>
        <w:ind w:left="119" w:right="335" w:firstLine="0"/>
        <w:jc w:val="left"/>
        <w:rPr>
          <w:sz w:val="18"/>
        </w:rPr>
      </w:pPr>
      <w:r>
        <w:rPr>
          <w:color w:val="231F20"/>
          <w:position w:val="4"/>
          <w:sz w:val="11"/>
        </w:rPr>
        <w:t>3</w:t>
      </w:r>
      <w:r>
        <w:rPr>
          <w:color w:val="231F20"/>
          <w:sz w:val="18"/>
        </w:rPr>
        <w:t>Free cash flow is calculated as operating cash flows of $4.3 billion less capital expenditures of $2.0 billion less assets constructed for others of $109 million plus reimbursements for assets constructed for others of $107 million.</w:t>
      </w:r>
    </w:p>
    <w:p>
      <w:pPr>
        <w:spacing w:after="0" w:line="254" w:lineRule="auto"/>
        <w:jc w:val="left"/>
        <w:rPr>
          <w:sz w:val="18"/>
        </w:rPr>
        <w:sectPr>
          <w:pgSz w:w="11880" w:h="15480"/>
          <w:pgMar w:top="1240" w:bottom="280" w:left="1260" w:right="1280"/>
        </w:sectPr>
      </w:pPr>
    </w:p>
    <w:p>
      <w:pPr>
        <w:spacing w:line="244" w:lineRule="auto" w:before="74"/>
        <w:ind w:left="120" w:right="100" w:firstLine="720"/>
        <w:jc w:val="left"/>
        <w:rPr>
          <w:rFonts w:ascii="Arial"/>
          <w:sz w:val="23"/>
        </w:rPr>
      </w:pPr>
      <w:r>
        <w:rPr>
          <w:rFonts w:ascii="Arial"/>
          <w:color w:val="231F20"/>
          <w:sz w:val="23"/>
        </w:rPr>
        <w:t>Another significant long-term effort scheduled for 2017 is the completion of a new five-gate international terminal at the Ft Lauderdale-Hollywood International Airport (FLL), slated for June 2017. Coincident with the opening is the launch of new international service at FLL by Southwest Airlines. Currently, we serve just The Bahamas and Cuba from FLL, but plan to add service to Belize, Jamaica, and Mexico along with our newest destination, Grand Cayman. This is a much-anticipated and much-needed enhancement to our FLL franchise.</w:t>
      </w:r>
    </w:p>
    <w:p>
      <w:pPr>
        <w:spacing w:line="244" w:lineRule="auto" w:before="202"/>
        <w:ind w:left="120" w:right="102" w:firstLine="720"/>
        <w:jc w:val="left"/>
        <w:rPr>
          <w:rFonts w:ascii="Arial"/>
          <w:sz w:val="23"/>
        </w:rPr>
      </w:pPr>
      <w:r>
        <w:rPr>
          <w:rFonts w:ascii="Arial"/>
          <w:color w:val="231F20"/>
          <w:sz w:val="23"/>
        </w:rPr>
        <w:t>Overall, our outlook continues to be upbeat. Once again, we are off to a very strong start to the year, in terms of operational reliability, Customer satisfaction, and travel demand. There appear to be high expectations for tax reform, regulatory reform, and air traffic control modernization. In turn, there appear to be high expectations for domestic GDP growth. We welcome all of that. In the meantime, while economic growth is still lackluster, energy prices are stable at moderate prices, and travel demand is strong in a very competitive environment. We are positioned and poised to compete vigorously and well. With the fleet plan I outlined previously, we currently plan to grow our capacity approximately 3.5 percent in 2017, split roughly two-thirds to our domestic network and the remainder to international growth. In addition to adding Grand Cayman to our route map, we are consolidating our Ohio cities by closing operations at Akron- Canton Airport and adding flights at nearby Cleveland Hopkins International Airport. We are scheduled to begin service at Cincinnati/Northern Kentucky International Airport (which, admittedly, has been conspicuous in its absence from our expansive route network), and close operations at nearby Dayton International Airport to accommodate it. Much has changed in these Ohio airports, competitively, over the last five to six years, and these moves will position us better. It is never easy to close a location, but we will continue to offer service to Customers in those two markets via Cleveland and Cincinnati.</w:t>
      </w:r>
    </w:p>
    <w:p>
      <w:pPr>
        <w:spacing w:line="244" w:lineRule="auto" w:before="202"/>
        <w:ind w:left="120" w:right="142" w:firstLine="720"/>
        <w:jc w:val="left"/>
        <w:rPr>
          <w:rFonts w:ascii="Arial" w:hAnsi="Arial"/>
          <w:sz w:val="23"/>
        </w:rPr>
      </w:pPr>
      <w:r>
        <w:rPr>
          <w:rFonts w:ascii="Arial" w:hAnsi="Arial"/>
          <w:color w:val="231F20"/>
          <w:sz w:val="23"/>
        </w:rPr>
        <w:t>We have lived through a remarkable period, be it the last 5 years, 10 years, or more than 15 since 9/11. Our People have worked extraordinarily hard to weather the storms, transform Southwest, and still serve our Customers and Shareholders well. They have done that. From 2001 through 2012, there were some tough, lean years. But, our People never faltered. No annual losses. No bankruptcies. No layoffs. No massive reduction in service. Instead, Southwest stayed profitable, job secure, and growing— throughout. Now, our People, our Customers, and our Shareholders are reaping the benefits from those years of hard work. Because of our People, Southwest is well- prepared to compete aggressively for Customers’ business and loyalty. Southwest is committed to provide Shareholder returns. And, Southwest is well-prepared for tougher times, whether it be from economic weakness, energy price spikes, or brutal competition. Our People have us better prepared than ever, in fact. And, we have opportunities to further improve our already excellent operations, our outstanding Customer Service, and our expansive route map.</w:t>
      </w:r>
    </w:p>
    <w:p>
      <w:pPr>
        <w:spacing w:line="244" w:lineRule="auto" w:before="202"/>
        <w:ind w:left="120" w:right="371" w:firstLine="720"/>
        <w:jc w:val="both"/>
        <w:rPr>
          <w:rFonts w:ascii="Arial" w:hAnsi="Arial"/>
          <w:sz w:val="23"/>
        </w:rPr>
      </w:pPr>
      <w:r>
        <w:rPr>
          <w:rFonts w:ascii="Arial" w:hAnsi="Arial"/>
          <w:color w:val="231F20"/>
          <w:sz w:val="23"/>
        </w:rPr>
        <w:t>As I said last year, our Purpose is to connect People to what’s important in their lives with friendly, reliable, low-cost air travel. We take great care of our Employees, so they can take great care of our Customers. If we do both well—keep our service levels </w:t>
      </w:r>
      <w:r>
        <w:rPr>
          <w:rFonts w:ascii="Arial" w:hAnsi="Arial"/>
          <w:color w:val="231F20"/>
          <w:sz w:val="23"/>
          <w:u w:val="single" w:color="231F20"/>
        </w:rPr>
        <w:t>high </w:t>
      </w:r>
      <w:r>
        <w:rPr>
          <w:rFonts w:ascii="Arial" w:hAnsi="Arial"/>
          <w:color w:val="231F20"/>
          <w:sz w:val="23"/>
        </w:rPr>
        <w:t>and our fares </w:t>
      </w:r>
      <w:r>
        <w:rPr>
          <w:rFonts w:ascii="Arial" w:hAnsi="Arial"/>
          <w:color w:val="231F20"/>
          <w:sz w:val="23"/>
          <w:u w:val="single" w:color="231F20"/>
        </w:rPr>
        <w:t>low</w:t>
      </w:r>
      <w:r>
        <w:rPr>
          <w:rFonts w:ascii="Arial" w:hAnsi="Arial"/>
          <w:color w:val="231F20"/>
          <w:sz w:val="23"/>
        </w:rPr>
        <w:t>—we can take great care of our Shareholders. And, we have.</w:t>
      </w:r>
    </w:p>
    <w:p>
      <w:pPr>
        <w:spacing w:line="244" w:lineRule="auto" w:before="202"/>
        <w:ind w:left="119" w:right="245" w:firstLine="720"/>
        <w:jc w:val="left"/>
        <w:rPr>
          <w:rFonts w:ascii="Arial" w:hAnsi="Arial"/>
          <w:sz w:val="23"/>
        </w:rPr>
      </w:pPr>
      <w:r>
        <w:rPr>
          <w:rFonts w:ascii="Arial" w:hAnsi="Arial"/>
          <w:color w:val="231F20"/>
          <w:sz w:val="23"/>
        </w:rPr>
        <w:t>This is now the 23</w:t>
      </w:r>
      <w:r>
        <w:rPr>
          <w:rFonts w:ascii="Arial" w:hAnsi="Arial"/>
          <w:color w:val="231F20"/>
          <w:position w:val="6"/>
          <w:sz w:val="15"/>
        </w:rPr>
        <w:t>rd </w:t>
      </w:r>
      <w:r>
        <w:rPr>
          <w:rFonts w:ascii="Arial" w:hAnsi="Arial"/>
          <w:color w:val="231F20"/>
          <w:sz w:val="23"/>
        </w:rPr>
        <w:t>consecutive year that Southwest has been named to Fortune’s list of World’s Most Admired Companies, coming in at #8. We’re proud of that.</w:t>
      </w:r>
    </w:p>
    <w:p>
      <w:pPr>
        <w:spacing w:after="0" w:line="244" w:lineRule="auto"/>
        <w:jc w:val="left"/>
        <w:rPr>
          <w:rFonts w:ascii="Arial" w:hAnsi="Arial"/>
          <w:sz w:val="23"/>
        </w:rPr>
        <w:sectPr>
          <w:pgSz w:w="11880" w:h="15480"/>
          <w:pgMar w:top="1240" w:bottom="280" w:left="1260" w:right="1300"/>
        </w:sectPr>
      </w:pPr>
    </w:p>
    <w:p>
      <w:pPr>
        <w:spacing w:line="244" w:lineRule="auto" w:before="74"/>
        <w:ind w:left="119" w:right="111" w:firstLine="0"/>
        <w:jc w:val="both"/>
        <w:rPr>
          <w:rFonts w:ascii="Arial" w:hAnsi="Arial"/>
          <w:sz w:val="23"/>
        </w:rPr>
      </w:pPr>
      <w:r>
        <w:rPr>
          <w:rFonts w:ascii="Arial" w:hAnsi="Arial"/>
          <w:color w:val="231F20"/>
          <w:sz w:val="23"/>
        </w:rPr>
        <w:t>And, as America’s largest airline in terms of originating domestic passengers</w:t>
      </w:r>
      <w:r>
        <w:rPr>
          <w:rFonts w:ascii="Arial" w:hAnsi="Arial"/>
          <w:color w:val="231F20"/>
          <w:position w:val="6"/>
          <w:sz w:val="15"/>
        </w:rPr>
        <w:t>4</w:t>
      </w:r>
      <w:r>
        <w:rPr>
          <w:rFonts w:ascii="Arial" w:hAnsi="Arial"/>
          <w:color w:val="231F20"/>
          <w:sz w:val="23"/>
        </w:rPr>
        <w:t>, we aspire to more—to become the world’s most loved, most flown, and most profitable airline. Our Vision is audacious, but I believe in our People. They are Warriors!</w:t>
      </w:r>
    </w:p>
    <w:p>
      <w:pPr>
        <w:pStyle w:val="BodyText"/>
        <w:spacing w:before="1"/>
        <w:rPr>
          <w:rFonts w:ascii="Arial"/>
        </w:rPr>
      </w:pPr>
    </w:p>
    <w:p>
      <w:pPr>
        <w:spacing w:line="244" w:lineRule="auto" w:before="0"/>
        <w:ind w:left="119" w:right="280" w:firstLine="720"/>
        <w:jc w:val="left"/>
        <w:rPr>
          <w:rFonts w:ascii="Arial"/>
          <w:sz w:val="23"/>
        </w:rPr>
      </w:pPr>
      <w:r>
        <w:rPr>
          <w:rFonts w:ascii="Arial"/>
          <w:color w:val="231F20"/>
          <w:sz w:val="23"/>
        </w:rPr>
        <w:t>Please join me in thanking all 53,536 Employees for their hard work and superb results!</w:t>
      </w:r>
    </w:p>
    <w:p>
      <w:pPr>
        <w:pStyle w:val="BodyText"/>
        <w:spacing w:before="1"/>
        <w:rPr>
          <w:rFonts w:ascii="Arial"/>
        </w:rPr>
      </w:pPr>
    </w:p>
    <w:p>
      <w:pPr>
        <w:spacing w:before="0"/>
        <w:ind w:left="1560" w:right="0" w:firstLine="0"/>
        <w:jc w:val="left"/>
        <w:rPr>
          <w:rFonts w:ascii="Arial"/>
          <w:sz w:val="23"/>
        </w:rPr>
      </w:pPr>
      <w:r>
        <w:rPr/>
        <w:drawing>
          <wp:anchor distT="0" distB="0" distL="0" distR="0" allowOverlap="1" layoutInCell="1" locked="0" behindDoc="0" simplePos="0" relativeHeight="0">
            <wp:simplePos x="0" y="0"/>
            <wp:positionH relativeFrom="page">
              <wp:posOffset>1790700</wp:posOffset>
            </wp:positionH>
            <wp:positionV relativeFrom="paragraph">
              <wp:posOffset>239666</wp:posOffset>
            </wp:positionV>
            <wp:extent cx="2047853" cy="5334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47853" cy="533400"/>
                    </a:xfrm>
                    <a:prstGeom prst="rect">
                      <a:avLst/>
                    </a:prstGeom>
                  </pic:spPr>
                </pic:pic>
              </a:graphicData>
            </a:graphic>
          </wp:anchor>
        </w:drawing>
      </w:r>
      <w:r>
        <w:rPr>
          <w:rFonts w:ascii="Arial"/>
          <w:color w:val="231F20"/>
          <w:sz w:val="23"/>
        </w:rPr>
        <w:t>Sincerely,</w:t>
      </w:r>
    </w:p>
    <w:p>
      <w:pPr>
        <w:spacing w:before="23"/>
        <w:ind w:left="1560" w:right="0" w:firstLine="0"/>
        <w:jc w:val="left"/>
        <w:rPr>
          <w:rFonts w:ascii="Arial"/>
          <w:sz w:val="23"/>
        </w:rPr>
      </w:pPr>
      <w:r>
        <w:rPr>
          <w:rFonts w:ascii="Arial"/>
          <w:color w:val="231F20"/>
          <w:sz w:val="23"/>
        </w:rPr>
        <w:t>Gary C. Kelly</w:t>
      </w:r>
    </w:p>
    <w:p>
      <w:pPr>
        <w:spacing w:line="244" w:lineRule="auto" w:before="5"/>
        <w:ind w:left="1560" w:right="3792" w:firstLine="0"/>
        <w:jc w:val="left"/>
        <w:rPr>
          <w:rFonts w:ascii="Arial"/>
          <w:sz w:val="23"/>
        </w:rPr>
      </w:pPr>
      <w:r>
        <w:rPr>
          <w:rFonts w:ascii="Arial"/>
          <w:color w:val="231F20"/>
          <w:sz w:val="23"/>
        </w:rPr>
        <w:t>Chairman and Chief Executive Officer March 24, 2017</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1"/>
        <w:rPr>
          <w:rFonts w:ascii="Arial"/>
          <w:sz w:val="37"/>
        </w:rPr>
      </w:pPr>
    </w:p>
    <w:p>
      <w:pPr>
        <w:spacing w:before="0"/>
        <w:ind w:left="120" w:right="0" w:firstLine="0"/>
        <w:jc w:val="both"/>
        <w:rPr>
          <w:sz w:val="18"/>
        </w:rPr>
      </w:pPr>
      <w:r>
        <w:rPr>
          <w:color w:val="231F20"/>
          <w:position w:val="4"/>
          <w:sz w:val="11"/>
        </w:rPr>
        <w:t>4 </w:t>
      </w:r>
      <w:r>
        <w:rPr>
          <w:color w:val="231F20"/>
          <w:sz w:val="18"/>
        </w:rPr>
        <w:t>Based on data available from the U.S. Department of Transportation (DOT), as of September 30, 2016.</w:t>
      </w:r>
    </w:p>
    <w:p>
      <w:pPr>
        <w:spacing w:after="0"/>
        <w:jc w:val="both"/>
        <w:rPr>
          <w:sz w:val="18"/>
        </w:rPr>
        <w:sectPr>
          <w:pgSz w:w="11880" w:h="15480"/>
          <w:pgMar w:top="1240" w:bottom="280" w:left="1260" w:right="1400"/>
        </w:sectPr>
      </w:pPr>
    </w:p>
    <w:p>
      <w:pPr>
        <w:pStyle w:val="BodyText"/>
      </w:pPr>
    </w:p>
    <w:p>
      <w:pPr>
        <w:pStyle w:val="BodyText"/>
      </w:pPr>
    </w:p>
    <w:p>
      <w:pPr>
        <w:pStyle w:val="BodyText"/>
      </w:pPr>
    </w:p>
    <w:p>
      <w:pPr>
        <w:pStyle w:val="BodyText"/>
      </w:pPr>
    </w:p>
    <w:p>
      <w:pPr>
        <w:pStyle w:val="BodyText"/>
        <w:spacing w:before="2"/>
        <w:rPr>
          <w:sz w:val="28"/>
        </w:rPr>
      </w:pPr>
    </w:p>
    <w:p>
      <w:pPr>
        <w:spacing w:before="0"/>
        <w:ind w:left="120" w:right="0" w:firstLine="0"/>
        <w:jc w:val="left"/>
        <w:rPr>
          <w:sz w:val="20"/>
        </w:rPr>
      </w:pPr>
      <w:bookmarkStart w:name="FORM 10-K" w:id="3"/>
      <w:bookmarkEnd w:id="3"/>
      <w:r>
        <w:rPr/>
      </w:r>
      <w:r>
        <w:rPr>
          <w:color w:val="231F20"/>
          <w:sz w:val="20"/>
        </w:rPr>
        <w:t>(Mark One)</w:t>
      </w:r>
    </w:p>
    <w:p>
      <w:pPr>
        <w:pStyle w:val="Heading1"/>
        <w:spacing w:line="241" w:lineRule="exact" w:before="134"/>
        <w:ind w:left="102" w:right="3010"/>
        <w:jc w:val="center"/>
      </w:pPr>
      <w:r>
        <w:rPr>
          <w:b w:val="0"/>
        </w:rPr>
        <w:br w:type="column"/>
      </w:r>
      <w:r>
        <w:rPr>
          <w:color w:val="231F20"/>
        </w:rPr>
        <w:t>UNITED STATES</w:t>
      </w:r>
    </w:p>
    <w:p>
      <w:pPr>
        <w:spacing w:line="230" w:lineRule="exact" w:before="0"/>
        <w:ind w:left="102" w:right="3010" w:firstLine="0"/>
        <w:jc w:val="center"/>
        <w:rPr>
          <w:b/>
          <w:sz w:val="22"/>
        </w:rPr>
      </w:pPr>
      <w:r>
        <w:rPr>
          <w:b/>
          <w:color w:val="231F20"/>
          <w:sz w:val="22"/>
        </w:rPr>
        <w:t>SECURITIES AND EXCHANGE COMMISSION</w:t>
      </w:r>
    </w:p>
    <w:p>
      <w:pPr>
        <w:spacing w:line="241" w:lineRule="exact" w:before="0"/>
        <w:ind w:left="101" w:right="3010" w:firstLine="0"/>
        <w:jc w:val="center"/>
        <w:rPr>
          <w:b/>
          <w:sz w:val="22"/>
        </w:rPr>
      </w:pPr>
      <w:r>
        <w:rPr>
          <w:b/>
          <w:color w:val="231F20"/>
          <w:sz w:val="22"/>
        </w:rPr>
        <w:t>Washington, D.C. 20549</w:t>
      </w:r>
    </w:p>
    <w:p>
      <w:pPr>
        <w:spacing w:before="149"/>
        <w:ind w:left="101" w:right="3010" w:firstLine="0"/>
        <w:jc w:val="center"/>
        <w:rPr>
          <w:b/>
          <w:sz w:val="24"/>
        </w:rPr>
      </w:pPr>
      <w:r>
        <w:rPr>
          <w:b/>
          <w:color w:val="231F20"/>
          <w:sz w:val="24"/>
        </w:rPr>
        <w:t>FORM 10-K</w:t>
      </w:r>
    </w:p>
    <w:p>
      <w:pPr>
        <w:spacing w:after="0"/>
        <w:jc w:val="center"/>
        <w:rPr>
          <w:sz w:val="24"/>
        </w:rPr>
        <w:sectPr>
          <w:pgSz w:w="11880" w:h="15480"/>
          <w:pgMar w:top="780" w:bottom="280" w:left="540" w:right="540"/>
          <w:cols w:num="2" w:equalWidth="0">
            <w:col w:w="1071" w:space="1839"/>
            <w:col w:w="7890"/>
          </w:cols>
        </w:sectPr>
      </w:pPr>
    </w:p>
    <w:p>
      <w:pPr>
        <w:tabs>
          <w:tab w:pos="919" w:val="left" w:leader="none"/>
        </w:tabs>
        <w:spacing w:line="210" w:lineRule="exact" w:before="89"/>
        <w:ind w:left="920" w:right="118" w:hanging="800"/>
        <w:jc w:val="left"/>
        <w:rPr>
          <w:b/>
          <w:sz w:val="20"/>
        </w:rPr>
      </w:pPr>
      <w:r>
        <w:rPr/>
        <w:pict>
          <v:group style="position:absolute;margin-left:32.75pt;margin-top:39pt;width:528.5pt;height:3.5pt;mso-position-horizontal-relative:page;mso-position-vertical-relative:page;z-index:1168" coordorigin="655,780" coordsize="10570,70">
            <v:line style="position:absolute" from="660,785" to="11220,785" stroked="true" strokeweight=".5pt" strokecolor="#231f20">
              <v:stroke dashstyle="solid"/>
            </v:line>
            <v:line style="position:absolute" from="660,845" to="11220,845" stroked="true" strokeweight=".5pt" strokecolor="#231f20">
              <v:stroke dashstyle="solid"/>
            </v:line>
            <w10:wrap type="none"/>
          </v:group>
        </w:pict>
      </w:r>
      <w:r>
        <w:rPr>
          <w:rFonts w:ascii="39251" w:hAnsi="39251"/>
          <w:color w:val="231F20"/>
          <w:sz w:val="20"/>
        </w:rPr>
        <w:t>Í</w:t>
        <w:tab/>
      </w:r>
      <w:r>
        <w:rPr>
          <w:b/>
          <w:color w:val="231F20"/>
          <w:sz w:val="20"/>
        </w:rPr>
        <w:t>ANNUAL</w:t>
      </w:r>
      <w:r>
        <w:rPr>
          <w:b/>
          <w:color w:val="231F20"/>
          <w:spacing w:val="31"/>
          <w:sz w:val="20"/>
        </w:rPr>
        <w:t> </w:t>
      </w:r>
      <w:r>
        <w:rPr>
          <w:b/>
          <w:color w:val="231F20"/>
          <w:sz w:val="20"/>
        </w:rPr>
        <w:t>REPORT</w:t>
      </w:r>
      <w:r>
        <w:rPr>
          <w:b/>
          <w:color w:val="231F20"/>
          <w:spacing w:val="32"/>
          <w:sz w:val="20"/>
        </w:rPr>
        <w:t> </w:t>
      </w:r>
      <w:r>
        <w:rPr>
          <w:b/>
          <w:color w:val="231F20"/>
          <w:sz w:val="20"/>
        </w:rPr>
        <w:t>PURSUANT</w:t>
      </w:r>
      <w:r>
        <w:rPr>
          <w:b/>
          <w:color w:val="231F20"/>
          <w:spacing w:val="30"/>
          <w:sz w:val="20"/>
        </w:rPr>
        <w:t> </w:t>
      </w:r>
      <w:r>
        <w:rPr>
          <w:b/>
          <w:color w:val="231F20"/>
          <w:sz w:val="20"/>
        </w:rPr>
        <w:t>TO</w:t>
      </w:r>
      <w:r>
        <w:rPr>
          <w:b/>
          <w:color w:val="231F20"/>
          <w:spacing w:val="33"/>
          <w:sz w:val="20"/>
        </w:rPr>
        <w:t> </w:t>
      </w:r>
      <w:r>
        <w:rPr>
          <w:b/>
          <w:color w:val="231F20"/>
          <w:sz w:val="20"/>
        </w:rPr>
        <w:t>SECTION</w:t>
      </w:r>
      <w:r>
        <w:rPr>
          <w:b/>
          <w:color w:val="231F20"/>
          <w:spacing w:val="31"/>
          <w:sz w:val="20"/>
        </w:rPr>
        <w:t> </w:t>
      </w:r>
      <w:r>
        <w:rPr>
          <w:b/>
          <w:color w:val="231F20"/>
          <w:sz w:val="20"/>
        </w:rPr>
        <w:t>13</w:t>
      </w:r>
      <w:r>
        <w:rPr>
          <w:b/>
          <w:color w:val="231F20"/>
          <w:spacing w:val="33"/>
          <w:sz w:val="20"/>
        </w:rPr>
        <w:t> </w:t>
      </w:r>
      <w:r>
        <w:rPr>
          <w:b/>
          <w:color w:val="231F20"/>
          <w:sz w:val="20"/>
        </w:rPr>
        <w:t>OR</w:t>
      </w:r>
      <w:r>
        <w:rPr>
          <w:b/>
          <w:color w:val="231F20"/>
          <w:spacing w:val="33"/>
          <w:sz w:val="20"/>
        </w:rPr>
        <w:t> </w:t>
      </w:r>
      <w:r>
        <w:rPr>
          <w:b/>
          <w:color w:val="231F20"/>
          <w:sz w:val="20"/>
        </w:rPr>
        <w:t>15(d)</w:t>
      </w:r>
      <w:r>
        <w:rPr>
          <w:b/>
          <w:color w:val="231F20"/>
          <w:spacing w:val="33"/>
          <w:sz w:val="20"/>
        </w:rPr>
        <w:t> </w:t>
      </w:r>
      <w:r>
        <w:rPr>
          <w:b/>
          <w:color w:val="231F20"/>
          <w:sz w:val="20"/>
        </w:rPr>
        <w:t>OF</w:t>
      </w:r>
      <w:r>
        <w:rPr>
          <w:b/>
          <w:color w:val="231F20"/>
          <w:spacing w:val="33"/>
          <w:sz w:val="20"/>
        </w:rPr>
        <w:t> </w:t>
      </w:r>
      <w:r>
        <w:rPr>
          <w:b/>
          <w:color w:val="231F20"/>
          <w:sz w:val="20"/>
        </w:rPr>
        <w:t>THE</w:t>
      </w:r>
      <w:r>
        <w:rPr>
          <w:b/>
          <w:color w:val="231F20"/>
          <w:spacing w:val="32"/>
          <w:sz w:val="20"/>
        </w:rPr>
        <w:t> </w:t>
      </w:r>
      <w:r>
        <w:rPr>
          <w:b/>
          <w:color w:val="231F20"/>
          <w:sz w:val="20"/>
        </w:rPr>
        <w:t>SECURITIES</w:t>
      </w:r>
      <w:r>
        <w:rPr>
          <w:b/>
          <w:color w:val="231F20"/>
          <w:spacing w:val="30"/>
          <w:sz w:val="20"/>
        </w:rPr>
        <w:t> </w:t>
      </w:r>
      <w:r>
        <w:rPr>
          <w:b/>
          <w:color w:val="231F20"/>
          <w:sz w:val="20"/>
        </w:rPr>
        <w:t>EXCHANGE</w:t>
      </w:r>
      <w:r>
        <w:rPr>
          <w:b/>
          <w:color w:val="231F20"/>
          <w:spacing w:val="31"/>
          <w:sz w:val="20"/>
        </w:rPr>
        <w:t> </w:t>
      </w:r>
      <w:r>
        <w:rPr>
          <w:b/>
          <w:color w:val="231F20"/>
          <w:sz w:val="20"/>
        </w:rPr>
        <w:t>ACT</w:t>
      </w:r>
      <w:r>
        <w:rPr>
          <w:b/>
          <w:color w:val="231F20"/>
          <w:spacing w:val="31"/>
          <w:sz w:val="20"/>
        </w:rPr>
        <w:t> </w:t>
      </w:r>
      <w:r>
        <w:rPr>
          <w:b/>
          <w:color w:val="231F20"/>
          <w:sz w:val="20"/>
        </w:rPr>
        <w:t>OF</w:t>
      </w:r>
      <w:r>
        <w:rPr>
          <w:b/>
          <w:color w:val="231F20"/>
          <w:w w:val="100"/>
          <w:sz w:val="20"/>
        </w:rPr>
        <w:t> </w:t>
      </w:r>
      <w:r>
        <w:rPr>
          <w:b/>
          <w:color w:val="231F20"/>
          <w:sz w:val="20"/>
        </w:rPr>
        <w:t>1934</w:t>
      </w:r>
    </w:p>
    <w:p>
      <w:pPr>
        <w:spacing w:line="266" w:lineRule="auto" w:before="26"/>
        <w:ind w:left="920" w:right="6261" w:firstLine="0"/>
        <w:jc w:val="left"/>
        <w:rPr>
          <w:sz w:val="20"/>
        </w:rPr>
      </w:pPr>
      <w:r>
        <w:rPr>
          <w:color w:val="231F20"/>
          <w:sz w:val="20"/>
        </w:rPr>
        <w:t>For the fiscal year ended December 31, 2016 or</w:t>
      </w:r>
    </w:p>
    <w:p>
      <w:pPr>
        <w:tabs>
          <w:tab w:pos="919" w:val="left" w:leader="none"/>
        </w:tabs>
        <w:spacing w:line="210" w:lineRule="exact" w:before="19"/>
        <w:ind w:left="920" w:right="118" w:hanging="800"/>
        <w:jc w:val="left"/>
        <w:rPr>
          <w:b/>
          <w:sz w:val="20"/>
        </w:rPr>
      </w:pPr>
      <w:r>
        <w:rPr>
          <w:rFonts w:ascii="39251" w:hAnsi="39251"/>
          <w:color w:val="231F20"/>
          <w:sz w:val="20"/>
        </w:rPr>
        <w:t>‘</w:t>
        <w:tab/>
      </w:r>
      <w:r>
        <w:rPr>
          <w:b/>
          <w:color w:val="231F20"/>
          <w:sz w:val="20"/>
        </w:rPr>
        <w:t>TRANSITION REPORT PURSUANT TO SECTION 13 OR 15(d) OF THE SECURITIES EXCHANGE</w:t>
      </w:r>
      <w:r>
        <w:rPr>
          <w:b/>
          <w:color w:val="231F20"/>
          <w:spacing w:val="14"/>
          <w:sz w:val="20"/>
        </w:rPr>
        <w:t> </w:t>
      </w:r>
      <w:r>
        <w:rPr>
          <w:b/>
          <w:color w:val="231F20"/>
          <w:sz w:val="20"/>
        </w:rPr>
        <w:t>ACT</w:t>
      </w:r>
      <w:r>
        <w:rPr>
          <w:b/>
          <w:color w:val="231F20"/>
          <w:spacing w:val="-1"/>
          <w:sz w:val="20"/>
        </w:rPr>
        <w:t> </w:t>
      </w:r>
      <w:r>
        <w:rPr>
          <w:b/>
          <w:color w:val="231F20"/>
          <w:sz w:val="20"/>
        </w:rPr>
        <w:t>OF</w:t>
      </w:r>
      <w:r>
        <w:rPr>
          <w:b/>
          <w:color w:val="231F20"/>
          <w:w w:val="100"/>
          <w:sz w:val="20"/>
        </w:rPr>
        <w:t> </w:t>
      </w:r>
      <w:r>
        <w:rPr>
          <w:b/>
          <w:color w:val="231F20"/>
          <w:sz w:val="20"/>
        </w:rPr>
        <w:t>1934</w:t>
      </w:r>
    </w:p>
    <w:p>
      <w:pPr>
        <w:tabs>
          <w:tab w:pos="3952" w:val="left" w:leader="none"/>
          <w:tab w:pos="4808" w:val="left" w:leader="none"/>
        </w:tabs>
        <w:spacing w:before="26"/>
        <w:ind w:left="920" w:right="0" w:firstLine="0"/>
        <w:jc w:val="left"/>
        <w:rPr>
          <w:sz w:val="20"/>
        </w:rPr>
      </w:pPr>
      <w:r>
        <w:rPr>
          <w:color w:val="231F20"/>
          <w:sz w:val="20"/>
        </w:rPr>
        <w:t>For the transition</w:t>
      </w:r>
      <w:r>
        <w:rPr>
          <w:color w:val="231F20"/>
          <w:spacing w:val="2"/>
          <w:sz w:val="20"/>
        </w:rPr>
        <w:t> </w:t>
      </w:r>
      <w:r>
        <w:rPr>
          <w:color w:val="231F20"/>
          <w:sz w:val="20"/>
        </w:rPr>
        <w:t>period</w:t>
      </w:r>
      <w:r>
        <w:rPr>
          <w:color w:val="231F20"/>
          <w:spacing w:val="1"/>
          <w:sz w:val="20"/>
        </w:rPr>
        <w:t> </w:t>
      </w:r>
      <w:r>
        <w:rPr>
          <w:color w:val="231F20"/>
          <w:sz w:val="20"/>
        </w:rPr>
        <w:t>from</w:t>
      </w:r>
      <w:r>
        <w:rPr>
          <w:color w:val="231F20"/>
          <w:sz w:val="20"/>
          <w:u w:val="single" w:color="231F20"/>
        </w:rPr>
        <w:tab/>
      </w:r>
      <w:r>
        <w:rPr>
          <w:color w:val="231F20"/>
          <w:sz w:val="20"/>
        </w:rPr>
        <w:t>to </w:t>
      </w:r>
      <w:r>
        <w:rPr>
          <w:color w:val="231F20"/>
          <w:sz w:val="20"/>
          <w:u w:val="single" w:color="231F20"/>
        </w:rPr>
        <w:t> </w:t>
        <w:tab/>
      </w:r>
    </w:p>
    <w:p>
      <w:pPr>
        <w:spacing w:before="25"/>
        <w:ind w:left="0" w:right="0" w:firstLine="0"/>
        <w:jc w:val="center"/>
        <w:rPr>
          <w:sz w:val="20"/>
        </w:rPr>
      </w:pPr>
      <w:r>
        <w:rPr/>
        <w:pict>
          <v:group style="position:absolute;margin-left:126pt;margin-top:19.136925pt;width:316.850pt;height:51.55pt;mso-position-horizontal-relative:page;mso-position-vertical-relative:paragraph;z-index:1048;mso-wrap-distance-left:0;mso-wrap-distance-right:0" coordorigin="2520,383" coordsize="6337,1031">
            <v:shape style="position:absolute;left:2520;top:383;width:6226;height:1031" coordorigin="2520,383" coordsize="6226,1031" path="m5022,516l4818,516,4818,699,4721,699,4721,874,4818,874,4818,1157,4821,1218,4835,1277,4861,1330,4904,1373,4967,1402,5054,1412,5098,1410,5139,1404,5179,1396,5219,1385,5192,1233,5104,1233,5060,1227,5036,1209,5024,1181,5022,1144,5022,874,5208,874,5208,699,5022,699,5022,516xm5189,1219l5168,1225,5147,1229,5126,1232,5104,1233,5192,1233,5189,1219xm5208,874l5022,874,5208,874,5208,874xm8549,516l8345,516,8345,699,8248,699,8248,874,8345,874,8344,1157,8348,1218,8361,1277,8388,1330,8431,1373,8494,1402,8580,1412,8624,1410,8665,1404,8705,1396,8745,1385,8719,1233,8631,1233,8587,1227,8562,1209,8551,1181,8548,1144,8549,874,8735,874,8735,699,8549,699,8549,516xm8716,1219l8695,1225,8674,1229,8652,1232,8631,1233,8719,1233,8716,1219xm8735,874l8549,874,8735,874,8735,874xm7342,679l7266,685,7197,705,7136,737,7084,781,7042,835,7010,900,6991,974,6984,1057,6990,1134,7008,1204,7037,1264,7078,1316,7129,1357,7191,1388,7263,1406,7345,1413,7419,1408,7488,1395,7554,1376,7619,1350,7598,1237,7378,1237,7301,1228,7248,1202,7216,1163,7202,1113,7650,1113,7654,1067,7656,1041,7656,1028,7657,1017,7652,961,7448,961,7205,961,7218,917,7242,879,7280,853,7333,844,7619,844,7599,805,7554,753,7496,713,7425,688,7342,679xm6122,699l5910,699,6129,1398,6312,1398,6419,1094,6236,1094,6122,699xm6643,1002l6452,1002,6584,1398,6768,1398,6874,1099,6674,1099,6643,1002xm7589,1185l7539,1206,7488,1222,7435,1233,7378,1237,7598,1237,7589,1185xm7650,1113l7202,1113,7650,1113,7650,1113xm7016,699l6799,699,6674,1099,6874,1099,7016,699xm6545,699l6375,699,6236,1094,6419,1094,6452,1002,6643,1002,6545,699xm7619,844l7333,844,7387,855,7422,884,7441,922,7448,961,7652,961,7650,939,7631,868,7619,844xm7729,1205l7698,1376,7761,1392,7824,1404,7888,1411,7954,1414,8044,1406,8117,1383,8172,1347,8211,1301,8234,1246,8234,1244,7937,1244,7884,1241,7832,1234,7781,1222,7729,1205xm7988,679l7901,687,7828,709,7772,744,7730,790,7705,845,7697,908,7705,972,7731,1024,7775,1067,7837,1101,7857,1109,7880,1118,7904,1126,7930,1135,7978,1149,8012,1162,8033,1177,8040,1198,8032,1218,8010,1233,7978,1241,7937,1244,8234,1244,8242,1184,8234,1122,8209,1068,8162,1023,8091,989,8069,981,8046,974,8022,966,7951,946,7921,933,7904,918,7899,900,7904,879,7920,863,7948,852,7988,849,8186,849,8211,709,8157,698,8103,688,8047,682,7988,679xm8186,849l7988,849,8036,851,8084,858,8131,868,8180,881,8186,849xm5470,383l5265,383,5265,1398,5469,1398,5470,897,5498,887,5528,878,5561,872,5596,869,5893,869,5893,867,5872,799,5837,747,5789,712,5470,712,5470,383xm5893,869l5596,869,5644,875,5675,893,5691,925,5696,972,5695,1398,5900,1398,5900,950,5893,869xm5642,681l5594,684,5548,691,5506,700,5470,712,5789,712,5788,710,5723,688,5642,681xm4237,699l4033,699,4033,1140,4039,1214,4058,1276,4091,1326,4136,1364,4195,1390,4267,1406,4352,1411,4429,1408,4506,1400,4584,1385,4667,1366,4667,1225,4362,1225,4298,1218,4260,1198,4241,1165,4237,1120,4237,699xm4667,699l4463,699,4463,1214,4440,1219,4416,1222,4390,1224,4362,1225,4667,1225,4667,699xm2562,1150l2520,1347,2594,1374,2670,1394,2750,1407,2835,1412,2933,1404,3016,1382,3084,1347,3137,1300,3176,1245,3186,1217,2833,1217,2763,1212,2696,1199,2629,1178,2562,1150xm2897,430l2801,438,2718,459,2649,493,2595,538,2556,593,2532,654,2524,722,2534,806,2566,876,2620,931,2697,974,2724,984,2753,995,2784,1005,2816,1015,2898,1042,2949,1066,2977,1091,2985,1124,2975,1164,2947,1193,2900,1211,2833,1217,3186,1217,3199,1182,3207,1114,3198,1040,3173,979,3133,929,3081,889,3018,859,2990,849,2960,839,2928,829,2896,820,2823,797,2776,775,2751,750,2743,717,2752,678,2779,651,2825,634,2893,629,3143,629,3174,485,3108,462,3041,445,2971,434,2897,430xm3143,629l2893,629,2955,633,3016,644,3074,660,3132,681,3143,629xm3615,678l3542,684,3473,703,3411,734,3357,777,3313,829,3279,892,3258,963,3251,1043,3258,1124,3279,1196,3312,1258,3357,1312,3411,1354,3473,1386,3541,1405,3615,1412,3689,1406,3757,1386,3819,1355,3873,1312,3917,1259,3939,1219,3615,1219,3554,1207,3504,1174,3471,1119,3459,1044,3459,1043,3471,969,3504,915,3553,882,3615,871,3940,871,3918,830,3873,777,3819,735,3758,704,3689,684,3615,678xm3940,871l3615,871,3677,882,3726,915,3758,969,3770,1043,3770,1044,3758,1119,3725,1174,3676,1208,3615,1219,3939,1219,3951,1196,3972,1124,3980,1044,3972,964,3951,892,3940,871xe" filled="true" fillcolor="#231f20" stroked="false">
              <v:path arrowok="t"/>
              <v:fill type="solid"/>
            </v:shape>
            <v:shape style="position:absolute;left:8680;top:424;width:176;height:177" type="#_x0000_t75" stroked="false">
              <v:imagedata r:id="rId7" o:title=""/>
            </v:shape>
            <w10:wrap type="topAndBottom"/>
          </v:group>
        </w:pict>
      </w:r>
      <w:r>
        <w:rPr>
          <w:color w:val="231F20"/>
          <w:sz w:val="20"/>
        </w:rPr>
        <w:t>Commission File No. 1-7259</w:t>
      </w:r>
    </w:p>
    <w:p>
      <w:pPr>
        <w:pStyle w:val="BodyText"/>
        <w:spacing w:before="10"/>
        <w:rPr>
          <w:sz w:val="6"/>
        </w:rPr>
      </w:pPr>
    </w:p>
    <w:p>
      <w:pPr>
        <w:spacing w:line="261" w:lineRule="exact" w:before="100"/>
        <w:ind w:left="0" w:right="0" w:firstLine="0"/>
        <w:jc w:val="center"/>
        <w:rPr>
          <w:b/>
          <w:sz w:val="24"/>
        </w:rPr>
      </w:pPr>
      <w:r>
        <w:rPr/>
        <w:pict>
          <v:group style="position:absolute;margin-left:442.373993pt;margin-top:-30.029869pt;width:25.65pt;height:24.6pt;mso-position-horizontal-relative:page;mso-position-vertical-relative:paragraph;z-index:-377896" coordorigin="8847,-601" coordsize="513,492">
            <v:shape style="position:absolute;left:8847;top:-601;width:513;height:491" type="#_x0000_t75" stroked="false">
              <v:imagedata r:id="rId8" o:title=""/>
            </v:shape>
            <v:shape style="position:absolute;left:8862;top:-475;width:338;height:349" type="#_x0000_t75" stroked="false">
              <v:imagedata r:id="rId9" o:title=""/>
            </v:shape>
            <v:shape style="position:absolute;left:8867;top:-586;width:468;height:363" type="#_x0000_t75" stroked="false">
              <v:imagedata r:id="rId10" o:title=""/>
            </v:shape>
            <v:shape style="position:absolute;left:9118;top:-586;width:227;height:170" type="#_x0000_t75" stroked="false">
              <v:imagedata r:id="rId11" o:title=""/>
            </v:shape>
            <v:shape style="position:absolute;left:8847;top:-601;width:513;height:491" type="#_x0000_t75" stroked="false">
              <v:imagedata r:id="rId12" o:title=""/>
            </v:shape>
            <v:shape style="position:absolute;left:8862;top:-475;width:338;height:349" type="#_x0000_t75" stroked="false">
              <v:imagedata r:id="rId13" o:title=""/>
            </v:shape>
            <v:shape style="position:absolute;left:8867;top:-586;width:468;height:363" type="#_x0000_t75" stroked="false">
              <v:imagedata r:id="rId14" o:title=""/>
            </v:shape>
            <v:shape style="position:absolute;left:9118;top:-586;width:227;height:170" type="#_x0000_t75" stroked="false">
              <v:imagedata r:id="rId15" o:title=""/>
            </v:shape>
            <w10:wrap type="none"/>
          </v:group>
        </w:pict>
      </w:r>
      <w:r>
        <w:rPr>
          <w:b/>
          <w:color w:val="231F20"/>
          <w:sz w:val="24"/>
        </w:rPr>
        <w:t>Southwest Airlines Co.</w:t>
      </w:r>
    </w:p>
    <w:p>
      <w:pPr>
        <w:spacing w:line="192" w:lineRule="exact" w:before="0"/>
        <w:ind w:left="0" w:right="0" w:firstLine="0"/>
        <w:jc w:val="center"/>
        <w:rPr>
          <w:sz w:val="18"/>
        </w:rPr>
      </w:pPr>
      <w:r>
        <w:rPr>
          <w:color w:val="231F20"/>
          <w:sz w:val="18"/>
        </w:rPr>
        <w:t>(Exact name of registrant as specified in its charter)</w:t>
      </w:r>
    </w:p>
    <w:p>
      <w:pPr>
        <w:tabs>
          <w:tab w:pos="5279" w:val="left" w:leader="none"/>
        </w:tabs>
        <w:spacing w:line="198" w:lineRule="exact" w:before="74"/>
        <w:ind w:left="94" w:right="0" w:firstLine="0"/>
        <w:jc w:val="center"/>
        <w:rPr>
          <w:sz w:val="18"/>
        </w:rPr>
      </w:pPr>
      <w:r>
        <w:rPr>
          <w:color w:val="231F20"/>
          <w:sz w:val="18"/>
        </w:rPr>
        <w:t>TEXAS</w:t>
        <w:tab/>
        <w:t>74-1563240</w:t>
      </w:r>
    </w:p>
    <w:p>
      <w:pPr>
        <w:tabs>
          <w:tab w:pos="7491" w:val="left" w:leader="none"/>
        </w:tabs>
        <w:spacing w:line="190" w:lineRule="exact" w:before="0"/>
        <w:ind w:left="1665" w:right="0" w:firstLine="0"/>
        <w:jc w:val="left"/>
        <w:rPr>
          <w:sz w:val="18"/>
        </w:rPr>
      </w:pPr>
      <w:r>
        <w:rPr>
          <w:color w:val="231F20"/>
          <w:sz w:val="18"/>
        </w:rPr>
        <w:t>(State or other jurisdiction</w:t>
      </w:r>
      <w:r>
        <w:rPr>
          <w:color w:val="231F20"/>
          <w:spacing w:val="-1"/>
          <w:sz w:val="18"/>
        </w:rPr>
        <w:t> </w:t>
      </w:r>
      <w:r>
        <w:rPr>
          <w:color w:val="231F20"/>
          <w:sz w:val="18"/>
        </w:rPr>
        <w:t>of</w:t>
        <w:tab/>
        <w:t>(IRS Employer</w:t>
      </w:r>
    </w:p>
    <w:p>
      <w:pPr>
        <w:tabs>
          <w:tab w:pos="7369" w:val="left" w:leader="none"/>
        </w:tabs>
        <w:spacing w:line="190" w:lineRule="exact" w:before="0"/>
        <w:ind w:left="1625" w:right="0" w:firstLine="0"/>
        <w:jc w:val="left"/>
        <w:rPr>
          <w:sz w:val="18"/>
        </w:rPr>
      </w:pPr>
      <w:r>
        <w:rPr>
          <w:color w:val="231F20"/>
          <w:sz w:val="18"/>
        </w:rPr>
        <w:t>incorporation or organization)</w:t>
        <w:tab/>
        <w:t>Identification No.)</w:t>
      </w:r>
    </w:p>
    <w:p>
      <w:pPr>
        <w:spacing w:line="190" w:lineRule="exact" w:before="0"/>
        <w:ind w:left="2130" w:right="0" w:firstLine="0"/>
        <w:jc w:val="left"/>
        <w:rPr>
          <w:sz w:val="18"/>
        </w:rPr>
      </w:pPr>
      <w:r>
        <w:rPr>
          <w:color w:val="231F20"/>
          <w:sz w:val="18"/>
        </w:rPr>
        <w:t>P.O. Box 36611</w:t>
      </w:r>
    </w:p>
    <w:p>
      <w:pPr>
        <w:tabs>
          <w:tab w:pos="5384" w:val="left" w:leader="none"/>
        </w:tabs>
        <w:spacing w:line="190" w:lineRule="exact" w:before="0"/>
        <w:ind w:left="0" w:right="103" w:firstLine="0"/>
        <w:jc w:val="center"/>
        <w:rPr>
          <w:sz w:val="18"/>
        </w:rPr>
      </w:pPr>
      <w:r>
        <w:rPr>
          <w:color w:val="231F20"/>
          <w:sz w:val="18"/>
        </w:rPr>
        <w:t>Dallas, Texas</w:t>
        <w:tab/>
        <w:t>75235-1611</w:t>
      </w:r>
    </w:p>
    <w:p>
      <w:pPr>
        <w:tabs>
          <w:tab w:pos="7641" w:val="left" w:leader="none"/>
        </w:tabs>
        <w:spacing w:line="326" w:lineRule="auto" w:before="0"/>
        <w:ind w:left="2935" w:right="2361" w:hanging="1655"/>
        <w:jc w:val="left"/>
        <w:rPr>
          <w:b/>
          <w:sz w:val="18"/>
        </w:rPr>
      </w:pPr>
      <w:r>
        <w:rPr/>
        <w:pict>
          <v:line style="position:absolute;mso-position-horizontal-relative:page;mso-position-vertical-relative:paragraph;z-index:1072;mso-wrap-distance-left:0;mso-wrap-distance-right:0" from="249pt,33.950439pt" to="345pt,33.950439pt" stroked="true" strokeweight="1pt" strokecolor="#231f20">
            <v:stroke dashstyle="solid"/>
            <w10:wrap type="topAndBottom"/>
          </v:line>
        </w:pict>
      </w:r>
      <w:r>
        <w:rPr>
          <w:color w:val="231F20"/>
          <w:sz w:val="18"/>
        </w:rPr>
        <w:t>(Address of principal executive offices)</w:t>
        <w:tab/>
        <w:t>(Zip Code) Registrant’s telephone number, including area code: </w:t>
      </w:r>
      <w:r>
        <w:rPr>
          <w:b/>
          <w:color w:val="231F20"/>
          <w:sz w:val="18"/>
        </w:rPr>
        <w:t>(214)</w:t>
      </w:r>
      <w:r>
        <w:rPr>
          <w:b/>
          <w:color w:val="231F20"/>
          <w:spacing w:val="-1"/>
          <w:sz w:val="18"/>
        </w:rPr>
        <w:t> </w:t>
      </w:r>
      <w:r>
        <w:rPr>
          <w:b/>
          <w:color w:val="231F20"/>
          <w:sz w:val="18"/>
        </w:rPr>
        <w:t>792-4000</w:t>
      </w:r>
    </w:p>
    <w:p>
      <w:pPr>
        <w:spacing w:before="84"/>
        <w:ind w:left="0" w:right="0" w:firstLine="0"/>
        <w:jc w:val="center"/>
        <w:rPr>
          <w:b/>
          <w:sz w:val="18"/>
        </w:rPr>
      </w:pPr>
      <w:r>
        <w:rPr>
          <w:b/>
          <w:color w:val="231F20"/>
          <w:sz w:val="18"/>
        </w:rPr>
        <w:t>Securities registered pursuant to Section 12(b) of the Act:</w:t>
      </w:r>
    </w:p>
    <w:p>
      <w:pPr>
        <w:tabs>
          <w:tab w:pos="6374" w:val="left" w:leader="none"/>
        </w:tabs>
        <w:spacing w:before="64" w:after="19"/>
        <w:ind w:left="1846" w:right="0" w:firstLine="0"/>
        <w:jc w:val="left"/>
        <w:rPr>
          <w:b/>
          <w:sz w:val="18"/>
        </w:rPr>
      </w:pPr>
      <w:r>
        <w:rPr>
          <w:b/>
          <w:color w:val="231F20"/>
          <w:sz w:val="18"/>
        </w:rPr>
        <w:t>Title of Each</w:t>
      </w:r>
      <w:r>
        <w:rPr>
          <w:b/>
          <w:color w:val="231F20"/>
          <w:spacing w:val="-1"/>
          <w:sz w:val="18"/>
        </w:rPr>
        <w:t> </w:t>
      </w:r>
      <w:r>
        <w:rPr>
          <w:b/>
          <w:color w:val="231F20"/>
          <w:sz w:val="18"/>
        </w:rPr>
        <w:t>Class</w:t>
        <w:tab/>
        <w:t>Name of Each Exchange on Which</w:t>
      </w:r>
      <w:r>
        <w:rPr>
          <w:b/>
          <w:color w:val="231F20"/>
          <w:spacing w:val="-4"/>
          <w:sz w:val="18"/>
        </w:rPr>
        <w:t> </w:t>
      </w:r>
      <w:r>
        <w:rPr>
          <w:b/>
          <w:color w:val="231F20"/>
          <w:sz w:val="18"/>
        </w:rPr>
        <w:t>Registered</w:t>
      </w:r>
    </w:p>
    <w:p>
      <w:pPr>
        <w:tabs>
          <w:tab w:pos="5590" w:val="left" w:leader="none"/>
        </w:tabs>
        <w:spacing w:line="20" w:lineRule="exact"/>
        <w:ind w:left="110" w:right="0" w:firstLine="0"/>
        <w:rPr>
          <w:sz w:val="2"/>
        </w:rPr>
      </w:pP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r>
        <w:rPr>
          <w:sz w:val="2"/>
        </w:rPr>
        <w:tab/>
      </w:r>
      <w:r>
        <w:rPr>
          <w:sz w:val="2"/>
        </w:rPr>
        <w:pict>
          <v:group style="width:255pt;height:1pt;mso-position-horizontal-relative:char;mso-position-vertical-relative:line" coordorigin="0,0" coordsize="5100,20">
            <v:line style="position:absolute" from="10,10" to="5090,10" stroked="true" strokeweight="1pt" strokecolor="#231f20">
              <v:stroke dashstyle="solid"/>
            </v:line>
          </v:group>
        </w:pict>
      </w:r>
      <w:r>
        <w:rPr>
          <w:sz w:val="2"/>
        </w:rPr>
      </w:r>
    </w:p>
    <w:p>
      <w:pPr>
        <w:tabs>
          <w:tab w:pos="7156" w:val="left" w:leader="none"/>
        </w:tabs>
        <w:spacing w:before="22"/>
        <w:ind w:left="1457" w:right="0" w:firstLine="0"/>
        <w:jc w:val="left"/>
        <w:rPr>
          <w:sz w:val="18"/>
        </w:rPr>
      </w:pPr>
      <w:r>
        <w:rPr>
          <w:color w:val="231F20"/>
          <w:sz w:val="18"/>
        </w:rPr>
        <w:t>Common Stock ($1.00</w:t>
      </w:r>
      <w:r>
        <w:rPr>
          <w:color w:val="231F20"/>
          <w:spacing w:val="-2"/>
          <w:sz w:val="18"/>
        </w:rPr>
        <w:t> </w:t>
      </w:r>
      <w:r>
        <w:rPr>
          <w:color w:val="231F20"/>
          <w:sz w:val="18"/>
        </w:rPr>
        <w:t>par value)</w:t>
        <w:tab/>
        <w:t>New York Stock</w:t>
      </w:r>
      <w:r>
        <w:rPr>
          <w:color w:val="231F20"/>
          <w:spacing w:val="-1"/>
          <w:sz w:val="18"/>
        </w:rPr>
        <w:t> </w:t>
      </w:r>
      <w:r>
        <w:rPr>
          <w:color w:val="231F20"/>
          <w:sz w:val="18"/>
        </w:rPr>
        <w:t>Exchange</w:t>
      </w:r>
    </w:p>
    <w:p>
      <w:pPr>
        <w:spacing w:line="360" w:lineRule="auto" w:before="74"/>
        <w:ind w:left="3199" w:right="3198" w:firstLine="0"/>
        <w:jc w:val="center"/>
        <w:rPr>
          <w:b/>
          <w:sz w:val="18"/>
        </w:rPr>
      </w:pPr>
      <w:r>
        <w:rPr>
          <w:b/>
          <w:color w:val="231F20"/>
          <w:sz w:val="18"/>
        </w:rPr>
        <w:t>Securities registered pursuant to Section 12(g) of the Act: None</w:t>
      </w:r>
    </w:p>
    <w:p>
      <w:pPr>
        <w:spacing w:line="181" w:lineRule="exact" w:before="0"/>
        <w:ind w:left="659" w:right="0" w:firstLine="0"/>
        <w:jc w:val="left"/>
        <w:rPr>
          <w:rFonts w:ascii="39251" w:hAnsi="39251"/>
          <w:sz w:val="18"/>
        </w:rPr>
      </w:pPr>
      <w:r>
        <w:rPr>
          <w:color w:val="231F20"/>
          <w:sz w:val="18"/>
        </w:rPr>
        <w:t>Indicate by check mark if the registrant is a well-known seasoned issuer, as defined in Rule 405 of the Securities Act.    Yes  </w:t>
      </w:r>
      <w:r>
        <w:rPr>
          <w:rFonts w:ascii="39251" w:hAnsi="39251"/>
          <w:color w:val="231F20"/>
          <w:sz w:val="18"/>
        </w:rPr>
        <w:t>Í </w:t>
      </w:r>
      <w:r>
        <w:rPr>
          <w:color w:val="231F20"/>
          <w:sz w:val="18"/>
        </w:rPr>
        <w:t>No </w:t>
      </w:r>
      <w:r>
        <w:rPr>
          <w:rFonts w:ascii="39251" w:hAnsi="39251"/>
          <w:color w:val="231F20"/>
          <w:sz w:val="18"/>
        </w:rPr>
        <w:t>‘</w:t>
      </w:r>
    </w:p>
    <w:p>
      <w:pPr>
        <w:spacing w:before="54"/>
        <w:ind w:left="0" w:right="118" w:firstLine="0"/>
        <w:jc w:val="right"/>
        <w:rPr>
          <w:rFonts w:ascii="39251" w:hAnsi="39251"/>
          <w:sz w:val="18"/>
        </w:rPr>
      </w:pPr>
      <w:r>
        <w:rPr>
          <w:color w:val="231F20"/>
          <w:sz w:val="18"/>
        </w:rPr>
        <w:t>Indicate by check mark if the registrant is not required to file reports pursuant to Section 13 or Section 15(d)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89"/>
        <w:ind w:left="119" w:right="118" w:firstLine="540"/>
        <w:jc w:val="both"/>
        <w:rPr>
          <w:rFonts w:ascii="39251" w:hAnsi="39251"/>
          <w:sz w:val="18"/>
        </w:rPr>
      </w:pPr>
      <w:r>
        <w:rPr>
          <w:color w:val="231F20"/>
          <w:sz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39251" w:hAnsi="39251"/>
          <w:color w:val="231F20"/>
          <w:sz w:val="18"/>
        </w:rPr>
        <w:t>Í </w:t>
      </w:r>
      <w:r>
        <w:rPr>
          <w:color w:val="231F20"/>
          <w:sz w:val="18"/>
        </w:rPr>
        <w:t>No</w:t>
      </w:r>
      <w:r>
        <w:rPr>
          <w:color w:val="231F20"/>
          <w:spacing w:val="43"/>
          <w:sz w:val="18"/>
        </w:rPr>
        <w:t> </w:t>
      </w:r>
      <w:r>
        <w:rPr>
          <w:rFonts w:ascii="39251" w:hAnsi="39251"/>
          <w:color w:val="231F20"/>
          <w:sz w:val="18"/>
        </w:rPr>
        <w:t>‘</w:t>
      </w:r>
    </w:p>
    <w:p>
      <w:pPr>
        <w:spacing w:line="190" w:lineRule="exact" w:before="90"/>
        <w:ind w:left="119" w:right="118" w:firstLine="540"/>
        <w:jc w:val="both"/>
        <w:rPr>
          <w:rFonts w:ascii="39251" w:hAnsi="39251"/>
          <w:sz w:val="18"/>
        </w:rPr>
      </w:pPr>
      <w:r>
        <w:rPr>
          <w:color w:val="231F20"/>
          <w:sz w:val="18"/>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8"/>
        </w:rPr>
        <w:t>Í </w:t>
      </w:r>
      <w:r>
        <w:rPr>
          <w:color w:val="231F20"/>
          <w:sz w:val="18"/>
        </w:rPr>
        <w:t>No </w:t>
      </w:r>
      <w:r>
        <w:rPr>
          <w:rFonts w:ascii="39251" w:hAnsi="39251"/>
          <w:color w:val="231F20"/>
          <w:sz w:val="18"/>
        </w:rPr>
        <w:t>‘</w:t>
      </w:r>
    </w:p>
    <w:p>
      <w:pPr>
        <w:spacing w:line="190" w:lineRule="exact" w:before="90"/>
        <w:ind w:left="119" w:right="117" w:firstLine="540"/>
        <w:jc w:val="both"/>
        <w:rPr>
          <w:rFonts w:ascii="39251" w:hAnsi="39251"/>
          <w:sz w:val="18"/>
        </w:rPr>
      </w:pPr>
      <w:r>
        <w:rPr>
          <w:color w:val="231F20"/>
          <w:sz w:val="18"/>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color w:val="231F20"/>
          <w:spacing w:val="41"/>
          <w:sz w:val="18"/>
        </w:rPr>
        <w:t> </w:t>
      </w:r>
      <w:r>
        <w:rPr>
          <w:rFonts w:ascii="39251" w:hAnsi="39251"/>
          <w:color w:val="231F20"/>
          <w:sz w:val="18"/>
        </w:rPr>
        <w:t>Í</w:t>
      </w:r>
    </w:p>
    <w:p>
      <w:pPr>
        <w:spacing w:line="190" w:lineRule="exact" w:before="90"/>
        <w:ind w:left="119" w:right="118" w:firstLine="540"/>
        <w:jc w:val="both"/>
        <w:rPr>
          <w:sz w:val="18"/>
        </w:rPr>
      </w:pPr>
      <w:r>
        <w:rPr>
          <w:color w:val="231F20"/>
          <w:sz w:val="18"/>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tabs>
          <w:tab w:pos="2999" w:val="left" w:leader="none"/>
          <w:tab w:pos="4984" w:val="left" w:leader="none"/>
          <w:tab w:pos="7289" w:val="left" w:leader="none"/>
          <w:tab w:pos="7969" w:val="left" w:leader="none"/>
          <w:tab w:pos="10299" w:val="left" w:leader="none"/>
        </w:tabs>
        <w:spacing w:before="65"/>
        <w:ind w:left="1019" w:right="0" w:firstLine="0"/>
        <w:jc w:val="left"/>
        <w:rPr>
          <w:rFonts w:ascii="39251" w:hAnsi="39251"/>
          <w:sz w:val="18"/>
        </w:rPr>
      </w:pPr>
      <w:r>
        <w:rPr>
          <w:color w:val="231F20"/>
          <w:sz w:val="18"/>
        </w:rPr>
        <w:t>Large accelerated filer</w:t>
        <w:tab/>
      </w:r>
      <w:r>
        <w:rPr>
          <w:rFonts w:ascii="39251" w:hAnsi="39251"/>
          <w:color w:val="231F20"/>
          <w:sz w:val="18"/>
        </w:rPr>
        <w:t>Í</w:t>
      </w:r>
      <w:r>
        <w:rPr>
          <w:rFonts w:ascii="39251" w:hAnsi="39251"/>
          <w:color w:val="231F20"/>
          <w:spacing w:val="60"/>
          <w:sz w:val="18"/>
        </w:rPr>
        <w:t> </w:t>
      </w:r>
      <w:r>
        <w:rPr>
          <w:color w:val="231F20"/>
          <w:sz w:val="18"/>
        </w:rPr>
        <w:t>Accelerated filer</w:t>
        <w:tab/>
      </w:r>
      <w:r>
        <w:rPr>
          <w:rFonts w:ascii="39251" w:hAnsi="39251"/>
          <w:color w:val="231F20"/>
          <w:sz w:val="18"/>
        </w:rPr>
        <w:t>‘</w:t>
      </w:r>
      <w:r>
        <w:rPr>
          <w:rFonts w:ascii="39251" w:hAnsi="39251"/>
          <w:color w:val="231F20"/>
          <w:spacing w:val="60"/>
          <w:sz w:val="18"/>
        </w:rPr>
        <w:t> </w:t>
      </w:r>
      <w:r>
        <w:rPr>
          <w:color w:val="231F20"/>
          <w:sz w:val="18"/>
        </w:rPr>
        <w:t>Non-accelerated filer</w:t>
        <w:tab/>
      </w:r>
      <w:r>
        <w:rPr>
          <w:rFonts w:ascii="39251" w:hAnsi="39251"/>
          <w:color w:val="231F20"/>
          <w:sz w:val="18"/>
        </w:rPr>
        <w:t>‘</w:t>
        <w:tab/>
      </w:r>
      <w:r>
        <w:rPr>
          <w:color w:val="231F20"/>
          <w:sz w:val="18"/>
        </w:rPr>
        <w:t>Smaller reporting company</w:t>
        <w:tab/>
      </w:r>
      <w:r>
        <w:rPr>
          <w:rFonts w:ascii="39251" w:hAnsi="39251"/>
          <w:color w:val="231F20"/>
          <w:sz w:val="18"/>
        </w:rPr>
        <w:t>‘</w:t>
      </w:r>
    </w:p>
    <w:p>
      <w:pPr>
        <w:spacing w:before="54"/>
        <w:ind w:left="659" w:right="0" w:firstLine="0"/>
        <w:jc w:val="left"/>
        <w:rPr>
          <w:rFonts w:ascii="39251" w:hAnsi="39251"/>
          <w:sz w:val="18"/>
        </w:rPr>
      </w:pPr>
      <w:r>
        <w:rPr>
          <w:color w:val="231F20"/>
          <w:sz w:val="18"/>
        </w:rPr>
        <w:t>Indicate by check mark whether the registrant is a shell company (as defined in Rule 12b-2 of the Act).    Yes  </w:t>
      </w:r>
      <w:r>
        <w:rPr>
          <w:rFonts w:ascii="39251" w:hAnsi="39251"/>
          <w:color w:val="231F20"/>
          <w:sz w:val="18"/>
        </w:rPr>
        <w:t>‘ </w:t>
      </w:r>
      <w:r>
        <w:rPr>
          <w:color w:val="231F20"/>
          <w:sz w:val="18"/>
        </w:rPr>
        <w:t>No </w:t>
      </w:r>
      <w:r>
        <w:rPr>
          <w:rFonts w:ascii="39251" w:hAnsi="39251"/>
          <w:color w:val="231F20"/>
          <w:sz w:val="18"/>
        </w:rPr>
        <w:t>Í</w:t>
      </w:r>
    </w:p>
    <w:p>
      <w:pPr>
        <w:spacing w:line="190" w:lineRule="exact" w:before="89"/>
        <w:ind w:left="119" w:right="118" w:firstLine="540"/>
        <w:jc w:val="both"/>
        <w:rPr>
          <w:sz w:val="18"/>
        </w:rPr>
      </w:pPr>
      <w:r>
        <w:rPr>
          <w:color w:val="231F20"/>
          <w:sz w:val="18"/>
        </w:rPr>
        <w:t>The aggregate market value of the common stock held by non-affiliates of the registrant was approximately $24,270,482,662 computed by reference to the closing sale price of the common stock on the New York Stock Exchange on June 30, 2016, the last trading day of the registrant’s most recently completed second fiscal quarter.</w:t>
      </w:r>
    </w:p>
    <w:p>
      <w:pPr>
        <w:spacing w:before="74"/>
        <w:ind w:left="119" w:right="0" w:firstLine="0"/>
        <w:jc w:val="left"/>
        <w:rPr>
          <w:sz w:val="18"/>
        </w:rPr>
      </w:pPr>
      <w:r>
        <w:rPr>
          <w:color w:val="231F20"/>
          <w:sz w:val="18"/>
        </w:rPr>
        <w:t>Number of shares of common stock outstanding as of the close of business on February 3, 2017: 615,254,524 shares</w:t>
      </w:r>
    </w:p>
    <w:p>
      <w:pPr>
        <w:spacing w:before="73"/>
        <w:ind w:left="94" w:right="95" w:firstLine="0"/>
        <w:jc w:val="center"/>
        <w:rPr>
          <w:b/>
          <w:sz w:val="18"/>
        </w:rPr>
      </w:pPr>
      <w:r>
        <w:rPr>
          <w:b/>
          <w:color w:val="231F20"/>
          <w:sz w:val="18"/>
        </w:rPr>
        <w:t>DOCUMENTS INCORPORATED BY REFERENCE</w:t>
      </w:r>
    </w:p>
    <w:p>
      <w:pPr>
        <w:spacing w:line="190" w:lineRule="exact" w:before="43"/>
        <w:ind w:left="119" w:right="118" w:firstLine="540"/>
        <w:jc w:val="both"/>
        <w:rPr>
          <w:sz w:val="18"/>
        </w:rPr>
      </w:pPr>
      <w:r>
        <w:rPr/>
        <w:pict>
          <v:group style="position:absolute;margin-left:32.75pt;margin-top:23.797001pt;width:528.5pt;height:3.5pt;mso-position-horizontal-relative:page;mso-position-vertical-relative:paragraph;z-index:1144;mso-wrap-distance-left:0;mso-wrap-distance-right:0" coordorigin="655,476" coordsize="10570,70">
            <v:line style="position:absolute" from="660,481" to="11220,481" stroked="true" strokeweight=".5pt" strokecolor="#231f20">
              <v:stroke dashstyle="solid"/>
            </v:line>
            <v:line style="position:absolute" from="660,541" to="11220,541" stroked="true" strokeweight=".5pt" strokecolor="#231f20">
              <v:stroke dashstyle="solid"/>
            </v:line>
            <w10:wrap type="topAndBottom"/>
          </v:group>
        </w:pict>
      </w:r>
      <w:r>
        <w:rPr>
          <w:color w:val="231F20"/>
          <w:sz w:val="18"/>
        </w:rPr>
        <w:t>Portions of the Definitive Proxy Statement for the Company’s Annual Meeting of Shareholders to be held May 17, 2017, are incorporated into Part III of this Annual Report on Form 10-K.</w:t>
      </w:r>
    </w:p>
    <w:p>
      <w:pPr>
        <w:spacing w:after="0" w:line="190" w:lineRule="exact"/>
        <w:jc w:val="both"/>
        <w:rPr>
          <w:sz w:val="18"/>
        </w:rPr>
        <w:sectPr>
          <w:type w:val="continuous"/>
          <w:pgSz w:w="11880" w:h="15480"/>
          <w:pgMar w:top="1260" w:bottom="280" w:left="540" w:right="540"/>
        </w:sectPr>
      </w:pPr>
    </w:p>
    <w:p>
      <w:pPr>
        <w:spacing w:before="73"/>
        <w:ind w:left="3622" w:right="3620" w:firstLine="0"/>
        <w:jc w:val="center"/>
        <w:rPr>
          <w:b/>
          <w:sz w:val="20"/>
        </w:rPr>
      </w:pPr>
      <w:bookmarkStart w:name="Table of Contents " w:id="4"/>
      <w:bookmarkEnd w:id="4"/>
      <w:r>
        <w:rPr/>
      </w:r>
      <w:r>
        <w:rPr>
          <w:b/>
          <w:color w:val="231F20"/>
          <w:sz w:val="20"/>
        </w:rPr>
        <w:t>TABLE OF CONTENTS</w:t>
      </w:r>
    </w:p>
    <w:p>
      <w:pPr>
        <w:pStyle w:val="BodyText"/>
        <w:rPr>
          <w:b/>
          <w:sz w:val="20"/>
        </w:rPr>
      </w:pPr>
    </w:p>
    <w:p>
      <w:pPr>
        <w:pStyle w:val="BodyText"/>
        <w:rPr>
          <w:b/>
          <w:sz w:val="20"/>
        </w:rPr>
      </w:pPr>
    </w:p>
    <w:p>
      <w:pPr>
        <w:pStyle w:val="BodyText"/>
        <w:spacing w:before="6"/>
        <w:rPr>
          <w:b/>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28"/>
        <w:gridCol w:w="3551"/>
        <w:gridCol w:w="4257"/>
        <w:gridCol w:w="484"/>
      </w:tblGrid>
      <w:tr>
        <w:trPr>
          <w:trHeight w:val="268" w:hRule="exact"/>
        </w:trPr>
        <w:tc>
          <w:tcPr>
            <w:tcW w:w="4479" w:type="dxa"/>
            <w:gridSpan w:val="2"/>
          </w:tcPr>
          <w:p>
            <w:pPr/>
          </w:p>
        </w:tc>
        <w:tc>
          <w:tcPr>
            <w:tcW w:w="4257" w:type="dxa"/>
          </w:tcPr>
          <w:p>
            <w:pPr>
              <w:pStyle w:val="TableParagraph"/>
              <w:spacing w:line="229" w:lineRule="exact" w:before="0"/>
              <w:rPr>
                <w:b/>
                <w:sz w:val="20"/>
              </w:rPr>
            </w:pPr>
            <w:r>
              <w:rPr>
                <w:b/>
                <w:color w:val="231F20"/>
                <w:sz w:val="20"/>
              </w:rPr>
              <w:t>PART 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w:t>
            </w:r>
          </w:p>
        </w:tc>
        <w:tc>
          <w:tcPr>
            <w:tcW w:w="3551" w:type="dxa"/>
          </w:tcPr>
          <w:p>
            <w:pPr>
              <w:pStyle w:val="TableParagraph"/>
              <w:spacing w:before="51"/>
              <w:ind w:left="33"/>
              <w:rPr>
                <w:sz w:val="20"/>
              </w:rPr>
            </w:pPr>
            <w:r>
              <w:rPr>
                <w:color w:val="231F20"/>
                <w:sz w:val="20"/>
              </w:rPr>
              <w:t>Business</w:t>
            </w:r>
          </w:p>
        </w:tc>
        <w:tc>
          <w:tcPr>
            <w:tcW w:w="4257" w:type="dxa"/>
          </w:tcPr>
          <w:p>
            <w:pPr/>
          </w:p>
        </w:tc>
        <w:tc>
          <w:tcPr>
            <w:tcW w:w="484" w:type="dxa"/>
          </w:tcPr>
          <w:p>
            <w:pPr>
              <w:pStyle w:val="TableParagraph"/>
              <w:spacing w:before="51"/>
              <w:ind w:right="48"/>
              <w:jc w:val="right"/>
              <w:rPr>
                <w:sz w:val="20"/>
              </w:rPr>
            </w:pPr>
            <w:r>
              <w:rPr>
                <w:color w:val="231F20"/>
                <w:sz w:val="20"/>
              </w:rPr>
              <w:t>1</w:t>
            </w:r>
          </w:p>
        </w:tc>
      </w:tr>
      <w:tr>
        <w:trPr>
          <w:trHeight w:val="260" w:hRule="exact"/>
        </w:trPr>
        <w:tc>
          <w:tcPr>
            <w:tcW w:w="928" w:type="dxa"/>
          </w:tcPr>
          <w:p>
            <w:pPr>
              <w:pStyle w:val="TableParagraph"/>
              <w:spacing w:before="1"/>
              <w:ind w:left="50"/>
              <w:rPr>
                <w:sz w:val="20"/>
              </w:rPr>
            </w:pPr>
            <w:r>
              <w:rPr>
                <w:color w:val="231F20"/>
                <w:sz w:val="20"/>
              </w:rPr>
              <w:t>Item 1A.</w:t>
            </w:r>
          </w:p>
        </w:tc>
        <w:tc>
          <w:tcPr>
            <w:tcW w:w="3551" w:type="dxa"/>
          </w:tcPr>
          <w:p>
            <w:pPr>
              <w:pStyle w:val="TableParagraph"/>
              <w:spacing w:before="21"/>
              <w:ind w:left="33"/>
              <w:rPr>
                <w:sz w:val="20"/>
              </w:rPr>
            </w:pPr>
            <w:r>
              <w:rPr>
                <w:color w:val="231F20"/>
                <w:sz w:val="20"/>
              </w:rPr>
              <w:t>Risk Factors</w:t>
            </w:r>
          </w:p>
        </w:tc>
        <w:tc>
          <w:tcPr>
            <w:tcW w:w="4257" w:type="dxa"/>
          </w:tcPr>
          <w:p>
            <w:pPr/>
          </w:p>
        </w:tc>
        <w:tc>
          <w:tcPr>
            <w:tcW w:w="484" w:type="dxa"/>
          </w:tcPr>
          <w:p>
            <w:pPr>
              <w:pStyle w:val="TableParagraph"/>
              <w:spacing w:before="21"/>
              <w:ind w:right="48"/>
              <w:jc w:val="right"/>
              <w:rPr>
                <w:sz w:val="20"/>
              </w:rPr>
            </w:pPr>
            <w:r>
              <w:rPr>
                <w:color w:val="231F20"/>
                <w:sz w:val="20"/>
              </w:rPr>
              <w:t>22</w:t>
            </w:r>
          </w:p>
        </w:tc>
      </w:tr>
      <w:tr>
        <w:trPr>
          <w:trHeight w:val="260" w:hRule="exact"/>
        </w:trPr>
        <w:tc>
          <w:tcPr>
            <w:tcW w:w="928" w:type="dxa"/>
          </w:tcPr>
          <w:p>
            <w:pPr>
              <w:pStyle w:val="TableParagraph"/>
              <w:spacing w:before="1"/>
              <w:ind w:left="50"/>
              <w:rPr>
                <w:sz w:val="20"/>
              </w:rPr>
            </w:pPr>
            <w:r>
              <w:rPr>
                <w:color w:val="231F20"/>
                <w:sz w:val="20"/>
              </w:rPr>
              <w:t>Item 1B.</w:t>
            </w:r>
          </w:p>
        </w:tc>
        <w:tc>
          <w:tcPr>
            <w:tcW w:w="3551" w:type="dxa"/>
          </w:tcPr>
          <w:p>
            <w:pPr>
              <w:pStyle w:val="TableParagraph"/>
              <w:spacing w:before="21"/>
              <w:ind w:left="33"/>
              <w:rPr>
                <w:sz w:val="20"/>
              </w:rPr>
            </w:pPr>
            <w:r>
              <w:rPr>
                <w:color w:val="231F20"/>
                <w:sz w:val="20"/>
              </w:rPr>
              <w:t>Unresolved Staff Comments</w:t>
            </w:r>
          </w:p>
        </w:tc>
        <w:tc>
          <w:tcPr>
            <w:tcW w:w="4257" w:type="dxa"/>
          </w:tcPr>
          <w:p>
            <w:pPr/>
          </w:p>
        </w:tc>
        <w:tc>
          <w:tcPr>
            <w:tcW w:w="484" w:type="dxa"/>
          </w:tcPr>
          <w:p>
            <w:pPr>
              <w:pStyle w:val="TableParagraph"/>
              <w:spacing w:before="21"/>
              <w:ind w:right="48"/>
              <w:jc w:val="right"/>
              <w:rPr>
                <w:sz w:val="20"/>
              </w:rPr>
            </w:pPr>
            <w:r>
              <w:rPr>
                <w:color w:val="231F20"/>
                <w:sz w:val="20"/>
              </w:rPr>
              <w:t>30</w:t>
            </w:r>
          </w:p>
        </w:tc>
      </w:tr>
      <w:tr>
        <w:trPr>
          <w:trHeight w:val="260" w:hRule="exact"/>
        </w:trPr>
        <w:tc>
          <w:tcPr>
            <w:tcW w:w="928" w:type="dxa"/>
          </w:tcPr>
          <w:p>
            <w:pPr>
              <w:pStyle w:val="TableParagraph"/>
              <w:spacing w:before="1"/>
              <w:ind w:left="50"/>
              <w:rPr>
                <w:sz w:val="20"/>
              </w:rPr>
            </w:pPr>
            <w:r>
              <w:rPr>
                <w:color w:val="231F20"/>
                <w:sz w:val="20"/>
              </w:rPr>
              <w:t>Item 2.</w:t>
            </w:r>
          </w:p>
        </w:tc>
        <w:tc>
          <w:tcPr>
            <w:tcW w:w="3551" w:type="dxa"/>
          </w:tcPr>
          <w:p>
            <w:pPr>
              <w:pStyle w:val="TableParagraph"/>
              <w:spacing w:before="21"/>
              <w:ind w:left="33"/>
              <w:rPr>
                <w:sz w:val="20"/>
              </w:rPr>
            </w:pPr>
            <w:r>
              <w:rPr>
                <w:color w:val="231F20"/>
                <w:sz w:val="20"/>
              </w:rPr>
              <w:t>Properties</w:t>
            </w:r>
          </w:p>
        </w:tc>
        <w:tc>
          <w:tcPr>
            <w:tcW w:w="4257" w:type="dxa"/>
          </w:tcPr>
          <w:p>
            <w:pPr/>
          </w:p>
        </w:tc>
        <w:tc>
          <w:tcPr>
            <w:tcW w:w="484" w:type="dxa"/>
          </w:tcPr>
          <w:p>
            <w:pPr>
              <w:pStyle w:val="TableParagraph"/>
              <w:spacing w:before="21"/>
              <w:ind w:right="48"/>
              <w:jc w:val="right"/>
              <w:rPr>
                <w:sz w:val="20"/>
              </w:rPr>
            </w:pPr>
            <w:r>
              <w:rPr>
                <w:color w:val="231F20"/>
                <w:sz w:val="20"/>
              </w:rPr>
              <w:t>31</w:t>
            </w:r>
          </w:p>
        </w:tc>
      </w:tr>
      <w:tr>
        <w:trPr>
          <w:trHeight w:val="260" w:hRule="exact"/>
        </w:trPr>
        <w:tc>
          <w:tcPr>
            <w:tcW w:w="928" w:type="dxa"/>
          </w:tcPr>
          <w:p>
            <w:pPr>
              <w:pStyle w:val="TableParagraph"/>
              <w:spacing w:before="1"/>
              <w:ind w:left="50"/>
              <w:rPr>
                <w:sz w:val="20"/>
              </w:rPr>
            </w:pPr>
            <w:r>
              <w:rPr>
                <w:color w:val="231F20"/>
                <w:sz w:val="20"/>
              </w:rPr>
              <w:t>Item 3.</w:t>
            </w:r>
          </w:p>
        </w:tc>
        <w:tc>
          <w:tcPr>
            <w:tcW w:w="3551" w:type="dxa"/>
          </w:tcPr>
          <w:p>
            <w:pPr>
              <w:pStyle w:val="TableParagraph"/>
              <w:spacing w:before="21"/>
              <w:ind w:left="33"/>
              <w:rPr>
                <w:sz w:val="20"/>
              </w:rPr>
            </w:pPr>
            <w:r>
              <w:rPr>
                <w:color w:val="231F20"/>
                <w:sz w:val="20"/>
              </w:rPr>
              <w:t>Legal Proceedings</w:t>
            </w:r>
          </w:p>
        </w:tc>
        <w:tc>
          <w:tcPr>
            <w:tcW w:w="4257" w:type="dxa"/>
          </w:tcPr>
          <w:p>
            <w:pPr/>
          </w:p>
        </w:tc>
        <w:tc>
          <w:tcPr>
            <w:tcW w:w="484" w:type="dxa"/>
          </w:tcPr>
          <w:p>
            <w:pPr>
              <w:pStyle w:val="TableParagraph"/>
              <w:spacing w:before="21"/>
              <w:ind w:right="48"/>
              <w:jc w:val="right"/>
              <w:rPr>
                <w:sz w:val="20"/>
              </w:rPr>
            </w:pPr>
            <w:r>
              <w:rPr>
                <w:color w:val="231F20"/>
                <w:sz w:val="20"/>
              </w:rPr>
              <w:t>32</w:t>
            </w:r>
          </w:p>
        </w:tc>
      </w:tr>
      <w:tr>
        <w:trPr>
          <w:trHeight w:val="387" w:hRule="exact"/>
        </w:trPr>
        <w:tc>
          <w:tcPr>
            <w:tcW w:w="928" w:type="dxa"/>
          </w:tcPr>
          <w:p>
            <w:pPr>
              <w:pStyle w:val="TableParagraph"/>
              <w:spacing w:before="1"/>
              <w:ind w:left="50"/>
              <w:rPr>
                <w:sz w:val="20"/>
              </w:rPr>
            </w:pPr>
            <w:r>
              <w:rPr>
                <w:color w:val="231F20"/>
                <w:sz w:val="20"/>
              </w:rPr>
              <w:t>Item 4.</w:t>
            </w:r>
          </w:p>
        </w:tc>
        <w:tc>
          <w:tcPr>
            <w:tcW w:w="3551" w:type="dxa"/>
          </w:tcPr>
          <w:p>
            <w:pPr>
              <w:pStyle w:val="TableParagraph"/>
              <w:spacing w:before="21"/>
              <w:ind w:left="33"/>
              <w:rPr>
                <w:sz w:val="20"/>
              </w:rPr>
            </w:pPr>
            <w:r>
              <w:rPr>
                <w:color w:val="231F20"/>
                <w:sz w:val="20"/>
              </w:rPr>
              <w:t>Mine Safety Disclosures</w:t>
            </w:r>
          </w:p>
        </w:tc>
        <w:tc>
          <w:tcPr>
            <w:tcW w:w="4257" w:type="dxa"/>
          </w:tcPr>
          <w:p>
            <w:pPr/>
          </w:p>
        </w:tc>
        <w:tc>
          <w:tcPr>
            <w:tcW w:w="484" w:type="dxa"/>
          </w:tcPr>
          <w:p>
            <w:pPr>
              <w:pStyle w:val="TableParagraph"/>
              <w:spacing w:before="21"/>
              <w:ind w:right="48"/>
              <w:jc w:val="right"/>
              <w:rPr>
                <w:sz w:val="20"/>
              </w:rPr>
            </w:pPr>
            <w:r>
              <w:rPr>
                <w:color w:val="231F20"/>
                <w:sz w:val="20"/>
              </w:rPr>
              <w:t>34</w:t>
            </w:r>
          </w:p>
        </w:tc>
      </w:tr>
      <w:tr>
        <w:trPr>
          <w:trHeight w:val="403" w:hRule="exact"/>
        </w:trPr>
        <w:tc>
          <w:tcPr>
            <w:tcW w:w="928" w:type="dxa"/>
          </w:tcPr>
          <w:p>
            <w:pPr/>
          </w:p>
        </w:tc>
        <w:tc>
          <w:tcPr>
            <w:tcW w:w="7808" w:type="dxa"/>
            <w:gridSpan w:val="2"/>
          </w:tcPr>
          <w:p>
            <w:pPr>
              <w:pStyle w:val="TableParagraph"/>
              <w:spacing w:before="134"/>
              <w:ind w:left="3454" w:right="3485"/>
              <w:jc w:val="center"/>
              <w:rPr>
                <w:b/>
                <w:sz w:val="20"/>
              </w:rPr>
            </w:pPr>
            <w:r>
              <w:rPr>
                <w:b/>
                <w:color w:val="231F20"/>
                <w:sz w:val="20"/>
              </w:rPr>
              <w:t>PART II</w:t>
            </w:r>
          </w:p>
        </w:tc>
        <w:tc>
          <w:tcPr>
            <w:tcW w:w="484" w:type="dxa"/>
          </w:tcPr>
          <w:p>
            <w:pPr/>
          </w:p>
        </w:tc>
      </w:tr>
      <w:tr>
        <w:trPr>
          <w:trHeight w:val="300" w:hRule="exact"/>
        </w:trPr>
        <w:tc>
          <w:tcPr>
            <w:tcW w:w="928" w:type="dxa"/>
          </w:tcPr>
          <w:p>
            <w:pPr>
              <w:pStyle w:val="TableParagraph"/>
              <w:spacing w:before="31"/>
              <w:ind w:left="50"/>
              <w:rPr>
                <w:sz w:val="20"/>
              </w:rPr>
            </w:pPr>
            <w:r>
              <w:rPr>
                <w:color w:val="231F20"/>
                <w:sz w:val="20"/>
              </w:rPr>
              <w:t>Item 5.</w:t>
            </w:r>
          </w:p>
        </w:tc>
        <w:tc>
          <w:tcPr>
            <w:tcW w:w="7808" w:type="dxa"/>
            <w:gridSpan w:val="2"/>
          </w:tcPr>
          <w:p>
            <w:pPr>
              <w:pStyle w:val="TableParagraph"/>
              <w:spacing w:before="51"/>
              <w:ind w:left="33"/>
              <w:rPr>
                <w:sz w:val="20"/>
              </w:rPr>
            </w:pPr>
            <w:r>
              <w:rPr>
                <w:color w:val="231F20"/>
                <w:sz w:val="20"/>
              </w:rPr>
              <w:t>Market for Registrant’s Common Equity, Related Stockholder Matters, and Issuer Purchases of</w:t>
            </w:r>
          </w:p>
        </w:tc>
        <w:tc>
          <w:tcPr>
            <w:tcW w:w="484" w:type="dxa"/>
          </w:tcPr>
          <w:p>
            <w:pP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Equity Securities</w:t>
            </w:r>
          </w:p>
        </w:tc>
        <w:tc>
          <w:tcPr>
            <w:tcW w:w="484" w:type="dxa"/>
          </w:tcPr>
          <w:p>
            <w:pPr>
              <w:pStyle w:val="TableParagraph"/>
              <w:spacing w:before="11"/>
              <w:ind w:right="48"/>
              <w:jc w:val="right"/>
              <w:rPr>
                <w:sz w:val="20"/>
              </w:rPr>
            </w:pPr>
            <w:r>
              <w:rPr>
                <w:color w:val="231F20"/>
                <w:sz w:val="20"/>
              </w:rPr>
              <w:t>37</w:t>
            </w:r>
          </w:p>
        </w:tc>
      </w:tr>
      <w:tr>
        <w:trPr>
          <w:trHeight w:val="260" w:hRule="exact"/>
        </w:trPr>
        <w:tc>
          <w:tcPr>
            <w:tcW w:w="928" w:type="dxa"/>
          </w:tcPr>
          <w:p>
            <w:pPr>
              <w:pStyle w:val="TableParagraph"/>
              <w:spacing w:before="1"/>
              <w:ind w:left="50"/>
              <w:rPr>
                <w:sz w:val="20"/>
              </w:rPr>
            </w:pPr>
            <w:r>
              <w:rPr>
                <w:color w:val="231F20"/>
                <w:sz w:val="20"/>
              </w:rPr>
              <w:t>Item 6.</w:t>
            </w:r>
          </w:p>
        </w:tc>
        <w:tc>
          <w:tcPr>
            <w:tcW w:w="7808" w:type="dxa"/>
            <w:gridSpan w:val="2"/>
          </w:tcPr>
          <w:p>
            <w:pPr>
              <w:pStyle w:val="TableParagraph"/>
              <w:spacing w:before="21"/>
              <w:ind w:left="33"/>
              <w:rPr>
                <w:sz w:val="20"/>
              </w:rPr>
            </w:pPr>
            <w:r>
              <w:rPr>
                <w:color w:val="231F20"/>
                <w:sz w:val="20"/>
              </w:rPr>
              <w:t>Selected Financial Data</w:t>
            </w:r>
          </w:p>
        </w:tc>
        <w:tc>
          <w:tcPr>
            <w:tcW w:w="484" w:type="dxa"/>
          </w:tcPr>
          <w:p>
            <w:pPr>
              <w:pStyle w:val="TableParagraph"/>
              <w:spacing w:before="21"/>
              <w:ind w:right="48"/>
              <w:jc w:val="right"/>
              <w:rPr>
                <w:sz w:val="20"/>
              </w:rPr>
            </w:pPr>
            <w:r>
              <w:rPr>
                <w:color w:val="231F20"/>
                <w:sz w:val="20"/>
              </w:rPr>
              <w:t>40</w:t>
            </w:r>
          </w:p>
        </w:tc>
      </w:tr>
      <w:tr>
        <w:trPr>
          <w:trHeight w:val="270" w:hRule="exact"/>
        </w:trPr>
        <w:tc>
          <w:tcPr>
            <w:tcW w:w="928" w:type="dxa"/>
          </w:tcPr>
          <w:p>
            <w:pPr>
              <w:pStyle w:val="TableParagraph"/>
              <w:spacing w:before="1"/>
              <w:ind w:left="50"/>
              <w:rPr>
                <w:sz w:val="20"/>
              </w:rPr>
            </w:pPr>
            <w:r>
              <w:rPr>
                <w:color w:val="231F20"/>
                <w:sz w:val="20"/>
              </w:rPr>
              <w:t>Item 7.</w:t>
            </w:r>
          </w:p>
        </w:tc>
        <w:tc>
          <w:tcPr>
            <w:tcW w:w="7808" w:type="dxa"/>
            <w:gridSpan w:val="2"/>
          </w:tcPr>
          <w:p>
            <w:pPr>
              <w:pStyle w:val="TableParagraph"/>
              <w:spacing w:before="21"/>
              <w:ind w:left="33"/>
              <w:rPr>
                <w:sz w:val="20"/>
              </w:rPr>
            </w:pPr>
            <w:r>
              <w:rPr>
                <w:color w:val="231F20"/>
                <w:sz w:val="20"/>
              </w:rPr>
              <w:t>Management’s Discussion and Analysis of Financial Condition and Results of Operations</w:t>
            </w:r>
          </w:p>
        </w:tc>
        <w:tc>
          <w:tcPr>
            <w:tcW w:w="484" w:type="dxa"/>
          </w:tcPr>
          <w:p>
            <w:pPr>
              <w:pStyle w:val="TableParagraph"/>
              <w:spacing w:before="21"/>
              <w:ind w:right="48"/>
              <w:jc w:val="right"/>
              <w:rPr>
                <w:sz w:val="20"/>
              </w:rPr>
            </w:pPr>
            <w:r>
              <w:rPr>
                <w:color w:val="231F20"/>
                <w:sz w:val="20"/>
              </w:rPr>
              <w:t>42</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Liquidity and Capital Resources</w:t>
            </w:r>
          </w:p>
        </w:tc>
        <w:tc>
          <w:tcPr>
            <w:tcW w:w="484" w:type="dxa"/>
          </w:tcPr>
          <w:p>
            <w:pPr>
              <w:pStyle w:val="TableParagraph"/>
              <w:spacing w:before="11"/>
              <w:ind w:right="48"/>
              <w:jc w:val="right"/>
              <w:rPr>
                <w:sz w:val="20"/>
              </w:rPr>
            </w:pPr>
            <w:r>
              <w:rPr>
                <w:color w:val="231F20"/>
                <w:sz w:val="20"/>
              </w:rPr>
              <w:t>58</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Off-Balance Sheet Arrangements, Contractual Obligations, and Contingent Liabilities and</w:t>
            </w:r>
          </w:p>
        </w:tc>
        <w:tc>
          <w:tcPr>
            <w:tcW w:w="484" w:type="dxa"/>
          </w:tcPr>
          <w:p>
            <w:pP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Commitments</w:t>
            </w:r>
          </w:p>
        </w:tc>
        <w:tc>
          <w:tcPr>
            <w:tcW w:w="484" w:type="dxa"/>
          </w:tcPr>
          <w:p>
            <w:pPr>
              <w:pStyle w:val="TableParagraph"/>
              <w:spacing w:before="11"/>
              <w:ind w:right="48"/>
              <w:jc w:val="right"/>
              <w:rPr>
                <w:sz w:val="20"/>
              </w:rPr>
            </w:pPr>
            <w:r>
              <w:rPr>
                <w:color w:val="231F20"/>
                <w:sz w:val="20"/>
              </w:rPr>
              <w:t>60</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Critical Accounting Policies and Estimates</w:t>
            </w:r>
          </w:p>
        </w:tc>
        <w:tc>
          <w:tcPr>
            <w:tcW w:w="484" w:type="dxa"/>
          </w:tcPr>
          <w:p>
            <w:pPr>
              <w:pStyle w:val="TableParagraph"/>
              <w:spacing w:before="11"/>
              <w:ind w:right="48"/>
              <w:jc w:val="right"/>
              <w:rPr>
                <w:sz w:val="20"/>
              </w:rPr>
            </w:pPr>
            <w:r>
              <w:rPr>
                <w:color w:val="231F20"/>
                <w:sz w:val="20"/>
              </w:rPr>
              <w:t>63</w:t>
            </w:r>
          </w:p>
        </w:tc>
      </w:tr>
      <w:tr>
        <w:trPr>
          <w:trHeight w:val="260" w:hRule="exact"/>
        </w:trPr>
        <w:tc>
          <w:tcPr>
            <w:tcW w:w="928" w:type="dxa"/>
          </w:tcPr>
          <w:p>
            <w:pPr>
              <w:pStyle w:val="TableParagraph"/>
              <w:spacing w:before="1"/>
              <w:ind w:left="50"/>
              <w:rPr>
                <w:sz w:val="20"/>
              </w:rPr>
            </w:pPr>
            <w:r>
              <w:rPr>
                <w:color w:val="231F20"/>
                <w:sz w:val="20"/>
              </w:rPr>
              <w:t>Item 7A.</w:t>
            </w:r>
          </w:p>
        </w:tc>
        <w:tc>
          <w:tcPr>
            <w:tcW w:w="7808" w:type="dxa"/>
            <w:gridSpan w:val="2"/>
          </w:tcPr>
          <w:p>
            <w:pPr>
              <w:pStyle w:val="TableParagraph"/>
              <w:spacing w:before="21"/>
              <w:ind w:left="33"/>
              <w:rPr>
                <w:sz w:val="20"/>
              </w:rPr>
            </w:pPr>
            <w:r>
              <w:rPr>
                <w:color w:val="231F20"/>
                <w:sz w:val="20"/>
              </w:rPr>
              <w:t>Quantitative and Qualitative Disclosures About Market Risk</w:t>
            </w:r>
          </w:p>
        </w:tc>
        <w:tc>
          <w:tcPr>
            <w:tcW w:w="484" w:type="dxa"/>
          </w:tcPr>
          <w:p>
            <w:pPr>
              <w:pStyle w:val="TableParagraph"/>
              <w:spacing w:before="21"/>
              <w:ind w:right="48"/>
              <w:jc w:val="right"/>
              <w:rPr>
                <w:sz w:val="20"/>
              </w:rPr>
            </w:pPr>
            <w:r>
              <w:rPr>
                <w:color w:val="231F20"/>
                <w:sz w:val="20"/>
              </w:rPr>
              <w:t>71</w:t>
            </w:r>
          </w:p>
        </w:tc>
      </w:tr>
      <w:tr>
        <w:trPr>
          <w:trHeight w:val="270" w:hRule="exact"/>
        </w:trPr>
        <w:tc>
          <w:tcPr>
            <w:tcW w:w="928" w:type="dxa"/>
          </w:tcPr>
          <w:p>
            <w:pPr>
              <w:pStyle w:val="TableParagraph"/>
              <w:spacing w:before="1"/>
              <w:ind w:left="50"/>
              <w:rPr>
                <w:sz w:val="20"/>
              </w:rPr>
            </w:pPr>
            <w:r>
              <w:rPr>
                <w:color w:val="231F20"/>
                <w:sz w:val="20"/>
              </w:rPr>
              <w:t>Item 8.</w:t>
            </w:r>
          </w:p>
        </w:tc>
        <w:tc>
          <w:tcPr>
            <w:tcW w:w="7808" w:type="dxa"/>
            <w:gridSpan w:val="2"/>
          </w:tcPr>
          <w:p>
            <w:pPr>
              <w:pStyle w:val="TableParagraph"/>
              <w:spacing w:before="21"/>
              <w:ind w:left="33"/>
              <w:rPr>
                <w:sz w:val="20"/>
              </w:rPr>
            </w:pPr>
            <w:r>
              <w:rPr>
                <w:color w:val="231F20"/>
                <w:sz w:val="20"/>
              </w:rPr>
              <w:t>Financial Statements and Supplementary Data</w:t>
            </w:r>
          </w:p>
        </w:tc>
        <w:tc>
          <w:tcPr>
            <w:tcW w:w="484" w:type="dxa"/>
          </w:tcPr>
          <w:p>
            <w:pPr>
              <w:pStyle w:val="TableParagraph"/>
              <w:spacing w:before="21"/>
              <w:ind w:right="48"/>
              <w:jc w:val="right"/>
              <w:rPr>
                <w:sz w:val="20"/>
              </w:rPr>
            </w:pPr>
            <w:r>
              <w:rPr>
                <w:color w:val="231F20"/>
                <w:sz w:val="20"/>
              </w:rPr>
              <w:t>77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Balance Sheet</w:t>
            </w:r>
          </w:p>
        </w:tc>
        <w:tc>
          <w:tcPr>
            <w:tcW w:w="484" w:type="dxa"/>
          </w:tcPr>
          <w:p>
            <w:pPr>
              <w:pStyle w:val="TableParagraph"/>
              <w:spacing w:before="11"/>
              <w:ind w:right="48"/>
              <w:jc w:val="right"/>
              <w:rPr>
                <w:sz w:val="20"/>
              </w:rPr>
            </w:pPr>
            <w:r>
              <w:rPr>
                <w:color w:val="231F20"/>
                <w:sz w:val="20"/>
              </w:rPr>
              <w:t>77</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Income</w:t>
            </w:r>
          </w:p>
        </w:tc>
        <w:tc>
          <w:tcPr>
            <w:tcW w:w="484" w:type="dxa"/>
          </w:tcPr>
          <w:p>
            <w:pPr>
              <w:pStyle w:val="TableParagraph"/>
              <w:spacing w:before="11"/>
              <w:ind w:right="48"/>
              <w:jc w:val="right"/>
              <w:rPr>
                <w:sz w:val="20"/>
              </w:rPr>
            </w:pPr>
            <w:r>
              <w:rPr>
                <w:color w:val="231F20"/>
                <w:sz w:val="20"/>
              </w:rPr>
              <w:t>78</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Comprehensive Income</w:t>
            </w:r>
          </w:p>
        </w:tc>
        <w:tc>
          <w:tcPr>
            <w:tcW w:w="484" w:type="dxa"/>
          </w:tcPr>
          <w:p>
            <w:pPr>
              <w:pStyle w:val="TableParagraph"/>
              <w:spacing w:before="11"/>
              <w:ind w:right="48"/>
              <w:jc w:val="right"/>
              <w:rPr>
                <w:sz w:val="20"/>
              </w:rPr>
            </w:pPr>
            <w:r>
              <w:rPr>
                <w:color w:val="231F20"/>
                <w:sz w:val="20"/>
              </w:rPr>
              <w:t>79</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Stockholders’ Equity</w:t>
            </w:r>
          </w:p>
        </w:tc>
        <w:tc>
          <w:tcPr>
            <w:tcW w:w="484" w:type="dxa"/>
          </w:tcPr>
          <w:p>
            <w:pPr>
              <w:pStyle w:val="TableParagraph"/>
              <w:spacing w:before="11"/>
              <w:ind w:right="48"/>
              <w:jc w:val="right"/>
              <w:rPr>
                <w:sz w:val="20"/>
              </w:rPr>
            </w:pPr>
            <w:r>
              <w:rPr>
                <w:color w:val="231F20"/>
                <w:sz w:val="20"/>
              </w:rPr>
              <w:t>80</w:t>
            </w:r>
          </w:p>
        </w:tc>
      </w:tr>
      <w:tr>
        <w:trPr>
          <w:trHeight w:val="260" w:hRule="exact"/>
        </w:trPr>
        <w:tc>
          <w:tcPr>
            <w:tcW w:w="928" w:type="dxa"/>
          </w:tcPr>
          <w:p>
            <w:pPr/>
          </w:p>
        </w:tc>
        <w:tc>
          <w:tcPr>
            <w:tcW w:w="7808" w:type="dxa"/>
            <w:gridSpan w:val="2"/>
          </w:tcPr>
          <w:p>
            <w:pPr>
              <w:pStyle w:val="TableParagraph"/>
              <w:spacing w:before="11"/>
              <w:ind w:left="33"/>
              <w:rPr>
                <w:sz w:val="20"/>
              </w:rPr>
            </w:pPr>
            <w:r>
              <w:rPr>
                <w:color w:val="231F20"/>
                <w:sz w:val="20"/>
              </w:rPr>
              <w:t>Southwest Airlines Co. Consolidated Statement of Cash Flows</w:t>
            </w:r>
          </w:p>
        </w:tc>
        <w:tc>
          <w:tcPr>
            <w:tcW w:w="484" w:type="dxa"/>
          </w:tcPr>
          <w:p>
            <w:pPr>
              <w:pStyle w:val="TableParagraph"/>
              <w:spacing w:before="11"/>
              <w:ind w:right="48"/>
              <w:jc w:val="right"/>
              <w:rPr>
                <w:sz w:val="20"/>
              </w:rPr>
            </w:pPr>
            <w:r>
              <w:rPr>
                <w:color w:val="231F20"/>
                <w:sz w:val="20"/>
              </w:rPr>
              <w:t>81</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Notes to Consolidated Financial Statements</w:t>
            </w:r>
          </w:p>
        </w:tc>
        <w:tc>
          <w:tcPr>
            <w:tcW w:w="484" w:type="dxa"/>
          </w:tcPr>
          <w:p>
            <w:pPr>
              <w:pStyle w:val="TableParagraph"/>
              <w:spacing w:before="11"/>
              <w:ind w:right="48"/>
              <w:jc w:val="right"/>
              <w:rPr>
                <w:sz w:val="20"/>
              </w:rPr>
            </w:pPr>
            <w:r>
              <w:rPr>
                <w:color w:val="231F20"/>
                <w:sz w:val="20"/>
              </w:rPr>
              <w:t>82</w:t>
            </w:r>
          </w:p>
        </w:tc>
      </w:tr>
      <w:tr>
        <w:trPr>
          <w:trHeight w:val="260" w:hRule="exact"/>
        </w:trPr>
        <w:tc>
          <w:tcPr>
            <w:tcW w:w="928" w:type="dxa"/>
          </w:tcPr>
          <w:p>
            <w:pPr>
              <w:pStyle w:val="TableParagraph"/>
              <w:spacing w:before="1"/>
              <w:ind w:left="50"/>
              <w:rPr>
                <w:sz w:val="20"/>
              </w:rPr>
            </w:pPr>
            <w:r>
              <w:rPr>
                <w:color w:val="231F20"/>
                <w:sz w:val="20"/>
              </w:rPr>
              <w:t>Item 9.</w:t>
            </w:r>
          </w:p>
        </w:tc>
        <w:tc>
          <w:tcPr>
            <w:tcW w:w="7808" w:type="dxa"/>
            <w:gridSpan w:val="2"/>
          </w:tcPr>
          <w:p>
            <w:pPr>
              <w:pStyle w:val="TableParagraph"/>
              <w:spacing w:before="21"/>
              <w:ind w:left="33"/>
              <w:rPr>
                <w:sz w:val="20"/>
              </w:rPr>
            </w:pPr>
            <w:r>
              <w:rPr>
                <w:color w:val="231F20"/>
                <w:sz w:val="20"/>
              </w:rPr>
              <w:t>Changes in and Disagreements With Accountants on Accounting and Financial Disclosure</w:t>
            </w:r>
          </w:p>
        </w:tc>
        <w:tc>
          <w:tcPr>
            <w:tcW w:w="484" w:type="dxa"/>
          </w:tcPr>
          <w:p>
            <w:pPr>
              <w:pStyle w:val="TableParagraph"/>
              <w:spacing w:before="21"/>
              <w:ind w:right="48"/>
              <w:jc w:val="right"/>
              <w:rPr>
                <w:sz w:val="20"/>
              </w:rPr>
            </w:pPr>
            <w:r>
              <w:rPr>
                <w:color w:val="231F20"/>
                <w:sz w:val="20"/>
              </w:rPr>
              <w:t>124</w:t>
            </w:r>
          </w:p>
        </w:tc>
      </w:tr>
      <w:tr>
        <w:trPr>
          <w:trHeight w:val="260" w:hRule="exact"/>
        </w:trPr>
        <w:tc>
          <w:tcPr>
            <w:tcW w:w="928" w:type="dxa"/>
          </w:tcPr>
          <w:p>
            <w:pPr>
              <w:pStyle w:val="TableParagraph"/>
              <w:spacing w:before="1"/>
              <w:ind w:left="50"/>
              <w:rPr>
                <w:sz w:val="20"/>
              </w:rPr>
            </w:pPr>
            <w:r>
              <w:rPr>
                <w:color w:val="231F20"/>
                <w:sz w:val="20"/>
              </w:rPr>
              <w:t>Item 9A.</w:t>
            </w:r>
          </w:p>
        </w:tc>
        <w:tc>
          <w:tcPr>
            <w:tcW w:w="7808" w:type="dxa"/>
            <w:gridSpan w:val="2"/>
          </w:tcPr>
          <w:p>
            <w:pPr>
              <w:pStyle w:val="TableParagraph"/>
              <w:spacing w:before="21"/>
              <w:ind w:left="33"/>
              <w:rPr>
                <w:sz w:val="20"/>
              </w:rPr>
            </w:pPr>
            <w:r>
              <w:rPr>
                <w:color w:val="231F20"/>
                <w:sz w:val="20"/>
              </w:rPr>
              <w:t>Controls and Procedures</w:t>
            </w:r>
          </w:p>
        </w:tc>
        <w:tc>
          <w:tcPr>
            <w:tcW w:w="484" w:type="dxa"/>
          </w:tcPr>
          <w:p>
            <w:pPr>
              <w:pStyle w:val="TableParagraph"/>
              <w:spacing w:before="21"/>
              <w:ind w:right="48"/>
              <w:jc w:val="right"/>
              <w:rPr>
                <w:sz w:val="20"/>
              </w:rPr>
            </w:pPr>
            <w:r>
              <w:rPr>
                <w:color w:val="231F20"/>
                <w:sz w:val="20"/>
              </w:rPr>
              <w:t>124</w:t>
            </w:r>
          </w:p>
        </w:tc>
      </w:tr>
      <w:tr>
        <w:trPr>
          <w:trHeight w:val="252" w:hRule="exact"/>
        </w:trPr>
        <w:tc>
          <w:tcPr>
            <w:tcW w:w="928" w:type="dxa"/>
          </w:tcPr>
          <w:p>
            <w:pPr>
              <w:pStyle w:val="TableParagraph"/>
              <w:spacing w:before="1"/>
              <w:ind w:left="50"/>
              <w:rPr>
                <w:sz w:val="20"/>
              </w:rPr>
            </w:pPr>
            <w:r>
              <w:rPr>
                <w:color w:val="231F20"/>
                <w:sz w:val="20"/>
              </w:rPr>
              <w:t>Item 9B.</w:t>
            </w:r>
          </w:p>
        </w:tc>
        <w:tc>
          <w:tcPr>
            <w:tcW w:w="7808" w:type="dxa"/>
            <w:gridSpan w:val="2"/>
          </w:tcPr>
          <w:p>
            <w:pPr>
              <w:pStyle w:val="TableParagraph"/>
              <w:spacing w:before="21"/>
              <w:ind w:left="33"/>
              <w:rPr>
                <w:sz w:val="20"/>
              </w:rPr>
            </w:pPr>
            <w:r>
              <w:rPr>
                <w:color w:val="231F20"/>
                <w:sz w:val="20"/>
              </w:rPr>
              <w:t>Other Information</w:t>
            </w:r>
          </w:p>
        </w:tc>
        <w:tc>
          <w:tcPr>
            <w:tcW w:w="484" w:type="dxa"/>
          </w:tcPr>
          <w:p>
            <w:pPr>
              <w:pStyle w:val="TableParagraph"/>
              <w:spacing w:before="21"/>
              <w:ind w:right="48"/>
              <w:jc w:val="right"/>
              <w:rPr>
                <w:sz w:val="20"/>
              </w:rPr>
            </w:pPr>
            <w:r>
              <w:rPr>
                <w:color w:val="231F20"/>
                <w:sz w:val="20"/>
              </w:rPr>
              <w:t>125</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5"/>
              <w:jc w:val="center"/>
              <w:rPr>
                <w:b/>
                <w:sz w:val="20"/>
              </w:rPr>
            </w:pPr>
            <w:r>
              <w:rPr>
                <w:b/>
                <w:color w:val="231F20"/>
                <w:sz w:val="20"/>
              </w:rPr>
              <w:t>PART III</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10.</w:t>
            </w:r>
          </w:p>
        </w:tc>
        <w:tc>
          <w:tcPr>
            <w:tcW w:w="7808" w:type="dxa"/>
            <w:gridSpan w:val="2"/>
          </w:tcPr>
          <w:p>
            <w:pPr>
              <w:pStyle w:val="TableParagraph"/>
              <w:spacing w:before="51"/>
              <w:ind w:left="33"/>
              <w:rPr>
                <w:sz w:val="20"/>
              </w:rPr>
            </w:pPr>
            <w:r>
              <w:rPr>
                <w:color w:val="231F20"/>
                <w:sz w:val="20"/>
              </w:rPr>
              <w:t>Directors, Executive Officers, and Corporate Governance</w:t>
            </w:r>
          </w:p>
        </w:tc>
        <w:tc>
          <w:tcPr>
            <w:tcW w:w="484" w:type="dxa"/>
          </w:tcPr>
          <w:p>
            <w:pPr>
              <w:pStyle w:val="TableParagraph"/>
              <w:spacing w:before="51"/>
              <w:ind w:right="48"/>
              <w:jc w:val="right"/>
              <w:rPr>
                <w:sz w:val="20"/>
              </w:rPr>
            </w:pPr>
            <w:r>
              <w:rPr>
                <w:color w:val="231F20"/>
                <w:sz w:val="20"/>
              </w:rPr>
              <w:t>126</w:t>
            </w:r>
          </w:p>
        </w:tc>
      </w:tr>
      <w:tr>
        <w:trPr>
          <w:trHeight w:val="530" w:hRule="exact"/>
        </w:trPr>
        <w:tc>
          <w:tcPr>
            <w:tcW w:w="928" w:type="dxa"/>
          </w:tcPr>
          <w:p>
            <w:pPr>
              <w:pStyle w:val="TableParagraph"/>
              <w:spacing w:before="1"/>
              <w:ind w:left="50"/>
              <w:rPr>
                <w:sz w:val="20"/>
              </w:rPr>
            </w:pPr>
            <w:r>
              <w:rPr>
                <w:color w:val="231F20"/>
                <w:sz w:val="20"/>
              </w:rPr>
              <w:t>Item 11.</w:t>
            </w:r>
          </w:p>
          <w:p>
            <w:pPr>
              <w:pStyle w:val="TableParagraph"/>
              <w:spacing w:before="29"/>
              <w:ind w:left="50"/>
              <w:rPr>
                <w:sz w:val="20"/>
              </w:rPr>
            </w:pPr>
            <w:r>
              <w:rPr>
                <w:color w:val="231F20"/>
                <w:sz w:val="20"/>
              </w:rPr>
              <w:t>Item 12.</w:t>
            </w:r>
          </w:p>
        </w:tc>
        <w:tc>
          <w:tcPr>
            <w:tcW w:w="7808" w:type="dxa"/>
            <w:gridSpan w:val="2"/>
          </w:tcPr>
          <w:p>
            <w:pPr>
              <w:pStyle w:val="TableParagraph"/>
              <w:spacing w:before="21"/>
              <w:ind w:left="33"/>
              <w:rPr>
                <w:sz w:val="20"/>
              </w:rPr>
            </w:pPr>
            <w:r>
              <w:rPr>
                <w:color w:val="231F20"/>
                <w:sz w:val="20"/>
              </w:rPr>
              <w:t>Executive Compensation</w:t>
            </w:r>
          </w:p>
          <w:p>
            <w:pPr>
              <w:pStyle w:val="TableParagraph"/>
              <w:spacing w:before="29"/>
              <w:ind w:left="33"/>
              <w:rPr>
                <w:sz w:val="20"/>
              </w:rPr>
            </w:pPr>
            <w:r>
              <w:rPr>
                <w:color w:val="231F20"/>
                <w:sz w:val="20"/>
              </w:rPr>
              <w:t>Security Ownership of Certain Beneficial Owners and Management and Related Stockholder</w:t>
            </w:r>
          </w:p>
        </w:tc>
        <w:tc>
          <w:tcPr>
            <w:tcW w:w="484" w:type="dxa"/>
          </w:tcPr>
          <w:p>
            <w:pPr>
              <w:pStyle w:val="TableParagraph"/>
              <w:spacing w:before="21"/>
              <w:ind w:right="48"/>
              <w:jc w:val="right"/>
              <w:rPr>
                <w:sz w:val="20"/>
              </w:rPr>
            </w:pPr>
            <w:r>
              <w:rPr>
                <w:color w:val="231F20"/>
                <w:sz w:val="20"/>
              </w:rPr>
              <w:t>126</w:t>
            </w:r>
          </w:p>
        </w:tc>
      </w:tr>
      <w:tr>
        <w:trPr>
          <w:trHeight w:val="250" w:hRule="exact"/>
        </w:trPr>
        <w:tc>
          <w:tcPr>
            <w:tcW w:w="928" w:type="dxa"/>
          </w:tcPr>
          <w:p>
            <w:pPr/>
          </w:p>
        </w:tc>
        <w:tc>
          <w:tcPr>
            <w:tcW w:w="7808" w:type="dxa"/>
            <w:gridSpan w:val="2"/>
          </w:tcPr>
          <w:p>
            <w:pPr>
              <w:pStyle w:val="TableParagraph"/>
              <w:spacing w:before="11"/>
              <w:ind w:left="33"/>
              <w:rPr>
                <w:sz w:val="20"/>
              </w:rPr>
            </w:pPr>
            <w:r>
              <w:rPr>
                <w:color w:val="231F20"/>
                <w:sz w:val="20"/>
              </w:rPr>
              <w:t>Matters</w:t>
            </w:r>
          </w:p>
        </w:tc>
        <w:tc>
          <w:tcPr>
            <w:tcW w:w="484" w:type="dxa"/>
          </w:tcPr>
          <w:p>
            <w:pPr>
              <w:pStyle w:val="TableParagraph"/>
              <w:spacing w:before="11"/>
              <w:ind w:right="48"/>
              <w:jc w:val="right"/>
              <w:rPr>
                <w:sz w:val="20"/>
              </w:rPr>
            </w:pPr>
            <w:r>
              <w:rPr>
                <w:color w:val="231F20"/>
                <w:sz w:val="20"/>
              </w:rPr>
              <w:t>126</w:t>
            </w:r>
          </w:p>
        </w:tc>
      </w:tr>
      <w:tr>
        <w:trPr>
          <w:trHeight w:val="260" w:hRule="exact"/>
        </w:trPr>
        <w:tc>
          <w:tcPr>
            <w:tcW w:w="928" w:type="dxa"/>
          </w:tcPr>
          <w:p>
            <w:pPr>
              <w:pStyle w:val="TableParagraph"/>
              <w:spacing w:before="1"/>
              <w:ind w:left="50"/>
              <w:rPr>
                <w:sz w:val="20"/>
              </w:rPr>
            </w:pPr>
            <w:r>
              <w:rPr>
                <w:color w:val="231F20"/>
                <w:sz w:val="20"/>
              </w:rPr>
              <w:t>Item 13.</w:t>
            </w:r>
          </w:p>
        </w:tc>
        <w:tc>
          <w:tcPr>
            <w:tcW w:w="7808" w:type="dxa"/>
            <w:gridSpan w:val="2"/>
          </w:tcPr>
          <w:p>
            <w:pPr>
              <w:pStyle w:val="TableParagraph"/>
              <w:spacing w:before="21"/>
              <w:ind w:left="33"/>
              <w:rPr>
                <w:sz w:val="20"/>
              </w:rPr>
            </w:pPr>
            <w:r>
              <w:rPr>
                <w:color w:val="231F20"/>
                <w:sz w:val="20"/>
              </w:rPr>
              <w:t>Certain Relationships and Related Transactions, and Director Independence</w:t>
            </w:r>
          </w:p>
        </w:tc>
        <w:tc>
          <w:tcPr>
            <w:tcW w:w="484" w:type="dxa"/>
          </w:tcPr>
          <w:p>
            <w:pPr>
              <w:pStyle w:val="TableParagraph"/>
              <w:spacing w:before="21"/>
              <w:ind w:right="48"/>
              <w:jc w:val="right"/>
              <w:rPr>
                <w:sz w:val="20"/>
              </w:rPr>
            </w:pPr>
            <w:r>
              <w:rPr>
                <w:color w:val="231F20"/>
                <w:sz w:val="20"/>
              </w:rPr>
              <w:t>127</w:t>
            </w:r>
          </w:p>
        </w:tc>
      </w:tr>
      <w:tr>
        <w:trPr>
          <w:trHeight w:val="252" w:hRule="exact"/>
        </w:trPr>
        <w:tc>
          <w:tcPr>
            <w:tcW w:w="928" w:type="dxa"/>
          </w:tcPr>
          <w:p>
            <w:pPr>
              <w:pStyle w:val="TableParagraph"/>
              <w:spacing w:before="1"/>
              <w:ind w:left="50"/>
              <w:rPr>
                <w:sz w:val="20"/>
              </w:rPr>
            </w:pPr>
            <w:r>
              <w:rPr>
                <w:color w:val="231F20"/>
                <w:sz w:val="20"/>
              </w:rPr>
              <w:t>Item 14.</w:t>
            </w:r>
          </w:p>
        </w:tc>
        <w:tc>
          <w:tcPr>
            <w:tcW w:w="7808" w:type="dxa"/>
            <w:gridSpan w:val="2"/>
          </w:tcPr>
          <w:p>
            <w:pPr>
              <w:pStyle w:val="TableParagraph"/>
              <w:spacing w:before="21"/>
              <w:ind w:left="33"/>
              <w:rPr>
                <w:sz w:val="20"/>
              </w:rPr>
            </w:pPr>
            <w:r>
              <w:rPr>
                <w:color w:val="231F20"/>
                <w:sz w:val="20"/>
              </w:rPr>
              <w:t>Principal Accounting Fees and Services</w:t>
            </w:r>
          </w:p>
        </w:tc>
        <w:tc>
          <w:tcPr>
            <w:tcW w:w="484" w:type="dxa"/>
          </w:tcPr>
          <w:p>
            <w:pPr>
              <w:pStyle w:val="TableParagraph"/>
              <w:spacing w:before="21"/>
              <w:ind w:right="48"/>
              <w:jc w:val="right"/>
              <w:rPr>
                <w:sz w:val="20"/>
              </w:rPr>
            </w:pPr>
            <w:r>
              <w:rPr>
                <w:color w:val="231F20"/>
                <w:sz w:val="20"/>
              </w:rPr>
              <w:t>127</w:t>
            </w:r>
          </w:p>
        </w:tc>
      </w:tr>
      <w:tr>
        <w:trPr>
          <w:trHeight w:val="538" w:hRule="exact"/>
        </w:trPr>
        <w:tc>
          <w:tcPr>
            <w:tcW w:w="928" w:type="dxa"/>
          </w:tcPr>
          <w:p>
            <w:pPr/>
          </w:p>
        </w:tc>
        <w:tc>
          <w:tcPr>
            <w:tcW w:w="7808" w:type="dxa"/>
            <w:gridSpan w:val="2"/>
          </w:tcPr>
          <w:p>
            <w:pPr>
              <w:pStyle w:val="TableParagraph"/>
              <w:spacing w:before="5"/>
              <w:rPr>
                <w:b/>
                <w:sz w:val="23"/>
              </w:rPr>
            </w:pPr>
          </w:p>
          <w:p>
            <w:pPr>
              <w:pStyle w:val="TableParagraph"/>
              <w:spacing w:before="0"/>
              <w:ind w:left="3454" w:right="3484"/>
              <w:jc w:val="center"/>
              <w:rPr>
                <w:b/>
                <w:sz w:val="20"/>
              </w:rPr>
            </w:pPr>
            <w:r>
              <w:rPr>
                <w:b/>
                <w:color w:val="231F20"/>
                <w:sz w:val="20"/>
              </w:rPr>
              <w:t>PART IV</w:t>
            </w:r>
          </w:p>
        </w:tc>
        <w:tc>
          <w:tcPr>
            <w:tcW w:w="484" w:type="dxa"/>
          </w:tcPr>
          <w:p>
            <w:pPr/>
          </w:p>
        </w:tc>
      </w:tr>
      <w:tr>
        <w:trPr>
          <w:trHeight w:val="290" w:hRule="exact"/>
        </w:trPr>
        <w:tc>
          <w:tcPr>
            <w:tcW w:w="928" w:type="dxa"/>
          </w:tcPr>
          <w:p>
            <w:pPr>
              <w:pStyle w:val="TableParagraph"/>
              <w:spacing w:before="31"/>
              <w:ind w:left="50"/>
              <w:rPr>
                <w:sz w:val="20"/>
              </w:rPr>
            </w:pPr>
            <w:r>
              <w:rPr>
                <w:color w:val="231F20"/>
                <w:sz w:val="20"/>
              </w:rPr>
              <w:t>Item 15.</w:t>
            </w:r>
          </w:p>
        </w:tc>
        <w:tc>
          <w:tcPr>
            <w:tcW w:w="3551" w:type="dxa"/>
          </w:tcPr>
          <w:p>
            <w:pPr>
              <w:pStyle w:val="TableParagraph"/>
              <w:spacing w:before="51"/>
              <w:ind w:left="33"/>
              <w:rPr>
                <w:sz w:val="20"/>
              </w:rPr>
            </w:pPr>
            <w:r>
              <w:rPr>
                <w:color w:val="231F20"/>
                <w:sz w:val="20"/>
              </w:rPr>
              <w:t>Exhibits and Financial Statement Schedules</w:t>
            </w:r>
          </w:p>
        </w:tc>
        <w:tc>
          <w:tcPr>
            <w:tcW w:w="4741" w:type="dxa"/>
            <w:gridSpan w:val="2"/>
          </w:tcPr>
          <w:p>
            <w:pPr>
              <w:pStyle w:val="TableParagraph"/>
              <w:spacing w:before="51"/>
              <w:ind w:right="48"/>
              <w:jc w:val="right"/>
              <w:rPr>
                <w:sz w:val="20"/>
              </w:rPr>
            </w:pPr>
            <w:r>
              <w:rPr>
                <w:color w:val="231F20"/>
                <w:sz w:val="20"/>
              </w:rPr>
              <w:t>128</w:t>
            </w:r>
          </w:p>
        </w:tc>
      </w:tr>
      <w:tr>
        <w:trPr>
          <w:trHeight w:val="252" w:hRule="exact"/>
        </w:trPr>
        <w:tc>
          <w:tcPr>
            <w:tcW w:w="928" w:type="dxa"/>
          </w:tcPr>
          <w:p>
            <w:pPr>
              <w:pStyle w:val="TableParagraph"/>
              <w:spacing w:before="1"/>
              <w:ind w:left="50"/>
              <w:rPr>
                <w:sz w:val="20"/>
              </w:rPr>
            </w:pPr>
            <w:r>
              <w:rPr>
                <w:color w:val="231F20"/>
                <w:sz w:val="20"/>
              </w:rPr>
              <w:t>Signatures</w:t>
            </w:r>
          </w:p>
        </w:tc>
        <w:tc>
          <w:tcPr>
            <w:tcW w:w="3551" w:type="dxa"/>
          </w:tcPr>
          <w:p>
            <w:pPr/>
          </w:p>
        </w:tc>
        <w:tc>
          <w:tcPr>
            <w:tcW w:w="4741" w:type="dxa"/>
            <w:gridSpan w:val="2"/>
          </w:tcPr>
          <w:p>
            <w:pPr>
              <w:pStyle w:val="TableParagraph"/>
              <w:spacing w:before="21"/>
              <w:ind w:right="48"/>
              <w:jc w:val="right"/>
              <w:rPr>
                <w:sz w:val="20"/>
              </w:rPr>
            </w:pPr>
            <w:r>
              <w:rPr>
                <w:color w:val="231F20"/>
                <w:sz w:val="20"/>
              </w:rPr>
              <w:t>134</w:t>
            </w:r>
          </w:p>
        </w:tc>
      </w:tr>
    </w:tbl>
    <w:p>
      <w:pPr>
        <w:spacing w:after="0"/>
        <w:jc w:val="right"/>
        <w:rPr>
          <w:sz w:val="20"/>
        </w:rPr>
        <w:sectPr>
          <w:pgSz w:w="11880" w:h="15480"/>
          <w:pgMar w:top="1240" w:bottom="280" w:left="1220" w:right="1220"/>
        </w:sectPr>
      </w:pPr>
    </w:p>
    <w:p>
      <w:pPr>
        <w:pStyle w:val="Heading1"/>
        <w:spacing w:before="74"/>
        <w:ind w:left="95" w:right="95"/>
        <w:jc w:val="center"/>
      </w:pPr>
      <w:bookmarkStart w:name="Part I " w:id="5"/>
      <w:bookmarkEnd w:id="5"/>
      <w:r>
        <w:rPr>
          <w:b w:val="0"/>
        </w:rPr>
      </w:r>
      <w:bookmarkStart w:name="Item 1. Business " w:id="6"/>
      <w:bookmarkEnd w:id="6"/>
      <w:r>
        <w:rPr>
          <w:b w:val="0"/>
        </w:rPr>
      </w:r>
      <w:r>
        <w:rPr>
          <w:color w:val="231F20"/>
        </w:rPr>
        <w:t>PART I</w:t>
      </w:r>
    </w:p>
    <w:p>
      <w:pPr>
        <w:tabs>
          <w:tab w:pos="1329" w:val="left" w:leader="none"/>
        </w:tabs>
        <w:spacing w:before="115"/>
        <w:ind w:left="119" w:right="0" w:firstLine="0"/>
        <w:jc w:val="left"/>
        <w:rPr>
          <w:b/>
          <w:i/>
          <w:sz w:val="22"/>
        </w:rPr>
      </w:pPr>
      <w:r>
        <w:rPr>
          <w:b/>
          <w:color w:val="231F20"/>
          <w:sz w:val="22"/>
        </w:rPr>
        <w:t>Item 1.</w:t>
        <w:tab/>
      </w:r>
      <w:r>
        <w:rPr>
          <w:b/>
          <w:i/>
          <w:color w:val="231F20"/>
          <w:sz w:val="22"/>
        </w:rPr>
        <w:t>Business</w:t>
      </w:r>
    </w:p>
    <w:p>
      <w:pPr>
        <w:pStyle w:val="BodyText"/>
        <w:spacing w:before="7"/>
        <w:rPr>
          <w:b/>
          <w:i/>
          <w:sz w:val="19"/>
        </w:rPr>
      </w:pPr>
    </w:p>
    <w:p>
      <w:pPr>
        <w:pStyle w:val="Heading1"/>
        <w:ind w:left="119"/>
        <w:jc w:val="left"/>
      </w:pPr>
      <w:r>
        <w:rPr>
          <w:color w:val="231F20"/>
        </w:rPr>
        <w:t>Company Overview</w:t>
      </w:r>
    </w:p>
    <w:p>
      <w:pPr>
        <w:pStyle w:val="BodyText"/>
        <w:spacing w:before="7"/>
        <w:rPr>
          <w:b/>
          <w:sz w:val="11"/>
        </w:rPr>
      </w:pPr>
    </w:p>
    <w:p>
      <w:pPr>
        <w:pStyle w:val="BodyText"/>
        <w:spacing w:line="247" w:lineRule="auto" w:before="92"/>
        <w:ind w:left="119" w:right="117"/>
        <w:jc w:val="both"/>
      </w:pPr>
      <w:r>
        <w:rPr>
          <w:color w:val="231F20"/>
        </w:rPr>
        <w:t>Southwest Airlines Co. (the “Company” or “Southwest”) operates Southwest Airlines, a major passenger airline that provides scheduled air transportation in the United States and near-international markets. For the 44th consecutive year, the Company was profitable, earning $2.2 billion in net  income.</w:t>
      </w:r>
    </w:p>
    <w:p>
      <w:pPr>
        <w:pStyle w:val="BodyText"/>
        <w:spacing w:before="11"/>
        <w:rPr>
          <w:sz w:val="18"/>
        </w:rPr>
      </w:pPr>
    </w:p>
    <w:p>
      <w:pPr>
        <w:pStyle w:val="BodyText"/>
        <w:spacing w:line="247" w:lineRule="auto"/>
        <w:ind w:left="119" w:right="117"/>
        <w:jc w:val="both"/>
      </w:pPr>
      <w:r>
        <w:rPr>
          <w:color w:val="231F20"/>
        </w:rPr>
        <w:t>Southwest commenced service on June 18, 1971, with three Boeing 737 aircraft serving three Texas cities: Dallas, Houston, and San Antonio. At December 31, 2016, Southwest operated a total of         723 Boeing 737 aircraft and served 101 destinations in 40 states, the District of Columbia, the Commonwealth of Puerto Rico, and eight near-international countries: Mexico, Jamaica, The  Bahamas, Aruba, Dominican Republic, Costa Rica, Belize, and</w:t>
      </w:r>
      <w:r>
        <w:rPr>
          <w:color w:val="231F20"/>
          <w:spacing w:val="1"/>
        </w:rPr>
        <w:t> </w:t>
      </w:r>
      <w:r>
        <w:rPr>
          <w:color w:val="231F20"/>
        </w:rPr>
        <w:t>Cuba.</w:t>
      </w:r>
    </w:p>
    <w:p>
      <w:pPr>
        <w:pStyle w:val="BodyText"/>
        <w:spacing w:before="11"/>
        <w:rPr>
          <w:sz w:val="18"/>
        </w:rPr>
      </w:pPr>
    </w:p>
    <w:p>
      <w:pPr>
        <w:pStyle w:val="BodyText"/>
        <w:spacing w:line="247" w:lineRule="auto"/>
        <w:ind w:left="119" w:right="117"/>
        <w:jc w:val="both"/>
      </w:pPr>
      <w:r>
        <w:rPr>
          <w:color w:val="231F20"/>
        </w:rPr>
        <w:t>The Company added its first three destinations in Cuba during 2016, with service to Varadero and Santa Clara from Fort Lauderdale-Hollywood International Airport and service to Havana from both Fort Lauderdale and Tampa International Airport. The Company also expanded its domestic footprint during 2016, with the commencement of service at Long Beach Airport, the Company’s fifth service point in the L.A. Basin and tenth airport in</w:t>
      </w:r>
      <w:r>
        <w:rPr>
          <w:color w:val="231F20"/>
          <w:spacing w:val="-5"/>
        </w:rPr>
        <w:t> </w:t>
      </w:r>
      <w:r>
        <w:rPr>
          <w:color w:val="231F20"/>
        </w:rPr>
        <w:t>California.</w:t>
      </w:r>
    </w:p>
    <w:p>
      <w:pPr>
        <w:pStyle w:val="BodyText"/>
        <w:spacing w:before="11"/>
        <w:rPr>
          <w:sz w:val="18"/>
        </w:rPr>
      </w:pPr>
    </w:p>
    <w:p>
      <w:pPr>
        <w:pStyle w:val="BodyText"/>
        <w:spacing w:line="247" w:lineRule="auto"/>
        <w:ind w:left="119" w:right="118"/>
        <w:jc w:val="both"/>
      </w:pPr>
      <w:r>
        <w:rPr>
          <w:color w:val="231F20"/>
        </w:rPr>
        <w:t>Based on the most recent data available from the U.S. Department of Transportation (the “DOT”), as  of June 30, 2016, Southwest was the largest domestic air carrier in the United States, as measured by the number of domestic originating passengers</w:t>
      </w:r>
      <w:r>
        <w:rPr>
          <w:color w:val="231F20"/>
          <w:spacing w:val="-2"/>
        </w:rPr>
        <w:t> </w:t>
      </w:r>
      <w:r>
        <w:rPr>
          <w:color w:val="231F20"/>
        </w:rPr>
        <w:t>boarded.</w:t>
      </w:r>
    </w:p>
    <w:p>
      <w:pPr>
        <w:pStyle w:val="BodyText"/>
        <w:spacing w:before="11"/>
        <w:rPr>
          <w:sz w:val="18"/>
        </w:rPr>
      </w:pPr>
    </w:p>
    <w:p>
      <w:pPr>
        <w:pStyle w:val="Heading1"/>
        <w:ind w:left="119"/>
      </w:pPr>
      <w:r>
        <w:rPr>
          <w:color w:val="231F20"/>
        </w:rPr>
        <w:t>Industry</w:t>
      </w:r>
    </w:p>
    <w:p>
      <w:pPr>
        <w:pStyle w:val="BodyText"/>
        <w:spacing w:before="7"/>
        <w:rPr>
          <w:b/>
          <w:sz w:val="19"/>
        </w:rPr>
      </w:pPr>
    </w:p>
    <w:p>
      <w:pPr>
        <w:pStyle w:val="BodyText"/>
        <w:spacing w:line="247" w:lineRule="auto"/>
        <w:ind w:left="119" w:right="117"/>
        <w:jc w:val="both"/>
      </w:pPr>
      <w:r>
        <w:rPr>
          <w:color w:val="231F20"/>
        </w:rPr>
        <w:t>The airline industry has historically been an extremely volatile industry subject to numerous  challenges. Among other things, it has been cyclical, energy intensive, labor intensive, capital intensive, technology intensive, highly regulated, heavily taxed, and extremely competitive. The airline industry has also been particularly susceptible to detrimental events such as acts of terrorism, poor weather, and natural disasters.</w:t>
      </w:r>
    </w:p>
    <w:p>
      <w:pPr>
        <w:pStyle w:val="BodyText"/>
        <w:rPr>
          <w:sz w:val="19"/>
        </w:rPr>
      </w:pPr>
    </w:p>
    <w:p>
      <w:pPr>
        <w:pStyle w:val="BodyText"/>
        <w:spacing w:line="247" w:lineRule="auto"/>
        <w:ind w:left="119" w:right="117"/>
        <w:jc w:val="both"/>
      </w:pPr>
      <w:r>
        <w:rPr>
          <w:color w:val="231F20"/>
        </w:rPr>
        <w:t>The U.S. airline industry benefited from moderate economic growth during 2016 and was further aided by low fuel prices. In recent years, the U.S. airline industry, including Southwest, has increased available seat miles (also referred to as “capacity,” an available seat mile is one seat, empty or full, flown one mile and is a measure of space available to carry passengers in a given period), and has increased the number of seats per trip (or “gauge”) through slimline seat retrofits and the use of larger aircraft.</w:t>
      </w:r>
    </w:p>
    <w:p>
      <w:pPr>
        <w:pStyle w:val="BodyText"/>
        <w:spacing w:before="6"/>
        <w:rPr>
          <w:sz w:val="28"/>
        </w:rPr>
      </w:pPr>
    </w:p>
    <w:p>
      <w:pPr>
        <w:pStyle w:val="Heading1"/>
        <w:spacing w:line="453" w:lineRule="auto"/>
        <w:ind w:left="479" w:right="7198" w:hanging="360"/>
        <w:jc w:val="left"/>
      </w:pPr>
      <w:r>
        <w:rPr>
          <w:color w:val="231F20"/>
        </w:rPr>
        <w:t>Company Operations Route Structure</w:t>
      </w:r>
    </w:p>
    <w:p>
      <w:pPr>
        <w:pStyle w:val="Heading2"/>
        <w:spacing w:before="8"/>
        <w:ind w:left="840"/>
        <w:rPr>
          <w:i/>
        </w:rPr>
      </w:pPr>
      <w:r>
        <w:rPr>
          <w:i/>
          <w:color w:val="231F20"/>
        </w:rPr>
        <w:t>General</w:t>
      </w:r>
    </w:p>
    <w:p>
      <w:pPr>
        <w:pStyle w:val="BodyText"/>
        <w:spacing w:before="7"/>
        <w:rPr>
          <w:b/>
          <w:i/>
          <w:sz w:val="19"/>
        </w:rPr>
      </w:pPr>
    </w:p>
    <w:p>
      <w:pPr>
        <w:pStyle w:val="BodyText"/>
        <w:spacing w:line="247" w:lineRule="auto"/>
        <w:ind w:left="120" w:right="118"/>
        <w:jc w:val="both"/>
      </w:pPr>
      <w:r>
        <w:rPr>
          <w:color w:val="231F20"/>
        </w:rPr>
        <w:t>Southwest principally provides point-to-point service, rather than the “hub-and-spoke” service provided</w:t>
      </w:r>
      <w:r>
        <w:rPr>
          <w:color w:val="231F20"/>
          <w:spacing w:val="35"/>
        </w:rPr>
        <w:t> </w:t>
      </w:r>
      <w:r>
        <w:rPr>
          <w:color w:val="231F20"/>
        </w:rPr>
        <w:t>by</w:t>
      </w:r>
      <w:r>
        <w:rPr>
          <w:color w:val="231F20"/>
          <w:spacing w:val="36"/>
        </w:rPr>
        <w:t> </w:t>
      </w:r>
      <w:r>
        <w:rPr>
          <w:color w:val="231F20"/>
        </w:rPr>
        <w:t>most</w:t>
      </w:r>
      <w:r>
        <w:rPr>
          <w:color w:val="231F20"/>
          <w:spacing w:val="36"/>
        </w:rPr>
        <w:t> </w:t>
      </w:r>
      <w:r>
        <w:rPr>
          <w:color w:val="231F20"/>
        </w:rPr>
        <w:t>major</w:t>
      </w:r>
      <w:r>
        <w:rPr>
          <w:color w:val="231F20"/>
          <w:spacing w:val="35"/>
        </w:rPr>
        <w:t> </w:t>
      </w:r>
      <w:r>
        <w:rPr>
          <w:color w:val="231F20"/>
        </w:rPr>
        <w:t>U.S.</w:t>
      </w:r>
      <w:r>
        <w:rPr>
          <w:color w:val="231F20"/>
          <w:spacing w:val="35"/>
        </w:rPr>
        <w:t> </w:t>
      </w:r>
      <w:r>
        <w:rPr>
          <w:color w:val="231F20"/>
        </w:rPr>
        <w:t>airlines.</w:t>
      </w:r>
      <w:r>
        <w:rPr>
          <w:color w:val="231F20"/>
          <w:spacing w:val="36"/>
        </w:rPr>
        <w:t> </w:t>
      </w:r>
      <w:r>
        <w:rPr>
          <w:color w:val="231F20"/>
        </w:rPr>
        <w:t>The</w:t>
      </w:r>
      <w:r>
        <w:rPr>
          <w:color w:val="231F20"/>
          <w:spacing w:val="35"/>
        </w:rPr>
        <w:t> </w:t>
      </w:r>
      <w:r>
        <w:rPr>
          <w:color w:val="231F20"/>
        </w:rPr>
        <w:t>hub-and-spoke</w:t>
      </w:r>
      <w:r>
        <w:rPr>
          <w:color w:val="231F20"/>
          <w:spacing w:val="36"/>
        </w:rPr>
        <w:t> </w:t>
      </w:r>
      <w:r>
        <w:rPr>
          <w:color w:val="231F20"/>
        </w:rPr>
        <w:t>system</w:t>
      </w:r>
      <w:r>
        <w:rPr>
          <w:color w:val="231F20"/>
          <w:spacing w:val="36"/>
        </w:rPr>
        <w:t> </w:t>
      </w:r>
      <w:r>
        <w:rPr>
          <w:color w:val="231F20"/>
        </w:rPr>
        <w:t>concentrates</w:t>
      </w:r>
      <w:r>
        <w:rPr>
          <w:color w:val="231F20"/>
          <w:spacing w:val="37"/>
        </w:rPr>
        <w:t> </w:t>
      </w:r>
      <w:r>
        <w:rPr>
          <w:color w:val="231F20"/>
        </w:rPr>
        <w:t>most</w:t>
      </w:r>
      <w:r>
        <w:rPr>
          <w:color w:val="231F20"/>
          <w:spacing w:val="35"/>
        </w:rPr>
        <w:t> </w:t>
      </w:r>
      <w:r>
        <w:rPr>
          <w:color w:val="231F20"/>
        </w:rPr>
        <w:t>of</w:t>
      </w:r>
      <w:r>
        <w:rPr>
          <w:color w:val="231F20"/>
          <w:spacing w:val="34"/>
        </w:rPr>
        <w:t> </w:t>
      </w:r>
      <w:r>
        <w:rPr>
          <w:color w:val="231F20"/>
        </w:rPr>
        <w:t>an</w:t>
      </w:r>
      <w:r>
        <w:rPr>
          <w:color w:val="231F20"/>
          <w:spacing w:val="35"/>
        </w:rPr>
        <w:t> </w:t>
      </w:r>
      <w:r>
        <w:rPr>
          <w:color w:val="231F20"/>
        </w:rPr>
        <w:t>airline’s</w:t>
      </w:r>
    </w:p>
    <w:p>
      <w:pPr>
        <w:spacing w:after="0" w:line="247" w:lineRule="auto"/>
        <w:jc w:val="both"/>
        <w:sectPr>
          <w:footerReference w:type="default" r:id="rId16"/>
          <w:pgSz w:w="11880" w:h="15480"/>
          <w:pgMar w:footer="1240" w:header="0" w:top="1240" w:bottom="1420" w:left="1260" w:right="1260"/>
          <w:pgNumType w:start="1"/>
        </w:sectPr>
      </w:pPr>
    </w:p>
    <w:p>
      <w:pPr>
        <w:pStyle w:val="BodyText"/>
        <w:spacing w:line="247" w:lineRule="auto" w:before="74"/>
        <w:ind w:left="100" w:right="118"/>
        <w:jc w:val="both"/>
      </w:pPr>
      <w:r>
        <w:rPr>
          <w:color w:val="231F20"/>
        </w:rPr>
        <w:t>operations at a limited number of central hub cities and serves most other destinations in the system by providing one-stop or connecting service through a hub. By not concentrating operations through one or more central transfer points, Southwest’s point-to-point route structure has allowed for more direct nonstop routing than hub-and-spoke service. Approximately 76 percent of the Company’s Customers flew nonstop during 2016, and, as of December 31, 2016, Southwest served 657 nonstop city</w:t>
      </w:r>
      <w:r>
        <w:rPr>
          <w:color w:val="231F20"/>
          <w:spacing w:val="-1"/>
        </w:rPr>
        <w:t> </w:t>
      </w:r>
      <w:r>
        <w:rPr>
          <w:color w:val="231F20"/>
        </w:rPr>
        <w:t>pairs.</w:t>
      </w:r>
    </w:p>
    <w:p>
      <w:pPr>
        <w:pStyle w:val="BodyText"/>
        <w:spacing w:before="2"/>
        <w:rPr>
          <w:sz w:val="19"/>
        </w:rPr>
      </w:pPr>
    </w:p>
    <w:p>
      <w:pPr>
        <w:pStyle w:val="BodyText"/>
        <w:spacing w:line="247" w:lineRule="auto"/>
        <w:ind w:left="100" w:right="117"/>
        <w:jc w:val="both"/>
      </w:pPr>
      <w:r>
        <w:rPr>
          <w:color w:val="231F20"/>
        </w:rPr>
        <w:t>Southwest’s point-to-point service has also enabled it to provide its markets with frequent, conveniently timed flights and low fares. For example, Southwest currently offers 20 weekday roundtrips between Dallas Love Field and Houston Hobby, 13 weekday roundtrips between Burbank and Oakland, 12 weekday roundtrips between San Diego and San Jose, 10 weekday roundtrips  between Denver and Chicago Midway, and eight weekday roundtrips between Phoenix and Las</w:t>
      </w:r>
      <w:r>
        <w:rPr>
          <w:color w:val="231F20"/>
          <w:spacing w:val="-1"/>
        </w:rPr>
        <w:t> </w:t>
      </w:r>
      <w:r>
        <w:rPr>
          <w:color w:val="231F20"/>
        </w:rPr>
        <w:t>Vegas.</w:t>
      </w:r>
    </w:p>
    <w:p>
      <w:pPr>
        <w:pStyle w:val="BodyText"/>
        <w:spacing w:before="2"/>
        <w:rPr>
          <w:sz w:val="19"/>
        </w:rPr>
      </w:pPr>
    </w:p>
    <w:p>
      <w:pPr>
        <w:pStyle w:val="BodyText"/>
        <w:spacing w:line="247" w:lineRule="auto"/>
        <w:ind w:left="100" w:right="117"/>
        <w:jc w:val="both"/>
      </w:pPr>
      <w:r>
        <w:rPr>
          <w:color w:val="231F20"/>
        </w:rPr>
        <w:t>Southwest complements its high-frequency short-haul routes with long-haul nonstop service between markets such as Los Angeles and Nashville, Las Vegas and Orlando, San Diego and Baltimore, Houston and New York LaGuardia, and Oakland and Baltimore. During 2016, the Company continued to incorporate the Boeing 737-800 aircraft into its fleet, which offers significantly more Customer seating capacity than Southwest’s other aircraft. This has enabled the Company to more economically serve long-haul routes, as well as high-demand, slot-controlled, and gate-restricted airports, by adding seats for such routes without increasing the number of flights (a “slot” is the right of an air carrier, pursuant to regulations of the Federal Aviation Administration (“FAA”), to operate a takeoff or landing at a specific time at certain airports). For 2016, the Company’s average aircraft trip stage length was 760 miles, with an average duration of approximately 2.0 hours, as compared with an average aircraft trip stage length of 750 miles and an average duration of approximately 2.0 hours in 2015.</w:t>
      </w:r>
    </w:p>
    <w:p>
      <w:pPr>
        <w:pStyle w:val="BodyText"/>
        <w:spacing w:before="2"/>
        <w:rPr>
          <w:sz w:val="19"/>
        </w:rPr>
      </w:pPr>
    </w:p>
    <w:p>
      <w:pPr>
        <w:pStyle w:val="BodyText"/>
        <w:spacing w:line="247" w:lineRule="auto"/>
        <w:ind w:left="100" w:right="117"/>
        <w:jc w:val="both"/>
      </w:pPr>
      <w:r>
        <w:rPr>
          <w:color w:val="231F20"/>
        </w:rPr>
        <w:t>With the addition of Long Beach Airport to the Company’s route map in 2016, the Company added four weekday flights from Long Beach to Oakland, which, in turn, has brought connectivity between Long Beach and 20 cities on the Southwest network across the Pacific Northwest and mid-America. Based on the most recent data available from the DOT, as of June 30, 2016, Southwest offers more seats than any other carrier each day to, from, and within</w:t>
      </w:r>
      <w:r>
        <w:rPr>
          <w:color w:val="231F20"/>
          <w:spacing w:val="-3"/>
        </w:rPr>
        <w:t> </w:t>
      </w:r>
      <w:r>
        <w:rPr>
          <w:color w:val="231F20"/>
        </w:rPr>
        <w:t>California.</w:t>
      </w:r>
    </w:p>
    <w:p>
      <w:pPr>
        <w:pStyle w:val="BodyText"/>
        <w:spacing w:before="2"/>
        <w:rPr>
          <w:sz w:val="19"/>
        </w:rPr>
      </w:pPr>
    </w:p>
    <w:p>
      <w:pPr>
        <w:pStyle w:val="BodyText"/>
        <w:spacing w:line="247" w:lineRule="auto"/>
        <w:ind w:left="100" w:right="117"/>
        <w:jc w:val="both"/>
      </w:pPr>
      <w:r>
        <w:rPr>
          <w:color w:val="231F20"/>
        </w:rPr>
        <w:t>The Company has announced plans to add service, beginning in June 2017, to Cincinnati/Northern Kentucky International Airport and, subject to requisite government approvals, to Owen Roberts International Airport in Grand Cayman. The Company’s addition of service to Cincinnati/Northern Kentucky International Airport, scheduled for June 2017, will give the Company’s Customers access to a full complement of the top 50 markets across the 48 contiguous United States.</w:t>
      </w:r>
    </w:p>
    <w:p>
      <w:pPr>
        <w:pStyle w:val="BodyText"/>
        <w:spacing w:before="2"/>
        <w:rPr>
          <w:sz w:val="19"/>
        </w:rPr>
      </w:pPr>
    </w:p>
    <w:p>
      <w:pPr>
        <w:pStyle w:val="Heading2"/>
        <w:ind w:left="819"/>
        <w:rPr>
          <w:i/>
        </w:rPr>
      </w:pPr>
      <w:r>
        <w:rPr>
          <w:i/>
          <w:color w:val="231F20"/>
        </w:rPr>
        <w:t>International Service</w:t>
      </w:r>
    </w:p>
    <w:p>
      <w:pPr>
        <w:pStyle w:val="BodyText"/>
        <w:spacing w:before="9"/>
        <w:rPr>
          <w:b/>
          <w:i/>
          <w:sz w:val="19"/>
        </w:rPr>
      </w:pPr>
    </w:p>
    <w:p>
      <w:pPr>
        <w:pStyle w:val="BodyText"/>
        <w:spacing w:line="247" w:lineRule="auto" w:before="1"/>
        <w:ind w:left="100" w:right="117"/>
        <w:jc w:val="both"/>
      </w:pPr>
      <w:r>
        <w:rPr>
          <w:color w:val="231F20"/>
        </w:rPr>
        <w:t>Southwest Airlines launched international service in 2014, ending 2016 with service to 14 international destinations through 13 international gateway cities within the 48 contiguous United States.</w:t>
      </w:r>
    </w:p>
    <w:p>
      <w:pPr>
        <w:pStyle w:val="BodyText"/>
        <w:spacing w:before="3"/>
        <w:rPr>
          <w:sz w:val="19"/>
        </w:rPr>
      </w:pPr>
    </w:p>
    <w:p>
      <w:pPr>
        <w:pStyle w:val="BodyText"/>
        <w:spacing w:line="247" w:lineRule="auto"/>
        <w:ind w:left="100" w:right="117"/>
        <w:jc w:val="both"/>
      </w:pPr>
      <w:r>
        <w:rPr>
          <w:color w:val="231F20"/>
          <w:spacing w:val="-4"/>
        </w:rPr>
        <w:t>During 2016, </w:t>
      </w:r>
      <w:r>
        <w:rPr>
          <w:color w:val="231F20"/>
          <w:spacing w:val="-3"/>
        </w:rPr>
        <w:t>the </w:t>
      </w:r>
      <w:r>
        <w:rPr>
          <w:color w:val="231F20"/>
          <w:spacing w:val="-4"/>
        </w:rPr>
        <w:t>Company commenced international service </w:t>
      </w:r>
      <w:r>
        <w:rPr>
          <w:color w:val="231F20"/>
          <w:spacing w:val="-3"/>
        </w:rPr>
        <w:t>out </w:t>
      </w:r>
      <w:r>
        <w:rPr>
          <w:color w:val="231F20"/>
        </w:rPr>
        <w:t>of </w:t>
      </w:r>
      <w:r>
        <w:rPr>
          <w:color w:val="231F20"/>
          <w:spacing w:val="-3"/>
        </w:rPr>
        <w:t>Los </w:t>
      </w:r>
      <w:r>
        <w:rPr>
          <w:color w:val="231F20"/>
          <w:spacing w:val="-4"/>
        </w:rPr>
        <w:t>Angeles International Airport </w:t>
      </w:r>
      <w:r>
        <w:rPr>
          <w:color w:val="231F20"/>
        </w:rPr>
        <w:t>by </w:t>
      </w:r>
      <w:r>
        <w:rPr>
          <w:color w:val="231F20"/>
          <w:spacing w:val="-4"/>
        </w:rPr>
        <w:t>introducing service </w:t>
      </w:r>
      <w:r>
        <w:rPr>
          <w:color w:val="231F20"/>
        </w:rPr>
        <w:t>to </w:t>
      </w:r>
      <w:r>
        <w:rPr>
          <w:color w:val="231F20"/>
          <w:spacing w:val="-4"/>
        </w:rPr>
        <w:t>Liberia, Costa Rica, </w:t>
      </w:r>
      <w:r>
        <w:rPr>
          <w:color w:val="231F20"/>
          <w:spacing w:val="-3"/>
        </w:rPr>
        <w:t>and </w:t>
      </w:r>
      <w:r>
        <w:rPr>
          <w:color w:val="231F20"/>
          <w:spacing w:val="-4"/>
        </w:rPr>
        <w:t>later </w:t>
      </w:r>
      <w:r>
        <w:rPr>
          <w:color w:val="231F20"/>
        </w:rPr>
        <w:t>to </w:t>
      </w:r>
      <w:r>
        <w:rPr>
          <w:color w:val="231F20"/>
          <w:spacing w:val="-4"/>
        </w:rPr>
        <w:t>three airports </w:t>
      </w:r>
      <w:r>
        <w:rPr>
          <w:color w:val="231F20"/>
        </w:rPr>
        <w:t>in </w:t>
      </w:r>
      <w:r>
        <w:rPr>
          <w:color w:val="231F20"/>
          <w:spacing w:val="-4"/>
        </w:rPr>
        <w:t>Mexico’s coastal regions: Cancun, </w:t>
      </w:r>
      <w:r>
        <w:rPr>
          <w:color w:val="231F20"/>
          <w:spacing w:val="-3"/>
        </w:rPr>
        <w:t>San Jose del </w:t>
      </w:r>
      <w:r>
        <w:rPr>
          <w:color w:val="231F20"/>
          <w:spacing w:val="-4"/>
        </w:rPr>
        <w:t>Cabo/Los Cabos, </w:t>
      </w:r>
      <w:r>
        <w:rPr>
          <w:color w:val="231F20"/>
          <w:spacing w:val="-3"/>
        </w:rPr>
        <w:t>and </w:t>
      </w:r>
      <w:r>
        <w:rPr>
          <w:color w:val="231F20"/>
          <w:spacing w:val="-4"/>
        </w:rPr>
        <w:t>Puerto Vallarta. </w:t>
      </w:r>
      <w:r>
        <w:rPr>
          <w:color w:val="231F20"/>
          <w:spacing w:val="-3"/>
        </w:rPr>
        <w:t>Also </w:t>
      </w:r>
      <w:r>
        <w:rPr>
          <w:color w:val="231F20"/>
          <w:spacing w:val="-4"/>
        </w:rPr>
        <w:t>during 2016, </w:t>
      </w:r>
      <w:r>
        <w:rPr>
          <w:color w:val="231F20"/>
          <w:spacing w:val="-3"/>
        </w:rPr>
        <w:t>the </w:t>
      </w:r>
      <w:r>
        <w:rPr>
          <w:color w:val="231F20"/>
          <w:spacing w:val="-4"/>
        </w:rPr>
        <w:t>Company began scheduled international service </w:t>
      </w:r>
      <w:r>
        <w:rPr>
          <w:color w:val="231F20"/>
          <w:spacing w:val="-3"/>
        </w:rPr>
        <w:t>from </w:t>
      </w:r>
      <w:r>
        <w:rPr>
          <w:color w:val="231F20"/>
          <w:spacing w:val="-4"/>
        </w:rPr>
        <w:t>Fort Lauderdale </w:t>
      </w:r>
      <w:r>
        <w:rPr>
          <w:color w:val="231F20"/>
          <w:spacing w:val="-3"/>
        </w:rPr>
        <w:t>with </w:t>
      </w:r>
      <w:r>
        <w:rPr>
          <w:color w:val="231F20"/>
          <w:spacing w:val="-4"/>
        </w:rPr>
        <w:t>daily service </w:t>
      </w:r>
      <w:r>
        <w:rPr>
          <w:color w:val="231F20"/>
          <w:spacing w:val="-3"/>
        </w:rPr>
        <w:t>to </w:t>
      </w:r>
      <w:r>
        <w:rPr>
          <w:color w:val="231F20"/>
          <w:spacing w:val="-4"/>
        </w:rPr>
        <w:t>Nassau, Bahamas. </w:t>
      </w:r>
      <w:r>
        <w:rPr>
          <w:color w:val="231F20"/>
          <w:spacing w:val="-3"/>
        </w:rPr>
        <w:t>The </w:t>
      </w:r>
      <w:r>
        <w:rPr>
          <w:color w:val="231F20"/>
          <w:spacing w:val="-4"/>
        </w:rPr>
        <w:t>Company </w:t>
      </w:r>
      <w:r>
        <w:rPr>
          <w:color w:val="231F20"/>
          <w:spacing w:val="-3"/>
        </w:rPr>
        <w:t>has </w:t>
      </w:r>
      <w:r>
        <w:rPr>
          <w:color w:val="231F20"/>
          <w:spacing w:val="-4"/>
        </w:rPr>
        <w:t>also announced </w:t>
      </w:r>
      <w:r>
        <w:rPr>
          <w:color w:val="231F20"/>
          <w:spacing w:val="-3"/>
        </w:rPr>
        <w:t>its </w:t>
      </w:r>
      <w:r>
        <w:rPr>
          <w:color w:val="231F20"/>
          <w:spacing w:val="-4"/>
        </w:rPr>
        <w:t>first </w:t>
      </w:r>
      <w:r>
        <w:rPr>
          <w:color w:val="231F20"/>
          <w:spacing w:val="-3"/>
        </w:rPr>
        <w:t>ever </w:t>
      </w:r>
      <w:r>
        <w:rPr>
          <w:color w:val="231F20"/>
          <w:spacing w:val="-4"/>
        </w:rPr>
        <w:t>international service </w:t>
      </w:r>
      <w:r>
        <w:rPr>
          <w:color w:val="231F20"/>
          <w:spacing w:val="-3"/>
        </w:rPr>
        <w:t>from </w:t>
      </w:r>
      <w:r>
        <w:rPr>
          <w:color w:val="231F20"/>
          <w:spacing w:val="-4"/>
        </w:rPr>
        <w:t>Oakland International Airport </w:t>
      </w:r>
      <w:r>
        <w:rPr>
          <w:color w:val="231F20"/>
          <w:spacing w:val="-3"/>
        </w:rPr>
        <w:t>and San </w:t>
      </w:r>
      <w:r>
        <w:rPr>
          <w:color w:val="231F20"/>
          <w:spacing w:val="-4"/>
        </w:rPr>
        <w:t>Diego International Airport, </w:t>
      </w:r>
      <w:r>
        <w:rPr>
          <w:color w:val="231F20"/>
          <w:spacing w:val="-3"/>
        </w:rPr>
        <w:t>its 14th and 15th </w:t>
      </w:r>
      <w:r>
        <w:rPr>
          <w:color w:val="231F20"/>
          <w:spacing w:val="-4"/>
        </w:rPr>
        <w:t>international gateway cities within </w:t>
      </w:r>
      <w:r>
        <w:rPr>
          <w:color w:val="231F20"/>
          <w:spacing w:val="-3"/>
        </w:rPr>
        <w:t>the </w:t>
      </w:r>
      <w:r>
        <w:rPr>
          <w:color w:val="231F20"/>
        </w:rPr>
        <w:t>48 </w:t>
      </w:r>
      <w:r>
        <w:rPr>
          <w:color w:val="231F20"/>
          <w:spacing w:val="-4"/>
        </w:rPr>
        <w:t>contiguous United </w:t>
      </w:r>
      <w:r>
        <w:rPr>
          <w:color w:val="231F20"/>
          <w:spacing w:val="-5"/>
        </w:rPr>
        <w:t>States, </w:t>
      </w:r>
      <w:r>
        <w:rPr>
          <w:color w:val="231F20"/>
          <w:spacing w:val="-3"/>
        </w:rPr>
        <w:t>with </w:t>
      </w:r>
      <w:r>
        <w:rPr>
          <w:color w:val="231F20"/>
          <w:spacing w:val="-4"/>
        </w:rPr>
        <w:t>daily flights </w:t>
      </w:r>
      <w:r>
        <w:rPr>
          <w:color w:val="231F20"/>
          <w:spacing w:val="-3"/>
        </w:rPr>
        <w:t>from </w:t>
      </w:r>
      <w:r>
        <w:rPr>
          <w:color w:val="231F20"/>
          <w:spacing w:val="-4"/>
        </w:rPr>
        <w:t>Oakland </w:t>
      </w:r>
      <w:r>
        <w:rPr>
          <w:color w:val="231F20"/>
        </w:rPr>
        <w:t>to </w:t>
      </w:r>
      <w:r>
        <w:rPr>
          <w:color w:val="231F20"/>
          <w:spacing w:val="-3"/>
        </w:rPr>
        <w:t>San Jose del </w:t>
      </w:r>
      <w:r>
        <w:rPr>
          <w:color w:val="231F20"/>
          <w:spacing w:val="-4"/>
        </w:rPr>
        <w:t>Cabo/Los Cabos </w:t>
      </w:r>
      <w:r>
        <w:rPr>
          <w:color w:val="231F20"/>
          <w:spacing w:val="-3"/>
        </w:rPr>
        <w:t>and </w:t>
      </w:r>
      <w:r>
        <w:rPr>
          <w:color w:val="231F20"/>
          <w:spacing w:val="-4"/>
        </w:rPr>
        <w:t>Puerto Vallarta scheduled </w:t>
      </w:r>
      <w:r>
        <w:rPr>
          <w:color w:val="231F20"/>
        </w:rPr>
        <w:t>to </w:t>
      </w:r>
      <w:r>
        <w:rPr>
          <w:color w:val="231F20"/>
          <w:spacing w:val="-4"/>
        </w:rPr>
        <w:t>begin </w:t>
      </w:r>
      <w:r>
        <w:rPr>
          <w:color w:val="231F20"/>
          <w:spacing w:val="-3"/>
        </w:rPr>
        <w:t>in </w:t>
      </w:r>
      <w:r>
        <w:rPr>
          <w:color w:val="231F20"/>
          <w:spacing w:val="-4"/>
        </w:rPr>
        <w:t>February </w:t>
      </w:r>
      <w:r>
        <w:rPr>
          <w:color w:val="231F20"/>
          <w:spacing w:val="-3"/>
        </w:rPr>
        <w:t>2017 and from San </w:t>
      </w:r>
      <w:r>
        <w:rPr>
          <w:color w:val="231F20"/>
          <w:spacing w:val="-4"/>
        </w:rPr>
        <w:t>Diego </w:t>
      </w:r>
      <w:r>
        <w:rPr>
          <w:color w:val="231F20"/>
          <w:spacing w:val="-3"/>
        </w:rPr>
        <w:t>to San Jose del </w:t>
      </w:r>
      <w:r>
        <w:rPr>
          <w:color w:val="231F20"/>
          <w:spacing w:val="-4"/>
        </w:rPr>
        <w:t>Cabo/Los Cabos scheduled </w:t>
      </w:r>
      <w:r>
        <w:rPr>
          <w:color w:val="231F20"/>
        </w:rPr>
        <w:t>to </w:t>
      </w:r>
      <w:r>
        <w:rPr>
          <w:color w:val="231F20"/>
          <w:spacing w:val="-4"/>
        </w:rPr>
        <w:t>begin </w:t>
      </w:r>
      <w:r>
        <w:rPr>
          <w:color w:val="231F20"/>
          <w:spacing w:val="-3"/>
        </w:rPr>
        <w:t>in </w:t>
      </w:r>
      <w:r>
        <w:rPr>
          <w:color w:val="231F20"/>
          <w:spacing w:val="-4"/>
        </w:rPr>
        <w:t>April 2017.</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  connection  with  the  scheduled  opening  of   a   new   five-gate   international   concourse   at   Fort Lauderdale-Hollywood International Airport (FLL) in June 2017, the Company has announced a significantly expanded international flight schedule for South Florida to a total of eight international nonstop destinations. In addition to existing service, beginning in June 2017, the Company is  scheduled to offer new daily international nonstop service from Fort Lauderdale to Montego Bay, Jamaica; Belize City, Belize; and Cancun, Mexico, and subject to requisite government approvals, Grand Cayman. Additional information regarding the Company’s involvement with construction of the new concourse at FLL is provided below under “Management’s Discussion and Analysis of Financial Condition and Results of Operations” and in Note 4 to the Consolidated Financial</w:t>
      </w:r>
      <w:r>
        <w:rPr>
          <w:color w:val="231F20"/>
          <w:spacing w:val="-2"/>
        </w:rPr>
        <w:t> </w:t>
      </w:r>
      <w:r>
        <w:rPr>
          <w:color w:val="231F20"/>
        </w:rPr>
        <w:t>Statements.</w:t>
      </w:r>
    </w:p>
    <w:p>
      <w:pPr>
        <w:pStyle w:val="BodyText"/>
        <w:spacing w:before="9"/>
        <w:rPr>
          <w:sz w:val="20"/>
        </w:rPr>
      </w:pPr>
    </w:p>
    <w:p>
      <w:pPr>
        <w:pStyle w:val="BodyText"/>
        <w:spacing w:line="247" w:lineRule="auto"/>
        <w:ind w:left="100" w:right="117"/>
        <w:jc w:val="both"/>
      </w:pPr>
      <w:r>
        <w:rPr>
          <w:color w:val="231F20"/>
        </w:rPr>
        <w:t>Approximately $383 million, approximately $287 million, and approximately $226 million of the Company’s operating revenues in 2016, 2015, and 2014, respectively, were attributable to foreign operations. The remainder of the Company’s operating revenues, approximately $20.0 billion, approximately $19.5 billion, and approximately $18.4 billion in 2016, 2015, and 2014, respectively, were attributable to domestic operations. The Company’s operating revenues in 2014 included the operating revenues of AirTran Airways (“AirTran”). AirTran’s final passenger service occurred on December 28, 2014, and it has been integrated into Southwest. The Company’s assets are not allocated to a geographic area because the Company’s tangible assets primarily consist of flight equipment, the majority of which are interchangeable and are deployed systemwide, with no individual aircraft dedicated to any specific route or region.</w:t>
      </w:r>
    </w:p>
    <w:p>
      <w:pPr>
        <w:pStyle w:val="BodyText"/>
        <w:spacing w:before="9"/>
        <w:rPr>
          <w:sz w:val="20"/>
        </w:rPr>
      </w:pPr>
    </w:p>
    <w:p>
      <w:pPr>
        <w:pStyle w:val="Heading1"/>
        <w:ind w:left="460"/>
        <w:jc w:val="left"/>
      </w:pPr>
      <w:r>
        <w:rPr>
          <w:color w:val="231F20"/>
        </w:rPr>
        <w:t>Cost Structure</w:t>
      </w:r>
    </w:p>
    <w:p>
      <w:pPr>
        <w:pStyle w:val="BodyText"/>
        <w:spacing w:before="4"/>
        <w:rPr>
          <w:b/>
          <w:sz w:val="21"/>
        </w:rPr>
      </w:pPr>
    </w:p>
    <w:p>
      <w:pPr>
        <w:pStyle w:val="BodyText"/>
        <w:spacing w:line="247" w:lineRule="auto" w:before="1"/>
        <w:ind w:left="100" w:right="117"/>
        <w:jc w:val="both"/>
      </w:pPr>
      <w:r>
        <w:rPr>
          <w:color w:val="231F20"/>
        </w:rPr>
        <w:t>A key component of the Company’s business strategy is its focus on cost discipline and profitably charging low fares. Adjusted for stage length, the Company has lower unit costs, on average, than the majority of major domestic carriers. The Company’s strategy includes the use of a single aircraft type, the Boeing 737, the Company’s operationally efficient point-to-point route structure, and its highly productive Employees. Southwest’s use of a single aircraft type allows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 are typically less congested than other airlines’ hub airports, which has contributed to Southwest’s ability  to achieve high asset utilization because aircraft can be scheduled to minimize the amount of time they are on the ground. This, in turn, has reduced the number of aircraft and gate facilities that would otherwise be required and allows for high Employee productivity (headcount per</w:t>
      </w:r>
      <w:r>
        <w:rPr>
          <w:color w:val="231F20"/>
          <w:spacing w:val="-5"/>
        </w:rPr>
        <w:t> </w:t>
      </w:r>
      <w:r>
        <w:rPr>
          <w:color w:val="231F20"/>
        </w:rPr>
        <w:t>aircraft).</w:t>
      </w:r>
    </w:p>
    <w:p>
      <w:pPr>
        <w:pStyle w:val="BodyText"/>
        <w:spacing w:before="9"/>
        <w:rPr>
          <w:sz w:val="20"/>
        </w:rPr>
      </w:pPr>
    </w:p>
    <w:p>
      <w:pPr>
        <w:pStyle w:val="BodyText"/>
        <w:spacing w:line="247" w:lineRule="auto"/>
        <w:ind w:left="100" w:right="118"/>
        <w:jc w:val="both"/>
      </w:pPr>
      <w:r>
        <w:rPr>
          <w:color w:val="231F20"/>
        </w:rPr>
        <w:t>The Company’s focus on controlling costs also includes ongoing work to reduce fuel consumption. Although 2016 fuel prices were lower than 2015 fuel prices, Fuel and oil expense remained the Company’s second largest operating cost. Furthermore, as evidenced by the table below, energy  prices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71"/>
      </w:pPr>
      <w:r>
        <w:rPr>
          <w:color w:val="231F20"/>
        </w:rPr>
        <w:t>can fluctuate significantly in a relatively short amount of time. The table below shows the Company’s average cost of jet fuel for each year beginning in 2003 and during each quarter of 2016.</w:t>
      </w:r>
    </w:p>
    <w:p>
      <w:pPr>
        <w:pStyle w:val="BodyText"/>
        <w:spacing w:before="2"/>
        <w:rPr>
          <w:sz w:val="9"/>
        </w:rPr>
      </w:pPr>
    </w:p>
    <w:p>
      <w:pPr>
        <w:spacing w:after="0"/>
        <w:rPr>
          <w:sz w:val="9"/>
        </w:rPr>
        <w:sectPr>
          <w:pgSz w:w="11880" w:h="15480"/>
          <w:pgMar w:header="0" w:footer="1240" w:top="1240" w:bottom="1420" w:left="1280" w:right="1260"/>
        </w:sectPr>
      </w:pPr>
    </w:p>
    <w:p>
      <w:pPr>
        <w:pStyle w:val="BodyText"/>
        <w:rPr>
          <w:sz w:val="26"/>
        </w:rPr>
      </w:pPr>
    </w:p>
    <w:p>
      <w:pPr>
        <w:spacing w:before="0"/>
        <w:ind w:left="0" w:right="0" w:firstLine="0"/>
        <w:jc w:val="right"/>
        <w:rPr>
          <w:b/>
          <w:sz w:val="20"/>
        </w:rPr>
      </w:pPr>
      <w:r>
        <w:rPr>
          <w:b/>
          <w:color w:val="231F20"/>
          <w:w w:val="95"/>
          <w:sz w:val="20"/>
        </w:rPr>
        <w:t>Cost</w:t>
      </w:r>
    </w:p>
    <w:p>
      <w:pPr>
        <w:spacing w:line="200" w:lineRule="exact" w:before="126"/>
        <w:ind w:left="896" w:right="-19" w:firstLine="14"/>
        <w:jc w:val="left"/>
        <w:rPr>
          <w:b/>
          <w:sz w:val="20"/>
        </w:rPr>
      </w:pPr>
      <w:r>
        <w:rPr/>
        <w:br w:type="column"/>
      </w:r>
      <w:r>
        <w:rPr>
          <w:b/>
          <w:color w:val="231F20"/>
          <w:sz w:val="20"/>
        </w:rPr>
        <w:t>Average Cost Per</w:t>
      </w:r>
    </w:p>
    <w:p>
      <w:pPr>
        <w:spacing w:line="200" w:lineRule="exact" w:before="126"/>
        <w:ind w:left="651" w:right="219" w:hanging="141"/>
        <w:jc w:val="left"/>
        <w:rPr>
          <w:b/>
          <w:sz w:val="20"/>
        </w:rPr>
      </w:pPr>
      <w:r>
        <w:rPr/>
        <w:br w:type="column"/>
      </w:r>
      <w:r>
        <w:rPr>
          <w:b/>
          <w:color w:val="231F20"/>
          <w:sz w:val="20"/>
        </w:rPr>
        <w:t>Percentage of Operating</w:t>
      </w:r>
    </w:p>
    <w:p>
      <w:pPr>
        <w:spacing w:after="0" w:line="200" w:lineRule="exact"/>
        <w:jc w:val="left"/>
        <w:rPr>
          <w:sz w:val="20"/>
        </w:rPr>
        <w:sectPr>
          <w:type w:val="continuous"/>
          <w:pgSz w:w="11880" w:h="15480"/>
          <w:pgMar w:top="1260" w:bottom="280" w:left="1280" w:right="1260"/>
          <w:cols w:num="3" w:equalWidth="0">
            <w:col w:w="5714" w:space="40"/>
            <w:col w:w="1636" w:space="40"/>
            <w:col w:w="191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7"/>
        </w:rPr>
      </w:pPr>
    </w:p>
    <w:p>
      <w:pPr>
        <w:pStyle w:val="BodyText"/>
        <w:spacing w:line="247" w:lineRule="auto" w:before="93"/>
        <w:ind w:left="100" w:right="117"/>
        <w:jc w:val="both"/>
      </w:pPr>
      <w:r>
        <w:rPr/>
        <w:pict>
          <v:shape style="position:absolute;margin-left:69pt;margin-top:-275.830444pt;width:456pt;height:264.6pt;mso-position-horizontal-relative:page;mso-position-vertical-relative:paragraph;z-index:12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41"/>
                    <w:gridCol w:w="2930"/>
                    <w:gridCol w:w="1652"/>
                    <w:gridCol w:w="1297"/>
                  </w:tblGrid>
                  <w:tr>
                    <w:trPr>
                      <w:trHeight w:val="268" w:hRule="exact"/>
                    </w:trPr>
                    <w:tc>
                      <w:tcPr>
                        <w:tcW w:w="3241" w:type="dxa"/>
                      </w:tcPr>
                      <w:p>
                        <w:pPr>
                          <w:pStyle w:val="TableParagraph"/>
                          <w:spacing w:line="229" w:lineRule="exact" w:before="0"/>
                          <w:ind w:left="60"/>
                          <w:rPr>
                            <w:b/>
                            <w:sz w:val="20"/>
                          </w:rPr>
                        </w:pPr>
                        <w:r>
                          <w:rPr>
                            <w:b/>
                            <w:color w:val="231F20"/>
                            <w:sz w:val="20"/>
                          </w:rPr>
                          <w:t>Year</w:t>
                        </w:r>
                      </w:p>
                    </w:tc>
                    <w:tc>
                      <w:tcPr>
                        <w:tcW w:w="2930" w:type="dxa"/>
                      </w:tcPr>
                      <w:p>
                        <w:pPr>
                          <w:pStyle w:val="TableParagraph"/>
                          <w:spacing w:line="229" w:lineRule="exact" w:before="0"/>
                          <w:ind w:left="1426"/>
                          <w:jc w:val="center"/>
                          <w:rPr>
                            <w:b/>
                            <w:sz w:val="20"/>
                          </w:rPr>
                        </w:pPr>
                        <w:r>
                          <w:rPr>
                            <w:b/>
                            <w:color w:val="231F20"/>
                            <w:sz w:val="20"/>
                          </w:rPr>
                          <w:t>(Millions)</w:t>
                        </w:r>
                      </w:p>
                    </w:tc>
                    <w:tc>
                      <w:tcPr>
                        <w:tcW w:w="1652" w:type="dxa"/>
                      </w:tcPr>
                      <w:p>
                        <w:pPr>
                          <w:pStyle w:val="TableParagraph"/>
                          <w:spacing w:line="229" w:lineRule="exact" w:before="0"/>
                          <w:ind w:right="152"/>
                          <w:jc w:val="center"/>
                          <w:rPr>
                            <w:b/>
                            <w:sz w:val="20"/>
                          </w:rPr>
                        </w:pPr>
                        <w:r>
                          <w:rPr>
                            <w:b/>
                            <w:color w:val="231F20"/>
                            <w:sz w:val="20"/>
                          </w:rPr>
                          <w:t>Gallon</w:t>
                        </w:r>
                      </w:p>
                    </w:tc>
                    <w:tc>
                      <w:tcPr>
                        <w:tcW w:w="1297" w:type="dxa"/>
                      </w:tcPr>
                      <w:p>
                        <w:pPr>
                          <w:pStyle w:val="TableParagraph"/>
                          <w:spacing w:line="229" w:lineRule="exact" w:before="0"/>
                          <w:ind w:left="202"/>
                          <w:rPr>
                            <w:b/>
                            <w:sz w:val="20"/>
                          </w:rPr>
                        </w:pPr>
                        <w:r>
                          <w:rPr>
                            <w:b/>
                            <w:color w:val="231F20"/>
                            <w:sz w:val="20"/>
                          </w:rPr>
                          <w:t>Expenses</w:t>
                        </w:r>
                      </w:p>
                    </w:tc>
                  </w:tr>
                  <w:tr>
                    <w:trPr>
                      <w:trHeight w:val="280" w:hRule="exact"/>
                    </w:trPr>
                    <w:tc>
                      <w:tcPr>
                        <w:tcW w:w="3241" w:type="dxa"/>
                        <w:shd w:val="clear" w:color="auto" w:fill="D1D3D4"/>
                      </w:tcPr>
                      <w:p>
                        <w:pPr>
                          <w:pStyle w:val="TableParagraph"/>
                          <w:spacing w:before="33"/>
                          <w:ind w:left="60"/>
                          <w:rPr>
                            <w:sz w:val="20"/>
                          </w:rPr>
                        </w:pPr>
                        <w:r>
                          <w:rPr>
                            <w:color w:val="231F20"/>
                            <w:sz w:val="20"/>
                          </w:rPr>
                          <w:t>2003</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920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0.80</w:t>
                        </w:r>
                      </w:p>
                    </w:tc>
                    <w:tc>
                      <w:tcPr>
                        <w:tcW w:w="1297" w:type="dxa"/>
                        <w:shd w:val="clear" w:color="auto" w:fill="D1D3D4"/>
                      </w:tcPr>
                      <w:p>
                        <w:pPr>
                          <w:pStyle w:val="TableParagraph"/>
                          <w:spacing w:before="33"/>
                          <w:jc w:val="right"/>
                          <w:rPr>
                            <w:sz w:val="20"/>
                          </w:rPr>
                        </w:pPr>
                        <w:r>
                          <w:rPr>
                            <w:color w:val="231F20"/>
                            <w:sz w:val="20"/>
                          </w:rPr>
                          <w:t>16.5%</w:t>
                        </w:r>
                      </w:p>
                    </w:tc>
                  </w:tr>
                  <w:tr>
                    <w:trPr>
                      <w:trHeight w:val="280" w:hRule="exact"/>
                    </w:trPr>
                    <w:tc>
                      <w:tcPr>
                        <w:tcW w:w="3241" w:type="dxa"/>
                      </w:tcPr>
                      <w:p>
                        <w:pPr>
                          <w:pStyle w:val="TableParagraph"/>
                          <w:spacing w:before="33"/>
                          <w:ind w:left="60"/>
                          <w:rPr>
                            <w:sz w:val="20"/>
                          </w:rPr>
                        </w:pPr>
                        <w:r>
                          <w:rPr>
                            <w:color w:val="231F20"/>
                            <w:sz w:val="20"/>
                          </w:rPr>
                          <w:t>2004</w:t>
                        </w:r>
                      </w:p>
                    </w:tc>
                    <w:tc>
                      <w:tcPr>
                        <w:tcW w:w="2930" w:type="dxa"/>
                      </w:tcPr>
                      <w:p>
                        <w:pPr>
                          <w:pStyle w:val="TableParagraph"/>
                          <w:tabs>
                            <w:tab w:pos="2379" w:val="left" w:leader="none"/>
                          </w:tabs>
                          <w:spacing w:before="33"/>
                          <w:ind w:left="1429"/>
                          <w:jc w:val="center"/>
                          <w:rPr>
                            <w:sz w:val="20"/>
                          </w:rPr>
                        </w:pPr>
                        <w:r>
                          <w:rPr>
                            <w:color w:val="231F20"/>
                            <w:sz w:val="20"/>
                          </w:rPr>
                          <w:t>$</w:t>
                          <w:tab/>
                          <w:t>1,106</w:t>
                        </w:r>
                      </w:p>
                    </w:tc>
                    <w:tc>
                      <w:tcPr>
                        <w:tcW w:w="1652" w:type="dxa"/>
                      </w:tcPr>
                      <w:p>
                        <w:pPr>
                          <w:pStyle w:val="TableParagraph"/>
                          <w:tabs>
                            <w:tab w:pos="1049" w:val="left" w:leader="none"/>
                          </w:tabs>
                          <w:spacing w:before="33"/>
                          <w:ind w:right="150"/>
                          <w:jc w:val="center"/>
                          <w:rPr>
                            <w:sz w:val="20"/>
                          </w:rPr>
                        </w:pPr>
                        <w:r>
                          <w:rPr>
                            <w:color w:val="231F20"/>
                            <w:sz w:val="20"/>
                          </w:rPr>
                          <w:t>$</w:t>
                          <w:tab/>
                          <w:t>0.92</w:t>
                        </w:r>
                      </w:p>
                    </w:tc>
                    <w:tc>
                      <w:tcPr>
                        <w:tcW w:w="1297" w:type="dxa"/>
                      </w:tcPr>
                      <w:p>
                        <w:pPr>
                          <w:pStyle w:val="TableParagraph"/>
                          <w:spacing w:before="33"/>
                          <w:jc w:val="right"/>
                          <w:rPr>
                            <w:sz w:val="20"/>
                          </w:rPr>
                        </w:pPr>
                        <w:r>
                          <w:rPr>
                            <w:color w:val="231F20"/>
                            <w:sz w:val="20"/>
                          </w:rPr>
                          <w:t>18.1%</w:t>
                        </w:r>
                      </w:p>
                    </w:tc>
                  </w:tr>
                  <w:tr>
                    <w:trPr>
                      <w:trHeight w:val="280" w:hRule="exact"/>
                    </w:trPr>
                    <w:tc>
                      <w:tcPr>
                        <w:tcW w:w="3241" w:type="dxa"/>
                        <w:shd w:val="clear" w:color="auto" w:fill="D1D3D4"/>
                      </w:tcPr>
                      <w:p>
                        <w:pPr>
                          <w:pStyle w:val="TableParagraph"/>
                          <w:spacing w:before="33"/>
                          <w:ind w:left="60"/>
                          <w:rPr>
                            <w:sz w:val="20"/>
                          </w:rPr>
                        </w:pPr>
                        <w:r>
                          <w:rPr>
                            <w:color w:val="231F20"/>
                            <w:sz w:val="20"/>
                          </w:rPr>
                          <w:t>2005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1,470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1.13</w:t>
                        </w:r>
                      </w:p>
                    </w:tc>
                    <w:tc>
                      <w:tcPr>
                        <w:tcW w:w="1297" w:type="dxa"/>
                        <w:shd w:val="clear" w:color="auto" w:fill="D1D3D4"/>
                      </w:tcPr>
                      <w:p>
                        <w:pPr>
                          <w:pStyle w:val="TableParagraph"/>
                          <w:spacing w:before="33"/>
                          <w:jc w:val="right"/>
                          <w:rPr>
                            <w:sz w:val="20"/>
                          </w:rPr>
                        </w:pPr>
                        <w:r>
                          <w:rPr>
                            <w:color w:val="231F20"/>
                            <w:sz w:val="20"/>
                          </w:rPr>
                          <w:t>21.4%</w:t>
                        </w:r>
                      </w:p>
                    </w:tc>
                  </w:tr>
                  <w:tr>
                    <w:trPr>
                      <w:trHeight w:val="280" w:hRule="exact"/>
                    </w:trPr>
                    <w:tc>
                      <w:tcPr>
                        <w:tcW w:w="3241" w:type="dxa"/>
                      </w:tcPr>
                      <w:p>
                        <w:pPr>
                          <w:pStyle w:val="TableParagraph"/>
                          <w:spacing w:before="33"/>
                          <w:ind w:left="60"/>
                          <w:rPr>
                            <w:sz w:val="20"/>
                          </w:rPr>
                        </w:pPr>
                        <w:r>
                          <w:rPr>
                            <w:color w:val="231F20"/>
                            <w:sz w:val="20"/>
                          </w:rPr>
                          <w:t>2006</w:t>
                        </w:r>
                      </w:p>
                    </w:tc>
                    <w:tc>
                      <w:tcPr>
                        <w:tcW w:w="2930" w:type="dxa"/>
                      </w:tcPr>
                      <w:p>
                        <w:pPr>
                          <w:pStyle w:val="TableParagraph"/>
                          <w:tabs>
                            <w:tab w:pos="2379" w:val="left" w:leader="none"/>
                          </w:tabs>
                          <w:spacing w:before="33"/>
                          <w:ind w:left="1429"/>
                          <w:jc w:val="center"/>
                          <w:rPr>
                            <w:sz w:val="20"/>
                          </w:rPr>
                        </w:pPr>
                        <w:r>
                          <w:rPr>
                            <w:color w:val="231F20"/>
                            <w:sz w:val="20"/>
                          </w:rPr>
                          <w:t>$</w:t>
                          <w:tab/>
                          <w:t>2,284</w:t>
                        </w:r>
                      </w:p>
                    </w:tc>
                    <w:tc>
                      <w:tcPr>
                        <w:tcW w:w="1652" w:type="dxa"/>
                      </w:tcPr>
                      <w:p>
                        <w:pPr>
                          <w:pStyle w:val="TableParagraph"/>
                          <w:tabs>
                            <w:tab w:pos="1049" w:val="left" w:leader="none"/>
                          </w:tabs>
                          <w:spacing w:before="33"/>
                          <w:ind w:right="150"/>
                          <w:jc w:val="center"/>
                          <w:rPr>
                            <w:sz w:val="20"/>
                          </w:rPr>
                        </w:pPr>
                        <w:r>
                          <w:rPr>
                            <w:color w:val="231F20"/>
                            <w:sz w:val="20"/>
                          </w:rPr>
                          <w:t>$</w:t>
                          <w:tab/>
                          <w:t>1.64</w:t>
                        </w:r>
                      </w:p>
                    </w:tc>
                    <w:tc>
                      <w:tcPr>
                        <w:tcW w:w="1297" w:type="dxa"/>
                      </w:tcPr>
                      <w:p>
                        <w:pPr>
                          <w:pStyle w:val="TableParagraph"/>
                          <w:spacing w:before="33"/>
                          <w:jc w:val="right"/>
                          <w:rPr>
                            <w:sz w:val="20"/>
                          </w:rPr>
                        </w:pPr>
                        <w:r>
                          <w:rPr>
                            <w:color w:val="231F20"/>
                            <w:sz w:val="20"/>
                          </w:rPr>
                          <w:t>28.0%</w:t>
                        </w:r>
                      </w:p>
                    </w:tc>
                  </w:tr>
                  <w:tr>
                    <w:trPr>
                      <w:trHeight w:val="280" w:hRule="exact"/>
                    </w:trPr>
                    <w:tc>
                      <w:tcPr>
                        <w:tcW w:w="3241" w:type="dxa"/>
                        <w:shd w:val="clear" w:color="auto" w:fill="D1D3D4"/>
                      </w:tcPr>
                      <w:p>
                        <w:pPr>
                          <w:pStyle w:val="TableParagraph"/>
                          <w:spacing w:before="33"/>
                          <w:ind w:left="60"/>
                          <w:rPr>
                            <w:sz w:val="20"/>
                          </w:rPr>
                        </w:pPr>
                        <w:r>
                          <w:rPr>
                            <w:color w:val="231F20"/>
                            <w:sz w:val="20"/>
                          </w:rPr>
                          <w:t>2007</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2,690</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1.80</w:t>
                        </w:r>
                      </w:p>
                    </w:tc>
                    <w:tc>
                      <w:tcPr>
                        <w:tcW w:w="1297" w:type="dxa"/>
                        <w:shd w:val="clear" w:color="auto" w:fill="D1D3D4"/>
                      </w:tcPr>
                      <w:p>
                        <w:pPr>
                          <w:pStyle w:val="TableParagraph"/>
                          <w:spacing w:before="33"/>
                          <w:jc w:val="right"/>
                          <w:rPr>
                            <w:sz w:val="20"/>
                          </w:rPr>
                        </w:pPr>
                        <w:r>
                          <w:rPr>
                            <w:color w:val="231F20"/>
                            <w:sz w:val="20"/>
                          </w:rPr>
                          <w:t>29.7%</w:t>
                        </w:r>
                      </w:p>
                    </w:tc>
                  </w:tr>
                  <w:tr>
                    <w:trPr>
                      <w:trHeight w:val="280" w:hRule="exact"/>
                    </w:trPr>
                    <w:tc>
                      <w:tcPr>
                        <w:tcW w:w="3241" w:type="dxa"/>
                      </w:tcPr>
                      <w:p>
                        <w:pPr>
                          <w:pStyle w:val="TableParagraph"/>
                          <w:spacing w:before="33"/>
                          <w:ind w:left="60"/>
                          <w:rPr>
                            <w:sz w:val="20"/>
                          </w:rPr>
                        </w:pPr>
                        <w:r>
                          <w:rPr>
                            <w:color w:val="231F20"/>
                            <w:sz w:val="20"/>
                          </w:rPr>
                          <w:t>2008</w:t>
                        </w:r>
                      </w:p>
                    </w:tc>
                    <w:tc>
                      <w:tcPr>
                        <w:tcW w:w="2930" w:type="dxa"/>
                      </w:tcPr>
                      <w:p>
                        <w:pPr>
                          <w:pStyle w:val="TableParagraph"/>
                          <w:tabs>
                            <w:tab w:pos="2379" w:val="left" w:leader="none"/>
                          </w:tabs>
                          <w:spacing w:before="33"/>
                          <w:ind w:left="1429"/>
                          <w:jc w:val="center"/>
                          <w:rPr>
                            <w:sz w:val="20"/>
                          </w:rPr>
                        </w:pPr>
                        <w:r>
                          <w:rPr>
                            <w:color w:val="231F20"/>
                            <w:sz w:val="20"/>
                          </w:rPr>
                          <w:t>$</w:t>
                          <w:tab/>
                          <w:t>3,713</w:t>
                        </w:r>
                      </w:p>
                    </w:tc>
                    <w:tc>
                      <w:tcPr>
                        <w:tcW w:w="1652" w:type="dxa"/>
                      </w:tcPr>
                      <w:p>
                        <w:pPr>
                          <w:pStyle w:val="TableParagraph"/>
                          <w:tabs>
                            <w:tab w:pos="1049" w:val="left" w:leader="none"/>
                          </w:tabs>
                          <w:spacing w:before="33"/>
                          <w:ind w:right="150"/>
                          <w:jc w:val="center"/>
                          <w:rPr>
                            <w:sz w:val="20"/>
                          </w:rPr>
                        </w:pPr>
                        <w:r>
                          <w:rPr>
                            <w:color w:val="231F20"/>
                            <w:sz w:val="20"/>
                          </w:rPr>
                          <w:t>$</w:t>
                          <w:tab/>
                          <w:t>2.44</w:t>
                        </w:r>
                      </w:p>
                    </w:tc>
                    <w:tc>
                      <w:tcPr>
                        <w:tcW w:w="1297" w:type="dxa"/>
                      </w:tcPr>
                      <w:p>
                        <w:pPr>
                          <w:pStyle w:val="TableParagraph"/>
                          <w:spacing w:before="33"/>
                          <w:jc w:val="right"/>
                          <w:rPr>
                            <w:sz w:val="20"/>
                          </w:rPr>
                        </w:pPr>
                        <w:r>
                          <w:rPr>
                            <w:color w:val="231F20"/>
                            <w:sz w:val="20"/>
                          </w:rPr>
                          <w:t>35.1%</w:t>
                        </w:r>
                      </w:p>
                    </w:tc>
                  </w:tr>
                  <w:tr>
                    <w:trPr>
                      <w:trHeight w:val="280" w:hRule="exact"/>
                    </w:trPr>
                    <w:tc>
                      <w:tcPr>
                        <w:tcW w:w="3241" w:type="dxa"/>
                        <w:shd w:val="clear" w:color="auto" w:fill="D1D3D4"/>
                      </w:tcPr>
                      <w:p>
                        <w:pPr>
                          <w:pStyle w:val="TableParagraph"/>
                          <w:spacing w:before="33"/>
                          <w:ind w:left="60"/>
                          <w:rPr>
                            <w:sz w:val="20"/>
                          </w:rPr>
                        </w:pPr>
                        <w:r>
                          <w:rPr>
                            <w:color w:val="231F20"/>
                            <w:sz w:val="20"/>
                          </w:rPr>
                          <w:t>2009</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3,044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2.12</w:t>
                        </w:r>
                      </w:p>
                    </w:tc>
                    <w:tc>
                      <w:tcPr>
                        <w:tcW w:w="1297" w:type="dxa"/>
                        <w:shd w:val="clear" w:color="auto" w:fill="D1D3D4"/>
                      </w:tcPr>
                      <w:p>
                        <w:pPr>
                          <w:pStyle w:val="TableParagraph"/>
                          <w:spacing w:before="33"/>
                          <w:jc w:val="right"/>
                          <w:rPr>
                            <w:sz w:val="20"/>
                          </w:rPr>
                        </w:pPr>
                        <w:r>
                          <w:rPr>
                            <w:color w:val="231F20"/>
                            <w:sz w:val="20"/>
                          </w:rPr>
                          <w:t>30.2%</w:t>
                        </w:r>
                      </w:p>
                    </w:tc>
                  </w:tr>
                  <w:tr>
                    <w:trPr>
                      <w:trHeight w:val="280" w:hRule="exact"/>
                    </w:trPr>
                    <w:tc>
                      <w:tcPr>
                        <w:tcW w:w="3241" w:type="dxa"/>
                      </w:tcPr>
                      <w:p>
                        <w:pPr>
                          <w:pStyle w:val="TableParagraph"/>
                          <w:spacing w:before="33"/>
                          <w:ind w:left="60"/>
                          <w:rPr>
                            <w:sz w:val="20"/>
                          </w:rPr>
                        </w:pPr>
                        <w:r>
                          <w:rPr>
                            <w:color w:val="231F20"/>
                            <w:sz w:val="20"/>
                          </w:rPr>
                          <w:t>2010</w:t>
                        </w:r>
                      </w:p>
                    </w:tc>
                    <w:tc>
                      <w:tcPr>
                        <w:tcW w:w="2930" w:type="dxa"/>
                      </w:tcPr>
                      <w:p>
                        <w:pPr>
                          <w:pStyle w:val="TableParagraph"/>
                          <w:tabs>
                            <w:tab w:pos="2379" w:val="left" w:leader="none"/>
                          </w:tabs>
                          <w:spacing w:before="33"/>
                          <w:ind w:left="1429"/>
                          <w:jc w:val="center"/>
                          <w:rPr>
                            <w:sz w:val="20"/>
                          </w:rPr>
                        </w:pPr>
                        <w:r>
                          <w:rPr>
                            <w:color w:val="231F20"/>
                            <w:sz w:val="20"/>
                          </w:rPr>
                          <w:t>$</w:t>
                          <w:tab/>
                          <w:t>3,620</w:t>
                        </w:r>
                      </w:p>
                    </w:tc>
                    <w:tc>
                      <w:tcPr>
                        <w:tcW w:w="1652" w:type="dxa"/>
                      </w:tcPr>
                      <w:p>
                        <w:pPr>
                          <w:pStyle w:val="TableParagraph"/>
                          <w:tabs>
                            <w:tab w:pos="1049" w:val="left" w:leader="none"/>
                          </w:tabs>
                          <w:spacing w:before="33"/>
                          <w:ind w:right="150"/>
                          <w:jc w:val="center"/>
                          <w:rPr>
                            <w:sz w:val="20"/>
                          </w:rPr>
                        </w:pPr>
                        <w:r>
                          <w:rPr>
                            <w:color w:val="231F20"/>
                            <w:sz w:val="20"/>
                          </w:rPr>
                          <w:t>$</w:t>
                          <w:tab/>
                          <w:t>2.51</w:t>
                        </w:r>
                      </w:p>
                    </w:tc>
                    <w:tc>
                      <w:tcPr>
                        <w:tcW w:w="1297" w:type="dxa"/>
                      </w:tcPr>
                      <w:p>
                        <w:pPr>
                          <w:pStyle w:val="TableParagraph"/>
                          <w:spacing w:before="33"/>
                          <w:jc w:val="right"/>
                          <w:rPr>
                            <w:sz w:val="20"/>
                          </w:rPr>
                        </w:pPr>
                        <w:r>
                          <w:rPr>
                            <w:color w:val="231F20"/>
                            <w:sz w:val="20"/>
                          </w:rPr>
                          <w:t>32.6%</w:t>
                        </w:r>
                      </w:p>
                    </w:tc>
                  </w:tr>
                  <w:tr>
                    <w:trPr>
                      <w:trHeight w:val="280" w:hRule="exact"/>
                    </w:trPr>
                    <w:tc>
                      <w:tcPr>
                        <w:tcW w:w="3241" w:type="dxa"/>
                        <w:shd w:val="clear" w:color="auto" w:fill="D1D3D4"/>
                      </w:tcPr>
                      <w:p>
                        <w:pPr>
                          <w:pStyle w:val="TableParagraph"/>
                          <w:spacing w:before="33"/>
                          <w:ind w:left="60"/>
                          <w:rPr>
                            <w:sz w:val="20"/>
                          </w:rPr>
                        </w:pPr>
                        <w:r>
                          <w:rPr>
                            <w:color w:val="231F20"/>
                            <w:sz w:val="20"/>
                          </w:rPr>
                          <w:t>2011</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5,644</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3.19</w:t>
                        </w:r>
                      </w:p>
                    </w:tc>
                    <w:tc>
                      <w:tcPr>
                        <w:tcW w:w="1297" w:type="dxa"/>
                        <w:shd w:val="clear" w:color="auto" w:fill="D1D3D4"/>
                      </w:tcPr>
                      <w:p>
                        <w:pPr>
                          <w:pStyle w:val="TableParagraph"/>
                          <w:spacing w:before="33"/>
                          <w:jc w:val="right"/>
                          <w:rPr>
                            <w:sz w:val="20"/>
                          </w:rPr>
                        </w:pPr>
                        <w:r>
                          <w:rPr>
                            <w:color w:val="231F20"/>
                            <w:sz w:val="20"/>
                          </w:rPr>
                          <w:t>37.7%</w:t>
                        </w:r>
                      </w:p>
                    </w:tc>
                  </w:tr>
                  <w:tr>
                    <w:trPr>
                      <w:trHeight w:val="280" w:hRule="exact"/>
                    </w:trPr>
                    <w:tc>
                      <w:tcPr>
                        <w:tcW w:w="3241" w:type="dxa"/>
                      </w:tcPr>
                      <w:p>
                        <w:pPr>
                          <w:pStyle w:val="TableParagraph"/>
                          <w:spacing w:before="33"/>
                          <w:ind w:left="60"/>
                          <w:rPr>
                            <w:sz w:val="20"/>
                          </w:rPr>
                        </w:pPr>
                        <w:r>
                          <w:rPr>
                            <w:color w:val="231F20"/>
                            <w:sz w:val="20"/>
                          </w:rPr>
                          <w:t>2012</w:t>
                        </w:r>
                      </w:p>
                    </w:tc>
                    <w:tc>
                      <w:tcPr>
                        <w:tcW w:w="2930" w:type="dxa"/>
                      </w:tcPr>
                      <w:p>
                        <w:pPr>
                          <w:pStyle w:val="TableParagraph"/>
                          <w:tabs>
                            <w:tab w:pos="2379" w:val="left" w:leader="none"/>
                          </w:tabs>
                          <w:spacing w:before="33"/>
                          <w:ind w:left="1429"/>
                          <w:jc w:val="center"/>
                          <w:rPr>
                            <w:sz w:val="20"/>
                          </w:rPr>
                        </w:pPr>
                        <w:r>
                          <w:rPr>
                            <w:color w:val="231F20"/>
                            <w:sz w:val="20"/>
                          </w:rPr>
                          <w:t>$</w:t>
                          <w:tab/>
                          <w:t>6,120</w:t>
                        </w:r>
                      </w:p>
                    </w:tc>
                    <w:tc>
                      <w:tcPr>
                        <w:tcW w:w="1652" w:type="dxa"/>
                      </w:tcPr>
                      <w:p>
                        <w:pPr>
                          <w:pStyle w:val="TableParagraph"/>
                          <w:tabs>
                            <w:tab w:pos="1049" w:val="left" w:leader="none"/>
                          </w:tabs>
                          <w:spacing w:before="33"/>
                          <w:ind w:right="150"/>
                          <w:jc w:val="center"/>
                          <w:rPr>
                            <w:sz w:val="20"/>
                          </w:rPr>
                        </w:pPr>
                        <w:r>
                          <w:rPr>
                            <w:color w:val="231F20"/>
                            <w:sz w:val="20"/>
                          </w:rPr>
                          <w:t>$</w:t>
                          <w:tab/>
                          <w:t>3.30</w:t>
                        </w:r>
                      </w:p>
                    </w:tc>
                    <w:tc>
                      <w:tcPr>
                        <w:tcW w:w="1297" w:type="dxa"/>
                      </w:tcPr>
                      <w:p>
                        <w:pPr>
                          <w:pStyle w:val="TableParagraph"/>
                          <w:spacing w:before="33"/>
                          <w:jc w:val="right"/>
                          <w:rPr>
                            <w:sz w:val="20"/>
                          </w:rPr>
                        </w:pPr>
                        <w:r>
                          <w:rPr>
                            <w:color w:val="231F20"/>
                            <w:sz w:val="20"/>
                          </w:rPr>
                          <w:t>37.2%</w:t>
                        </w:r>
                      </w:p>
                    </w:tc>
                  </w:tr>
                  <w:tr>
                    <w:trPr>
                      <w:trHeight w:val="280" w:hRule="exact"/>
                    </w:trPr>
                    <w:tc>
                      <w:tcPr>
                        <w:tcW w:w="3241" w:type="dxa"/>
                        <w:shd w:val="clear" w:color="auto" w:fill="D1D3D4"/>
                      </w:tcPr>
                      <w:p>
                        <w:pPr>
                          <w:pStyle w:val="TableParagraph"/>
                          <w:spacing w:before="33"/>
                          <w:ind w:left="60"/>
                          <w:rPr>
                            <w:sz w:val="20"/>
                          </w:rPr>
                        </w:pPr>
                        <w:r>
                          <w:rPr>
                            <w:color w:val="231F20"/>
                            <w:sz w:val="20"/>
                          </w:rPr>
                          <w:t>2013</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5,763</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3.16</w:t>
                        </w:r>
                      </w:p>
                    </w:tc>
                    <w:tc>
                      <w:tcPr>
                        <w:tcW w:w="1297" w:type="dxa"/>
                        <w:shd w:val="clear" w:color="auto" w:fill="D1D3D4"/>
                      </w:tcPr>
                      <w:p>
                        <w:pPr>
                          <w:pStyle w:val="TableParagraph"/>
                          <w:spacing w:before="33"/>
                          <w:jc w:val="right"/>
                          <w:rPr>
                            <w:sz w:val="20"/>
                          </w:rPr>
                        </w:pPr>
                        <w:r>
                          <w:rPr>
                            <w:color w:val="231F20"/>
                            <w:sz w:val="20"/>
                          </w:rPr>
                          <w:t>35.1%</w:t>
                        </w:r>
                      </w:p>
                    </w:tc>
                  </w:tr>
                  <w:tr>
                    <w:trPr>
                      <w:trHeight w:val="280" w:hRule="exact"/>
                    </w:trPr>
                    <w:tc>
                      <w:tcPr>
                        <w:tcW w:w="3241" w:type="dxa"/>
                      </w:tcPr>
                      <w:p>
                        <w:pPr>
                          <w:pStyle w:val="TableParagraph"/>
                          <w:spacing w:before="33"/>
                          <w:ind w:left="60"/>
                          <w:rPr>
                            <w:sz w:val="20"/>
                          </w:rPr>
                        </w:pPr>
                        <w:r>
                          <w:rPr>
                            <w:color w:val="231F20"/>
                            <w:sz w:val="20"/>
                          </w:rPr>
                          <w:t>2014</w:t>
                        </w:r>
                      </w:p>
                    </w:tc>
                    <w:tc>
                      <w:tcPr>
                        <w:tcW w:w="2930" w:type="dxa"/>
                      </w:tcPr>
                      <w:p>
                        <w:pPr>
                          <w:pStyle w:val="TableParagraph"/>
                          <w:tabs>
                            <w:tab w:pos="2379" w:val="left" w:leader="none"/>
                          </w:tabs>
                          <w:spacing w:before="33"/>
                          <w:ind w:left="1429"/>
                          <w:jc w:val="center"/>
                          <w:rPr>
                            <w:sz w:val="20"/>
                          </w:rPr>
                        </w:pPr>
                        <w:r>
                          <w:rPr>
                            <w:color w:val="231F20"/>
                            <w:sz w:val="20"/>
                          </w:rPr>
                          <w:t>$</w:t>
                          <w:tab/>
                          <w:t>5,293</w:t>
                        </w:r>
                      </w:p>
                    </w:tc>
                    <w:tc>
                      <w:tcPr>
                        <w:tcW w:w="1652" w:type="dxa"/>
                      </w:tcPr>
                      <w:p>
                        <w:pPr>
                          <w:pStyle w:val="TableParagraph"/>
                          <w:tabs>
                            <w:tab w:pos="1049" w:val="left" w:leader="none"/>
                          </w:tabs>
                          <w:spacing w:before="33"/>
                          <w:ind w:right="150"/>
                          <w:jc w:val="center"/>
                          <w:rPr>
                            <w:sz w:val="20"/>
                          </w:rPr>
                        </w:pPr>
                        <w:r>
                          <w:rPr>
                            <w:color w:val="231F20"/>
                            <w:sz w:val="20"/>
                          </w:rPr>
                          <w:t>$</w:t>
                          <w:tab/>
                          <w:t>2.93</w:t>
                        </w:r>
                      </w:p>
                    </w:tc>
                    <w:tc>
                      <w:tcPr>
                        <w:tcW w:w="1297" w:type="dxa"/>
                      </w:tcPr>
                      <w:p>
                        <w:pPr>
                          <w:pStyle w:val="TableParagraph"/>
                          <w:spacing w:before="33"/>
                          <w:jc w:val="right"/>
                          <w:rPr>
                            <w:sz w:val="20"/>
                          </w:rPr>
                        </w:pPr>
                        <w:r>
                          <w:rPr>
                            <w:color w:val="231F20"/>
                            <w:sz w:val="20"/>
                          </w:rPr>
                          <w:t>32.3%</w:t>
                        </w:r>
                      </w:p>
                    </w:tc>
                  </w:tr>
                  <w:tr>
                    <w:trPr>
                      <w:trHeight w:val="280" w:hRule="exact"/>
                    </w:trPr>
                    <w:tc>
                      <w:tcPr>
                        <w:tcW w:w="3241" w:type="dxa"/>
                        <w:shd w:val="clear" w:color="auto" w:fill="D1D3D4"/>
                      </w:tcPr>
                      <w:p>
                        <w:pPr>
                          <w:pStyle w:val="TableParagraph"/>
                          <w:spacing w:before="33"/>
                          <w:ind w:left="60"/>
                          <w:rPr>
                            <w:sz w:val="20"/>
                          </w:rPr>
                        </w:pPr>
                        <w:r>
                          <w:rPr>
                            <w:color w:val="231F20"/>
                            <w:sz w:val="20"/>
                          </w:rPr>
                          <w:t>2015</w:t>
                        </w:r>
                      </w:p>
                    </w:tc>
                    <w:tc>
                      <w:tcPr>
                        <w:tcW w:w="2930" w:type="dxa"/>
                        <w:shd w:val="clear" w:color="auto" w:fill="D1D3D4"/>
                      </w:tcPr>
                      <w:p>
                        <w:pPr>
                          <w:pStyle w:val="TableParagraph"/>
                          <w:tabs>
                            <w:tab w:pos="2379" w:val="left" w:leader="none"/>
                          </w:tabs>
                          <w:spacing w:before="33"/>
                          <w:ind w:left="1429"/>
                          <w:jc w:val="center"/>
                          <w:rPr>
                            <w:sz w:val="20"/>
                          </w:rPr>
                        </w:pPr>
                        <w:r>
                          <w:rPr>
                            <w:color w:val="231F20"/>
                            <w:sz w:val="20"/>
                          </w:rPr>
                          <w:t>$</w:t>
                          <w:tab/>
                          <w:t>3,616</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1.90</w:t>
                        </w:r>
                      </w:p>
                    </w:tc>
                    <w:tc>
                      <w:tcPr>
                        <w:tcW w:w="1297" w:type="dxa"/>
                        <w:shd w:val="clear" w:color="auto" w:fill="D1D3D4"/>
                      </w:tcPr>
                      <w:p>
                        <w:pPr>
                          <w:pStyle w:val="TableParagraph"/>
                          <w:spacing w:before="33"/>
                          <w:jc w:val="right"/>
                          <w:rPr>
                            <w:sz w:val="20"/>
                          </w:rPr>
                        </w:pPr>
                        <w:r>
                          <w:rPr>
                            <w:color w:val="231F20"/>
                            <w:sz w:val="20"/>
                          </w:rPr>
                          <w:t>23.0%</w:t>
                        </w:r>
                      </w:p>
                    </w:tc>
                  </w:tr>
                  <w:tr>
                    <w:trPr>
                      <w:trHeight w:val="280" w:hRule="exact"/>
                    </w:trPr>
                    <w:tc>
                      <w:tcPr>
                        <w:tcW w:w="3241" w:type="dxa"/>
                      </w:tcPr>
                      <w:p>
                        <w:pPr>
                          <w:pStyle w:val="TableParagraph"/>
                          <w:spacing w:before="33"/>
                          <w:ind w:left="60"/>
                          <w:rPr>
                            <w:sz w:val="20"/>
                          </w:rPr>
                        </w:pPr>
                        <w:r>
                          <w:rPr>
                            <w:color w:val="231F20"/>
                            <w:sz w:val="20"/>
                          </w:rPr>
                          <w:t>2016</w:t>
                        </w:r>
                      </w:p>
                    </w:tc>
                    <w:tc>
                      <w:tcPr>
                        <w:tcW w:w="2930" w:type="dxa"/>
                      </w:tcPr>
                      <w:p>
                        <w:pPr>
                          <w:pStyle w:val="TableParagraph"/>
                          <w:tabs>
                            <w:tab w:pos="2379" w:val="left" w:leader="none"/>
                          </w:tabs>
                          <w:spacing w:before="33"/>
                          <w:ind w:left="1429"/>
                          <w:jc w:val="center"/>
                          <w:rPr>
                            <w:sz w:val="20"/>
                          </w:rPr>
                        </w:pPr>
                        <w:r>
                          <w:rPr>
                            <w:color w:val="231F20"/>
                            <w:sz w:val="20"/>
                          </w:rPr>
                          <w:t>$</w:t>
                          <w:tab/>
                          <w:t>3,647</w:t>
                        </w:r>
                      </w:p>
                    </w:tc>
                    <w:tc>
                      <w:tcPr>
                        <w:tcW w:w="1652" w:type="dxa"/>
                      </w:tcPr>
                      <w:p>
                        <w:pPr>
                          <w:pStyle w:val="TableParagraph"/>
                          <w:tabs>
                            <w:tab w:pos="1049" w:val="left" w:leader="none"/>
                          </w:tabs>
                          <w:spacing w:before="33"/>
                          <w:ind w:right="150"/>
                          <w:jc w:val="center"/>
                          <w:rPr>
                            <w:sz w:val="20"/>
                          </w:rPr>
                        </w:pPr>
                        <w:r>
                          <w:rPr>
                            <w:color w:val="231F20"/>
                            <w:sz w:val="20"/>
                          </w:rPr>
                          <w:t>$</w:t>
                          <w:tab/>
                          <w:t>1.82</w:t>
                        </w:r>
                      </w:p>
                    </w:tc>
                    <w:tc>
                      <w:tcPr>
                        <w:tcW w:w="1297" w:type="dxa"/>
                      </w:tcPr>
                      <w:p>
                        <w:pPr>
                          <w:pStyle w:val="TableParagraph"/>
                          <w:spacing w:before="33"/>
                          <w:jc w:val="right"/>
                          <w:rPr>
                            <w:sz w:val="20"/>
                          </w:rPr>
                        </w:pPr>
                        <w:r>
                          <w:rPr>
                            <w:color w:val="231F20"/>
                            <w:sz w:val="20"/>
                          </w:rPr>
                          <w:t>21.9%</w:t>
                        </w:r>
                      </w:p>
                    </w:tc>
                  </w:tr>
                  <w:tr>
                    <w:trPr>
                      <w:trHeight w:val="280" w:hRule="exact"/>
                    </w:trPr>
                    <w:tc>
                      <w:tcPr>
                        <w:tcW w:w="3241" w:type="dxa"/>
                        <w:shd w:val="clear" w:color="auto" w:fill="D1D3D4"/>
                      </w:tcPr>
                      <w:p>
                        <w:pPr>
                          <w:pStyle w:val="TableParagraph"/>
                          <w:spacing w:before="33"/>
                          <w:ind w:left="60"/>
                          <w:rPr>
                            <w:sz w:val="20"/>
                          </w:rPr>
                        </w:pPr>
                        <w:r>
                          <w:rPr>
                            <w:color w:val="231F20"/>
                            <w:sz w:val="20"/>
                          </w:rPr>
                          <w:t>First Quarter 2016</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852</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1.80</w:t>
                        </w:r>
                      </w:p>
                    </w:tc>
                    <w:tc>
                      <w:tcPr>
                        <w:tcW w:w="1297" w:type="dxa"/>
                        <w:shd w:val="clear" w:color="auto" w:fill="D1D3D4"/>
                      </w:tcPr>
                      <w:p>
                        <w:pPr>
                          <w:pStyle w:val="TableParagraph"/>
                          <w:spacing w:before="33"/>
                          <w:jc w:val="right"/>
                          <w:rPr>
                            <w:sz w:val="20"/>
                          </w:rPr>
                        </w:pPr>
                        <w:r>
                          <w:rPr>
                            <w:color w:val="231F20"/>
                            <w:sz w:val="20"/>
                          </w:rPr>
                          <w:t>21.9%</w:t>
                        </w:r>
                      </w:p>
                    </w:tc>
                  </w:tr>
                  <w:tr>
                    <w:trPr>
                      <w:trHeight w:val="280" w:hRule="exact"/>
                    </w:trPr>
                    <w:tc>
                      <w:tcPr>
                        <w:tcW w:w="3241" w:type="dxa"/>
                      </w:tcPr>
                      <w:p>
                        <w:pPr>
                          <w:pStyle w:val="TableParagraph"/>
                          <w:spacing w:before="33"/>
                          <w:ind w:left="60"/>
                          <w:rPr>
                            <w:sz w:val="20"/>
                          </w:rPr>
                        </w:pPr>
                        <w:r>
                          <w:rPr>
                            <w:color w:val="231F20"/>
                            <w:sz w:val="20"/>
                          </w:rPr>
                          <w:t>Second Quarter 2016</w:t>
                        </w:r>
                      </w:p>
                    </w:tc>
                    <w:tc>
                      <w:tcPr>
                        <w:tcW w:w="2930" w:type="dxa"/>
                      </w:tcPr>
                      <w:p>
                        <w:pPr>
                          <w:pStyle w:val="TableParagraph"/>
                          <w:tabs>
                            <w:tab w:pos="2529" w:val="left" w:leader="none"/>
                          </w:tabs>
                          <w:spacing w:before="33"/>
                          <w:ind w:left="1429"/>
                          <w:jc w:val="center"/>
                          <w:rPr>
                            <w:sz w:val="20"/>
                          </w:rPr>
                        </w:pPr>
                        <w:r>
                          <w:rPr>
                            <w:color w:val="231F20"/>
                            <w:sz w:val="20"/>
                          </w:rPr>
                          <w:t>$</w:t>
                          <w:tab/>
                          <w:t>903</w:t>
                        </w:r>
                      </w:p>
                    </w:tc>
                    <w:tc>
                      <w:tcPr>
                        <w:tcW w:w="1652" w:type="dxa"/>
                      </w:tcPr>
                      <w:p>
                        <w:pPr>
                          <w:pStyle w:val="TableParagraph"/>
                          <w:tabs>
                            <w:tab w:pos="1049" w:val="left" w:leader="none"/>
                          </w:tabs>
                          <w:spacing w:before="33"/>
                          <w:ind w:right="150"/>
                          <w:jc w:val="center"/>
                          <w:rPr>
                            <w:sz w:val="20"/>
                          </w:rPr>
                        </w:pPr>
                        <w:r>
                          <w:rPr>
                            <w:color w:val="231F20"/>
                            <w:sz w:val="20"/>
                          </w:rPr>
                          <w:t>$</w:t>
                          <w:tab/>
                          <w:t>1.75</w:t>
                        </w:r>
                      </w:p>
                    </w:tc>
                    <w:tc>
                      <w:tcPr>
                        <w:tcW w:w="1297" w:type="dxa"/>
                      </w:tcPr>
                      <w:p>
                        <w:pPr>
                          <w:pStyle w:val="TableParagraph"/>
                          <w:spacing w:before="33"/>
                          <w:jc w:val="right"/>
                          <w:rPr>
                            <w:sz w:val="20"/>
                          </w:rPr>
                        </w:pPr>
                        <w:r>
                          <w:rPr>
                            <w:color w:val="231F20"/>
                            <w:sz w:val="20"/>
                          </w:rPr>
                          <w:t>22.0%</w:t>
                        </w:r>
                      </w:p>
                    </w:tc>
                  </w:tr>
                  <w:tr>
                    <w:trPr>
                      <w:trHeight w:val="280" w:hRule="exact"/>
                    </w:trPr>
                    <w:tc>
                      <w:tcPr>
                        <w:tcW w:w="3241" w:type="dxa"/>
                        <w:shd w:val="clear" w:color="auto" w:fill="D1D3D4"/>
                      </w:tcPr>
                      <w:p>
                        <w:pPr>
                          <w:pStyle w:val="TableParagraph"/>
                          <w:spacing w:before="33"/>
                          <w:ind w:left="60"/>
                          <w:rPr>
                            <w:sz w:val="20"/>
                          </w:rPr>
                        </w:pPr>
                        <w:r>
                          <w:rPr>
                            <w:color w:val="231F20"/>
                            <w:sz w:val="20"/>
                          </w:rPr>
                          <w:t>Third Quarter 2016</w:t>
                        </w:r>
                      </w:p>
                    </w:tc>
                    <w:tc>
                      <w:tcPr>
                        <w:tcW w:w="2930" w:type="dxa"/>
                        <w:shd w:val="clear" w:color="auto" w:fill="D1D3D4"/>
                      </w:tcPr>
                      <w:p>
                        <w:pPr>
                          <w:pStyle w:val="TableParagraph"/>
                          <w:tabs>
                            <w:tab w:pos="2529" w:val="left" w:leader="none"/>
                          </w:tabs>
                          <w:spacing w:before="33"/>
                          <w:ind w:left="1429"/>
                          <w:jc w:val="center"/>
                          <w:rPr>
                            <w:sz w:val="20"/>
                          </w:rPr>
                        </w:pPr>
                        <w:r>
                          <w:rPr>
                            <w:color w:val="231F20"/>
                            <w:sz w:val="20"/>
                          </w:rPr>
                          <w:t>$</w:t>
                          <w:tab/>
                          <w:t>941</w:t>
                        </w:r>
                      </w:p>
                    </w:tc>
                    <w:tc>
                      <w:tcPr>
                        <w:tcW w:w="1652" w:type="dxa"/>
                        <w:shd w:val="clear" w:color="auto" w:fill="D1D3D4"/>
                      </w:tcPr>
                      <w:p>
                        <w:pPr>
                          <w:pStyle w:val="TableParagraph"/>
                          <w:tabs>
                            <w:tab w:pos="1049" w:val="left" w:leader="none"/>
                          </w:tabs>
                          <w:spacing w:before="33"/>
                          <w:ind w:right="150"/>
                          <w:jc w:val="center"/>
                          <w:rPr>
                            <w:sz w:val="20"/>
                          </w:rPr>
                        </w:pPr>
                        <w:r>
                          <w:rPr>
                            <w:color w:val="231F20"/>
                            <w:sz w:val="20"/>
                          </w:rPr>
                          <w:t>$</w:t>
                          <w:tab/>
                          <w:t>1.83</w:t>
                        </w:r>
                      </w:p>
                    </w:tc>
                    <w:tc>
                      <w:tcPr>
                        <w:tcW w:w="1297" w:type="dxa"/>
                        <w:shd w:val="clear" w:color="auto" w:fill="D1D3D4"/>
                      </w:tcPr>
                      <w:p>
                        <w:pPr>
                          <w:pStyle w:val="TableParagraph"/>
                          <w:spacing w:before="33"/>
                          <w:jc w:val="right"/>
                          <w:rPr>
                            <w:sz w:val="20"/>
                          </w:rPr>
                        </w:pPr>
                        <w:r>
                          <w:rPr>
                            <w:color w:val="231F20"/>
                            <w:sz w:val="20"/>
                          </w:rPr>
                          <w:t>21.2%</w:t>
                        </w:r>
                      </w:p>
                    </w:tc>
                  </w:tr>
                  <w:tr>
                    <w:trPr>
                      <w:trHeight w:val="264" w:hRule="exact"/>
                    </w:trPr>
                    <w:tc>
                      <w:tcPr>
                        <w:tcW w:w="3241" w:type="dxa"/>
                      </w:tcPr>
                      <w:p>
                        <w:pPr>
                          <w:pStyle w:val="TableParagraph"/>
                          <w:spacing w:before="33"/>
                          <w:ind w:left="60"/>
                          <w:rPr>
                            <w:sz w:val="20"/>
                          </w:rPr>
                        </w:pPr>
                        <w:r>
                          <w:rPr>
                            <w:color w:val="231F20"/>
                            <w:sz w:val="20"/>
                          </w:rPr>
                          <w:t>Fourth Quarter 2016</w:t>
                        </w:r>
                      </w:p>
                    </w:tc>
                    <w:tc>
                      <w:tcPr>
                        <w:tcW w:w="2930" w:type="dxa"/>
                      </w:tcPr>
                      <w:p>
                        <w:pPr>
                          <w:pStyle w:val="TableParagraph"/>
                          <w:tabs>
                            <w:tab w:pos="2529" w:val="left" w:leader="none"/>
                          </w:tabs>
                          <w:spacing w:before="33"/>
                          <w:ind w:left="1429"/>
                          <w:jc w:val="center"/>
                          <w:rPr>
                            <w:sz w:val="20"/>
                          </w:rPr>
                        </w:pPr>
                        <w:r>
                          <w:rPr>
                            <w:color w:val="231F20"/>
                            <w:sz w:val="20"/>
                          </w:rPr>
                          <w:t>$</w:t>
                          <w:tab/>
                          <w:t>952</w:t>
                        </w:r>
                      </w:p>
                    </w:tc>
                    <w:tc>
                      <w:tcPr>
                        <w:tcW w:w="1652" w:type="dxa"/>
                      </w:tcPr>
                      <w:p>
                        <w:pPr>
                          <w:pStyle w:val="TableParagraph"/>
                          <w:tabs>
                            <w:tab w:pos="1049" w:val="left" w:leader="none"/>
                          </w:tabs>
                          <w:spacing w:before="33"/>
                          <w:ind w:right="150"/>
                          <w:jc w:val="center"/>
                          <w:rPr>
                            <w:sz w:val="20"/>
                          </w:rPr>
                        </w:pPr>
                        <w:r>
                          <w:rPr>
                            <w:color w:val="231F20"/>
                            <w:sz w:val="20"/>
                          </w:rPr>
                          <w:t>$</w:t>
                          <w:tab/>
                          <w:t>1.90</w:t>
                        </w:r>
                      </w:p>
                    </w:tc>
                    <w:tc>
                      <w:tcPr>
                        <w:tcW w:w="1297" w:type="dxa"/>
                      </w:tcPr>
                      <w:p>
                        <w:pPr>
                          <w:pStyle w:val="TableParagraph"/>
                          <w:spacing w:before="33"/>
                          <w:jc w:val="right"/>
                          <w:rPr>
                            <w:sz w:val="20"/>
                          </w:rPr>
                        </w:pPr>
                        <w:r>
                          <w:rPr>
                            <w:color w:val="231F20"/>
                            <w:sz w:val="20"/>
                          </w:rPr>
                          <w:t>22.5%</w:t>
                        </w:r>
                      </w:p>
                    </w:tc>
                  </w:tr>
                </w:tbl>
                <w:p>
                  <w:pPr>
                    <w:pStyle w:val="BodyText"/>
                  </w:pPr>
                </w:p>
              </w:txbxContent>
            </v:textbox>
            <w10:wrap type="none"/>
          </v:shape>
        </w:pict>
      </w:r>
      <w:r>
        <w:rPr>
          <w:color w:val="231F20"/>
        </w:rPr>
        <w:t>The Company focuses on reducing fuel consumption and improving fuel efficiency through fleet modernization and other fuel initiatives. For example, during 2016, the Company continued to replace its older aircraft with newer aircraft that are less maintenance intensive and more fuel efficient. The Company also announced its intent to accelerate the retirement of its 737-300 aircraft to no later than third quarter 2017, when it is scheduled to take delivery of its first, more fuel-efficient, Boeing 737-8 aircraft. The Company’s fleet composition and delivery schedules are discussed in more detail below under “Properties - Aircraft.” The Company has also undertaken a number of other fuel conservation initiatives which are discussed in detail under “Regulation - Environmental Regulation.”</w:t>
      </w:r>
    </w:p>
    <w:p>
      <w:pPr>
        <w:pStyle w:val="BodyText"/>
        <w:spacing w:before="5"/>
        <w:rPr>
          <w:sz w:val="21"/>
        </w:rPr>
      </w:pPr>
    </w:p>
    <w:p>
      <w:pPr>
        <w:pStyle w:val="BodyText"/>
        <w:spacing w:line="247" w:lineRule="auto"/>
        <w:ind w:left="100" w:right="117"/>
        <w:jc w:val="both"/>
      </w:pPr>
      <w:r>
        <w:rPr>
          <w:color w:val="231F20"/>
        </w:rPr>
        <w:t>To illustrate the results of the Company’s efforts to reduce fuel consumption, the table below sets forth the Company’s available seat miles produced per fuel gallon consumed over the last five years:</w:t>
      </w:r>
    </w:p>
    <w:p>
      <w:pPr>
        <w:spacing w:before="205" w:after="27"/>
        <w:ind w:left="5020" w:right="0" w:firstLine="0"/>
        <w:jc w:val="left"/>
        <w:rPr>
          <w:b/>
          <w:sz w:val="20"/>
        </w:rPr>
      </w:pP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20"/>
        <w:gridCol w:w="1080"/>
        <w:gridCol w:w="200"/>
        <w:gridCol w:w="1080"/>
        <w:gridCol w:w="200"/>
        <w:gridCol w:w="1080"/>
        <w:gridCol w:w="200"/>
        <w:gridCol w:w="1080"/>
        <w:gridCol w:w="1280"/>
      </w:tblGrid>
      <w:tr>
        <w:trPr>
          <w:trHeight w:val="280" w:hRule="exact"/>
        </w:trPr>
        <w:tc>
          <w:tcPr>
            <w:tcW w:w="2920" w:type="dxa"/>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2016</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2015</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2014</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left="320" w:right="320"/>
              <w:jc w:val="center"/>
              <w:rPr>
                <w:b/>
                <w:sz w:val="20"/>
              </w:rPr>
            </w:pPr>
            <w:r>
              <w:rPr>
                <w:b/>
                <w:color w:val="231F20"/>
                <w:sz w:val="20"/>
              </w:rPr>
              <w:t>2013</w:t>
            </w:r>
          </w:p>
        </w:tc>
        <w:tc>
          <w:tcPr>
            <w:tcW w:w="1280" w:type="dxa"/>
            <w:tcBorders>
              <w:top w:val="single" w:sz="8" w:space="0" w:color="231F20"/>
              <w:bottom w:val="single" w:sz="8" w:space="0" w:color="231F20"/>
            </w:tcBorders>
          </w:tcPr>
          <w:p>
            <w:pPr>
              <w:pStyle w:val="TableParagraph"/>
              <w:spacing w:before="13"/>
              <w:ind w:right="339"/>
              <w:jc w:val="right"/>
              <w:rPr>
                <w:b/>
                <w:sz w:val="20"/>
              </w:rPr>
            </w:pPr>
            <w:r>
              <w:rPr>
                <w:b/>
                <w:color w:val="231F20"/>
                <w:sz w:val="20"/>
              </w:rPr>
              <w:t>2012</w:t>
            </w:r>
          </w:p>
        </w:tc>
      </w:tr>
      <w:tr>
        <w:trPr>
          <w:trHeight w:val="550" w:hRule="exact"/>
        </w:trPr>
        <w:tc>
          <w:tcPr>
            <w:tcW w:w="2920" w:type="dxa"/>
            <w:shd w:val="clear" w:color="auto" w:fill="D1D3D4"/>
          </w:tcPr>
          <w:p>
            <w:pPr>
              <w:pStyle w:val="TableParagraph"/>
              <w:spacing w:line="249" w:lineRule="auto"/>
              <w:ind w:left="240" w:right="572" w:hanging="200"/>
              <w:rPr>
                <w:sz w:val="20"/>
              </w:rPr>
            </w:pPr>
            <w:r>
              <w:rPr>
                <w:color w:val="231F20"/>
                <w:sz w:val="20"/>
              </w:rPr>
              <w:t>Available seat miles per fuel gallon consumed</w:t>
            </w: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74.4</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73.9</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72.8</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5"/>
              <w:rPr>
                <w:b/>
                <w:sz w:val="25"/>
              </w:rPr>
            </w:pPr>
          </w:p>
          <w:p>
            <w:pPr>
              <w:pStyle w:val="TableParagraph"/>
              <w:spacing w:before="1"/>
              <w:ind w:left="320" w:right="320"/>
              <w:jc w:val="center"/>
              <w:rPr>
                <w:sz w:val="20"/>
              </w:rPr>
            </w:pPr>
            <w:r>
              <w:rPr>
                <w:color w:val="231F20"/>
                <w:sz w:val="20"/>
              </w:rPr>
              <w:t>71.7</w:t>
            </w:r>
          </w:p>
        </w:tc>
        <w:tc>
          <w:tcPr>
            <w:tcW w:w="1280" w:type="dxa"/>
            <w:tcBorders>
              <w:top w:val="single" w:sz="8" w:space="0" w:color="231F20"/>
            </w:tcBorders>
            <w:shd w:val="clear" w:color="auto" w:fill="D1D3D4"/>
          </w:tcPr>
          <w:p>
            <w:pPr>
              <w:pStyle w:val="TableParagraph"/>
              <w:spacing w:before="7"/>
              <w:rPr>
                <w:b/>
                <w:sz w:val="24"/>
              </w:rPr>
            </w:pPr>
          </w:p>
          <w:p>
            <w:pPr>
              <w:pStyle w:val="TableParagraph"/>
              <w:spacing w:before="0"/>
              <w:ind w:right="362"/>
              <w:jc w:val="right"/>
              <w:rPr>
                <w:sz w:val="20"/>
              </w:rPr>
            </w:pPr>
            <w:r>
              <w:rPr>
                <w:color w:val="231F20"/>
                <w:sz w:val="20"/>
              </w:rPr>
              <w:t>69.4</w:t>
            </w:r>
          </w:p>
        </w:tc>
      </w:tr>
    </w:tbl>
    <w:p>
      <w:pPr>
        <w:pStyle w:val="BodyText"/>
        <w:spacing w:before="2"/>
        <w:rPr>
          <w:b/>
          <w:sz w:val="26"/>
        </w:rPr>
      </w:pPr>
    </w:p>
    <w:p>
      <w:pPr>
        <w:pStyle w:val="BodyText"/>
        <w:spacing w:line="247" w:lineRule="auto"/>
        <w:ind w:left="100" w:right="117"/>
        <w:jc w:val="both"/>
      </w:pPr>
      <w:r>
        <w:rPr>
          <w:color w:val="231F20"/>
        </w:rPr>
        <w:t>The Company also enters into fuel derivative contracts to manage its risk associated with significant increases in fuel prices. The Company’s fuel hedging activities, as well as the risks associated with  high and/or volatile fuel prices, are discussed in more detail below under “Risk Factors,” “Management’s Discussion and Analysis of Financial Condition and Results of Operations,” and    Note 10 to the Consolidated Financial</w:t>
      </w:r>
      <w:r>
        <w:rPr>
          <w:color w:val="231F20"/>
          <w:spacing w:val="-1"/>
        </w:rPr>
        <w:t> </w:t>
      </w:r>
      <w:r>
        <w:rPr>
          <w:color w:val="231F20"/>
        </w:rPr>
        <w:t>Statements.</w:t>
      </w:r>
    </w:p>
    <w:p>
      <w:pPr>
        <w:spacing w:after="0" w:line="247" w:lineRule="auto"/>
        <w:jc w:val="both"/>
        <w:sectPr>
          <w:type w:val="continuous"/>
          <w:pgSz w:w="11880" w:h="15480"/>
          <w:pgMar w:top="1260" w:bottom="280" w:left="1280" w:right="1260"/>
        </w:sectPr>
      </w:pPr>
    </w:p>
    <w:p>
      <w:pPr>
        <w:pStyle w:val="BodyText"/>
        <w:spacing w:line="247" w:lineRule="auto" w:before="74"/>
        <w:ind w:left="120" w:right="117"/>
        <w:jc w:val="both"/>
      </w:pPr>
      <w:r>
        <w:rPr>
          <w:color w:val="231F20"/>
        </w:rPr>
        <w:t>Salaries, wages, and benefits expense constituted approximately 41 percent of the Company’s  operating expenses during 2016 and was the Company’s largest operating cost. The Company’s ability to control labor costs is limited by the terms of its collective-bargaining agreements, and increased labor costs have negatively impacted the Company’s low-cost competitive position. The Company’s labor costs, and risks associated therewith, are discussed in more detail below under “Risk Factors”  and “Management’s Discussion and Analysis of Financial Condition and Results of</w:t>
      </w:r>
      <w:r>
        <w:rPr>
          <w:color w:val="231F20"/>
          <w:spacing w:val="1"/>
        </w:rPr>
        <w:t> </w:t>
      </w:r>
      <w:r>
        <w:rPr>
          <w:color w:val="231F20"/>
        </w:rPr>
        <w:t>Operations.”</w:t>
      </w:r>
    </w:p>
    <w:p>
      <w:pPr>
        <w:pStyle w:val="BodyText"/>
        <w:spacing w:before="9"/>
        <w:rPr>
          <w:sz w:val="31"/>
        </w:rPr>
      </w:pPr>
    </w:p>
    <w:p>
      <w:pPr>
        <w:pStyle w:val="Heading1"/>
        <w:ind w:left="199" w:right="7197"/>
        <w:jc w:val="center"/>
      </w:pPr>
      <w:r>
        <w:rPr>
          <w:color w:val="231F20"/>
        </w:rPr>
        <w:t>Fare Structure</w:t>
      </w:r>
    </w:p>
    <w:p>
      <w:pPr>
        <w:pStyle w:val="BodyText"/>
        <w:spacing w:before="8"/>
        <w:rPr>
          <w:b/>
          <w:sz w:val="21"/>
        </w:rPr>
      </w:pPr>
    </w:p>
    <w:p>
      <w:pPr>
        <w:pStyle w:val="Heading2"/>
        <w:spacing w:before="1"/>
        <w:ind w:left="840"/>
        <w:rPr>
          <w:i/>
        </w:rPr>
      </w:pPr>
      <w:r>
        <w:rPr>
          <w:i/>
          <w:color w:val="231F20"/>
        </w:rPr>
        <w:t>General</w:t>
      </w:r>
    </w:p>
    <w:p>
      <w:pPr>
        <w:pStyle w:val="BodyText"/>
        <w:spacing w:before="9"/>
        <w:rPr>
          <w:b/>
          <w:i/>
          <w:sz w:val="21"/>
        </w:rPr>
      </w:pPr>
    </w:p>
    <w:p>
      <w:pPr>
        <w:pStyle w:val="BodyText"/>
        <w:spacing w:line="247" w:lineRule="auto"/>
        <w:ind w:left="119" w:right="117"/>
        <w:jc w:val="both"/>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w:t>
      </w:r>
      <w:r>
        <w:rPr>
          <w:color w:val="231F20"/>
          <w:position w:val="5"/>
          <w:sz w:val="16"/>
        </w:rPr>
        <w:t>®</w:t>
      </w:r>
      <w:r>
        <w:rPr>
          <w:color w:val="231F20"/>
        </w:rPr>
        <w:t>,” “Anytime</w:t>
      </w:r>
      <w:r>
        <w:rPr>
          <w:color w:val="231F20"/>
          <w:position w:val="5"/>
          <w:sz w:val="14"/>
        </w:rPr>
        <w:t>SM</w:t>
      </w:r>
      <w:r>
        <w:rPr>
          <w:color w:val="231F20"/>
        </w:rPr>
        <w:t>,” and “Business Select</w:t>
      </w:r>
      <w:r>
        <w:rPr>
          <w:color w:val="231F20"/>
          <w:position w:val="5"/>
          <w:sz w:val="16"/>
        </w:rPr>
        <w:t>®</w:t>
      </w:r>
      <w:r>
        <w:rPr>
          <w:color w:val="231F20"/>
        </w:rPr>
        <w:t>,” with the goal of making it easier for Customers to choose the fare they prefer. All fare products include the privilege of two free checked bags (weight and size limits apply). In addition, regardless of the fare product, Southwest does not charge fees for changes to flight</w:t>
      </w:r>
      <w:r>
        <w:rPr>
          <w:color w:val="231F20"/>
          <w:spacing w:val="-3"/>
        </w:rPr>
        <w:t> </w:t>
      </w:r>
      <w:r>
        <w:rPr>
          <w:color w:val="231F20"/>
        </w:rPr>
        <w:t>reservations.</w:t>
      </w:r>
    </w:p>
    <w:p>
      <w:pPr>
        <w:pStyle w:val="BodyText"/>
        <w:spacing w:before="1"/>
        <w:rPr>
          <w:sz w:val="21"/>
        </w:rPr>
      </w:pPr>
    </w:p>
    <w:p>
      <w:pPr>
        <w:pStyle w:val="ListParagraph"/>
        <w:numPr>
          <w:ilvl w:val="0"/>
          <w:numId w:val="1"/>
        </w:numPr>
        <w:tabs>
          <w:tab w:pos="1000" w:val="left" w:leader="none"/>
        </w:tabs>
        <w:spacing w:line="247" w:lineRule="auto" w:before="0" w:after="0"/>
        <w:ind w:left="1000" w:right="117" w:hanging="440"/>
        <w:jc w:val="both"/>
        <w:rPr>
          <w:sz w:val="22"/>
        </w:rPr>
      </w:pPr>
      <w:r>
        <w:rPr>
          <w:color w:val="231F20"/>
          <w:sz w:val="22"/>
        </w:rPr>
        <w:t>“Wanna Get Away” fares are generally the lowest fares and are typically subject to advance purchase requirements. They are nonrefundable but, subject to compliance with Southwest’s No Show policy, funds may be applied to future travel on Southwest without a change fee. Southwest’s No Show policy applies if a Customer has booked a nonrefundable fare anywhere in his/her itinerary and that portion of the flight is not used and not canceled or changed by the Customer at least ten minutes prior to scheduled departure. In such event, subject to certain exceptions, all unused funds on the full itinerary will be forfeited, and the remaining reservation will be canceled. The intent of the No Show policy is to promote Customer behavior that will enable Southwest to re-sell the open seat prior to</w:t>
      </w:r>
      <w:r>
        <w:rPr>
          <w:color w:val="231F20"/>
          <w:spacing w:val="-3"/>
          <w:sz w:val="22"/>
        </w:rPr>
        <w:t> </w:t>
      </w:r>
      <w:r>
        <w:rPr>
          <w:color w:val="231F20"/>
          <w:sz w:val="22"/>
        </w:rPr>
        <w:t>departure.</w:t>
      </w:r>
    </w:p>
    <w:p>
      <w:pPr>
        <w:pStyle w:val="BodyText"/>
        <w:spacing w:before="1"/>
        <w:rPr>
          <w:sz w:val="21"/>
        </w:rPr>
      </w:pPr>
    </w:p>
    <w:p>
      <w:pPr>
        <w:pStyle w:val="ListParagraph"/>
        <w:numPr>
          <w:ilvl w:val="0"/>
          <w:numId w:val="1"/>
        </w:numPr>
        <w:tabs>
          <w:tab w:pos="1000" w:val="left" w:leader="none"/>
        </w:tabs>
        <w:spacing w:line="247" w:lineRule="auto" w:before="0" w:after="0"/>
        <w:ind w:left="1000" w:right="117" w:hanging="440"/>
        <w:jc w:val="both"/>
        <w:rPr>
          <w:sz w:val="22"/>
        </w:rPr>
      </w:pPr>
      <w:r>
        <w:rPr>
          <w:color w:val="231F20"/>
          <w:sz w:val="22"/>
        </w:rPr>
        <w:t>“Anytime” fares are refundable and changeable, and funds may also be applied toward future travel on Southwest. Anytime fares also include a higher frequent flyer point multiplier under Southwest’s Rapid Rewards</w:t>
      </w:r>
      <w:r>
        <w:rPr>
          <w:color w:val="231F20"/>
          <w:position w:val="5"/>
          <w:sz w:val="16"/>
        </w:rPr>
        <w:t>® </w:t>
      </w:r>
      <w:r>
        <w:rPr>
          <w:color w:val="231F20"/>
          <w:sz w:val="22"/>
        </w:rPr>
        <w:t>frequent flyer program than do Wanna Get Away fares. The Company’s frequent flyer program is discussed below under “Rapid Rewards Frequent Flyer Program.”</w:t>
      </w:r>
    </w:p>
    <w:p>
      <w:pPr>
        <w:pStyle w:val="BodyText"/>
        <w:spacing w:before="1"/>
        <w:rPr>
          <w:sz w:val="21"/>
        </w:rPr>
      </w:pPr>
    </w:p>
    <w:p>
      <w:pPr>
        <w:pStyle w:val="ListParagraph"/>
        <w:numPr>
          <w:ilvl w:val="0"/>
          <w:numId w:val="1"/>
        </w:numPr>
        <w:tabs>
          <w:tab w:pos="1000" w:val="left" w:leader="none"/>
        </w:tabs>
        <w:spacing w:line="247" w:lineRule="auto" w:before="0" w:after="0"/>
        <w:ind w:left="1000" w:right="117" w:hanging="440"/>
        <w:jc w:val="both"/>
        <w:rPr>
          <w:sz w:val="22"/>
        </w:rPr>
      </w:pPr>
      <w:r>
        <w:rPr>
          <w:color w:val="231F20"/>
          <w:sz w:val="22"/>
        </w:rPr>
        <w:t>“Business Select” fares are refundable and changeable, and funds may be applied toward future travel on Southwest. Business Select fares also include additional perks, when available, such as priority boarding in the first 15 boarding positions within boarding group “A,” a higher frequent flyer point multiplier than other Southwest fares (including twice as many points per dollar spent as compared with Wanna Get Away fares), “Fly By</w:t>
      </w:r>
      <w:r>
        <w:rPr>
          <w:color w:val="231F20"/>
          <w:position w:val="5"/>
          <w:sz w:val="16"/>
        </w:rPr>
        <w:t>®</w:t>
      </w:r>
      <w:r>
        <w:rPr>
          <w:color w:val="231F20"/>
          <w:sz w:val="22"/>
        </w:rPr>
        <w:t>” priority security and/or ticket counter access in participating airports, and one complimentary adult beverage coupon for the day of travel (for Customers of legal drinking</w:t>
      </w:r>
      <w:r>
        <w:rPr>
          <w:color w:val="231F20"/>
          <w:spacing w:val="-4"/>
          <w:sz w:val="22"/>
        </w:rPr>
        <w:t> </w:t>
      </w:r>
      <w:r>
        <w:rPr>
          <w:color w:val="231F20"/>
          <w:sz w:val="22"/>
        </w:rPr>
        <w:t>age).</w:t>
      </w:r>
    </w:p>
    <w:p>
      <w:pPr>
        <w:pStyle w:val="BodyText"/>
        <w:spacing w:before="1"/>
        <w:rPr>
          <w:sz w:val="21"/>
        </w:rPr>
      </w:pPr>
    </w:p>
    <w:p>
      <w:pPr>
        <w:pStyle w:val="Heading2"/>
        <w:ind w:left="840"/>
        <w:rPr>
          <w:i/>
        </w:rPr>
      </w:pPr>
      <w:r>
        <w:rPr>
          <w:i/>
          <w:color w:val="231F20"/>
        </w:rPr>
        <w:t>Ancillary Services</w:t>
      </w:r>
    </w:p>
    <w:p>
      <w:pPr>
        <w:pStyle w:val="BodyText"/>
        <w:spacing w:before="8"/>
        <w:rPr>
          <w:b/>
          <w:i/>
          <w:sz w:val="21"/>
        </w:rPr>
      </w:pPr>
    </w:p>
    <w:p>
      <w:pPr>
        <w:pStyle w:val="BodyText"/>
        <w:spacing w:line="247" w:lineRule="auto" w:before="1"/>
        <w:ind w:left="119" w:right="118"/>
        <w:jc w:val="both"/>
      </w:pPr>
      <w:r>
        <w:rPr>
          <w:color w:val="231F20"/>
        </w:rPr>
        <w:t>The Company offers ancillary service offerings such as Southwest’s EarlyBird Check-In</w:t>
      </w:r>
      <w:r>
        <w:rPr>
          <w:color w:val="231F20"/>
          <w:position w:val="5"/>
          <w:sz w:val="16"/>
        </w:rPr>
        <w:t>® </w:t>
      </w:r>
      <w:r>
        <w:rPr>
          <w:color w:val="231F20"/>
        </w:rPr>
        <w:t>and transportation of pets and unaccompanied minors, in accordance with Southwest’s respective policies. EarlyBird Check-In provides Customers with automatic check-in before general boarding positions become  available,  improving  Customers’  seat  selection  options  (priority  boarding  privileges    are</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already a benefit of being an “A-List” tier member under the Company’s Rapid Rewards Frequent Flyer Program). Southwest’s Pet Policy provides Customers an opportunity to bring a small cat or dog into the aircraft cabin. Southwest also has an unaccompanied minor travel policy to address the administrative costs and the extra care necessary to safely transport these Customers.</w:t>
      </w:r>
    </w:p>
    <w:p>
      <w:pPr>
        <w:pStyle w:val="BodyText"/>
        <w:spacing w:before="9"/>
        <w:rPr>
          <w:sz w:val="20"/>
        </w:rPr>
      </w:pPr>
    </w:p>
    <w:p>
      <w:pPr>
        <w:pStyle w:val="BodyText"/>
        <w:spacing w:line="247" w:lineRule="auto"/>
        <w:ind w:left="120" w:right="117"/>
        <w:jc w:val="both"/>
      </w:pPr>
      <w:r>
        <w:rPr>
          <w:color w:val="231F20"/>
        </w:rPr>
        <w:t>When available, Southwest also sells, at the airport, open priority boarding positions in the first           15 positions in its “A” boarding</w:t>
      </w:r>
      <w:r>
        <w:rPr>
          <w:color w:val="231F20"/>
          <w:spacing w:val="-2"/>
        </w:rPr>
        <w:t> </w:t>
      </w:r>
      <w:r>
        <w:rPr>
          <w:color w:val="231F20"/>
        </w:rPr>
        <w:t>group.</w:t>
      </w:r>
    </w:p>
    <w:p>
      <w:pPr>
        <w:pStyle w:val="BodyText"/>
        <w:spacing w:before="9"/>
        <w:rPr>
          <w:sz w:val="20"/>
        </w:rPr>
      </w:pPr>
    </w:p>
    <w:p>
      <w:pPr>
        <w:pStyle w:val="BodyText"/>
        <w:spacing w:line="247" w:lineRule="auto"/>
        <w:ind w:left="120" w:right="117"/>
        <w:jc w:val="both"/>
      </w:pPr>
      <w:r>
        <w:rPr>
          <w:color w:val="231F20"/>
        </w:rPr>
        <w:t>Southwest offers inflight satellite-based WiFi service on all of its 737-700 and 737-800 aircraft, representing over 87 percent of Southwest’s fleet. Southwest’s Customers with small portable electronic devices are able to utilize the airline’s onboard WiFi from gate-to-gate when traveling on a Southwest WiFi-enabled aircraft. Southwest was the first carrier to offer gate-to-gate connectivity. Southwest’s onboard entertainment options on WiFi-enabled aircraft for viewing on Customers’ personal wireless devices include free access to Southwest’s live and on-demand television product. The television product currently consists of nearly 20 live channels and up to 75 on-demand recorded episodes from popular television series. Due to licensing restrictions, free live TV may not be available onboard WiFi-enabled international flights. In late 2016, the Company entered into new WiFi connectivity agreements designed to yield greater WiFi bandwidth available to Customers on WiFi- equipped  aircraft  beginning  in  mid-2017.  By  the  end  of 2017,  the  Company  expects  to operate a</w:t>
      </w:r>
    </w:p>
    <w:p>
      <w:pPr>
        <w:pStyle w:val="BodyText"/>
        <w:spacing w:line="247" w:lineRule="auto"/>
        <w:ind w:left="120" w:right="118"/>
        <w:jc w:val="both"/>
      </w:pPr>
      <w:r>
        <w:rPr>
          <w:color w:val="231F20"/>
        </w:rPr>
        <w:t>100 percent WiFi-equipped fleet. Southwest also provides movies-on-demand, and also offers a Messaging-only option, including all WiFi-enabled stops and connections. The Messaging service allows access to iMessage and pre-downloaded apps for Viber and WhatsApp. Customers do not have to purchase WiFi to access television offerings, movies-on-demand, or the Messaging-only service.</w:t>
      </w:r>
    </w:p>
    <w:p>
      <w:pPr>
        <w:pStyle w:val="BodyText"/>
        <w:spacing w:before="10"/>
        <w:rPr>
          <w:sz w:val="20"/>
        </w:rPr>
      </w:pPr>
    </w:p>
    <w:p>
      <w:pPr>
        <w:pStyle w:val="Heading1"/>
        <w:ind w:left="480"/>
        <w:jc w:val="left"/>
      </w:pPr>
      <w:r>
        <w:rPr>
          <w:color w:val="231F20"/>
        </w:rPr>
        <w:t>Rapid Rewards Frequent Flyer Program</w:t>
      </w:r>
    </w:p>
    <w:p>
      <w:pPr>
        <w:pStyle w:val="BodyText"/>
        <w:spacing w:before="4"/>
        <w:rPr>
          <w:b/>
          <w:sz w:val="21"/>
        </w:rPr>
      </w:pPr>
    </w:p>
    <w:p>
      <w:pPr>
        <w:pStyle w:val="BodyText"/>
        <w:spacing w:line="247" w:lineRule="auto" w:before="1"/>
        <w:ind w:left="120" w:right="117"/>
        <w:jc w:val="both"/>
      </w:pPr>
      <w:r>
        <w:rPr>
          <w:color w:val="231F20"/>
        </w:rPr>
        <w:t>Southwest’s Rapid Rewards frequent flyer program enables program members (“Members”) to earn points for every dollar spent on Southwest fares. The amount of points earned under the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Member has points-earning activity during the most recent 24</w:t>
      </w:r>
      <w:r>
        <w:rPr>
          <w:color w:val="231F20"/>
          <w:spacing w:val="-2"/>
        </w:rPr>
        <w:t> </w:t>
      </w:r>
      <w:r>
        <w:rPr>
          <w:color w:val="231F20"/>
        </w:rPr>
        <w:t>months.</w:t>
      </w:r>
    </w:p>
    <w:p>
      <w:pPr>
        <w:pStyle w:val="BodyText"/>
        <w:spacing w:before="9"/>
        <w:rPr>
          <w:sz w:val="20"/>
        </w:rPr>
      </w:pPr>
    </w:p>
    <w:p>
      <w:pPr>
        <w:pStyle w:val="BodyText"/>
        <w:spacing w:line="247" w:lineRule="auto" w:before="1"/>
        <w:ind w:left="119" w:right="117"/>
        <w:jc w:val="both"/>
      </w:pPr>
      <w:r>
        <w:rPr>
          <w:color w:val="231F20"/>
        </w:rPr>
        <w:t>Under the program, Members continue to accumulate points until the time they decide to redeem them. As a result, the program provides Members significant flexibility and options for earning and redeeming rewards. For example, Members can earn more points (and/or achieve tiered status such as A-List and Companion Pass faster) by purchasing higher fare tickets. Members also have significant flexibility in redeeming points, such as the opportunity to book in advance to take advantage of a lower fare (including many fare sales) ticket by redeeming fewer points or by being able to redeem more points and book at the last minute if seats are still available for sale. Members can also earn points through qualifying purchases with Rapid Rewards Partners (which include, for example, car rental agencies, hotels, restaurants, and retailers), as well as by using Southwest’s co-branded Chase</w:t>
      </w:r>
      <w:r>
        <w:rPr>
          <w:color w:val="231F20"/>
          <w:position w:val="5"/>
          <w:sz w:val="16"/>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w:t>
      </w:r>
      <w:r>
        <w:rPr>
          <w:color w:val="231F20"/>
          <w:spacing w:val="52"/>
        </w:rPr>
        <w:t> </w:t>
      </w:r>
      <w:r>
        <w:rPr>
          <w:color w:val="231F20"/>
        </w:rPr>
        <w:t>for</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revenue flights and qualifying purchases with Rapid Rewards Partners, Members also have the ability to purchase, gift, and transfer points, as well as the ability to donate points to selected charities.</w:t>
      </w:r>
    </w:p>
    <w:p>
      <w:pPr>
        <w:pStyle w:val="BodyText"/>
        <w:spacing w:before="5"/>
      </w:pPr>
    </w:p>
    <w:p>
      <w:pPr>
        <w:pStyle w:val="BodyText"/>
        <w:spacing w:line="247" w:lineRule="auto"/>
        <w:ind w:left="120" w:right="117"/>
        <w:jc w:val="both"/>
      </w:pPr>
      <w:r>
        <w:rPr>
          <w:color w:val="231F20"/>
        </w:rPr>
        <w:t>Southwest’s Rapid Rewards frequent flyer program features tier and Companion Pass programs for the most active Members, including “A-List” and “A-List Preferred” status. Both A-List and A-List Preferred Members enjoy benefits such as “Fly By</w:t>
      </w:r>
      <w:r>
        <w:rPr>
          <w:color w:val="231F20"/>
          <w:position w:val="5"/>
          <w:sz w:val="16"/>
        </w:rPr>
        <w:t>®</w:t>
      </w:r>
      <w:r>
        <w:rPr>
          <w:color w:val="231F20"/>
        </w:rPr>
        <w:t>” priority check-in and security lane access, where available, as well as dedicated phone lines, standby priority, and an earnings bonus on eligible revenue flights (25 percent for A-List and 100 percent for A-List Preferred). In addition, A-List Preferred Members enjoy free inflight WiFi on equipped flights. Members who attain A-List or A-List Preferred status receive priority boarding privileges for an entire year. When these Customers purchase travel at least 36 hours prior to flight time, they receive the best boarding pass number available (generally, an “A” boarding pass). Members who fly 100 qualifying one-way flights or earn 110,000 qualifying  points in a calendar year automatically receive a Companion Pass, which provides for unlimited free travel for one year to any destination available on Southwest for a designated companion of the qualifying Member. The Member and designated companion must travel together on the same flight.</w:t>
      </w:r>
    </w:p>
    <w:p>
      <w:pPr>
        <w:pStyle w:val="BodyText"/>
        <w:spacing w:before="5"/>
      </w:pPr>
    </w:p>
    <w:p>
      <w:pPr>
        <w:pStyle w:val="BodyText"/>
        <w:ind w:left="120"/>
        <w:jc w:val="both"/>
      </w:pPr>
      <w:r>
        <w:rPr>
          <w:color w:val="231F20"/>
        </w:rPr>
        <w:t>Southwest’s  Rapid  Rewards  frequent  flyer  program  has  been  designed  to  drive  more  revenue by</w:t>
      </w:r>
    </w:p>
    <w:p>
      <w:pPr>
        <w:pStyle w:val="BodyText"/>
        <w:spacing w:line="247" w:lineRule="auto" w:before="6"/>
        <w:ind w:left="120" w:right="118"/>
        <w:jc w:val="both"/>
      </w:pPr>
      <w:r>
        <w:rPr>
          <w:color w:val="231F20"/>
        </w:rPr>
        <w:t>(i) bringing in new Customers, including new Members, as well as new holders of Southwest’s co-branded   Chase   Visa   credit   card;   (ii)   increasing   business   from   existing   Customers;    and</w:t>
      </w:r>
    </w:p>
    <w:p>
      <w:pPr>
        <w:pStyle w:val="ListParagraph"/>
        <w:numPr>
          <w:ilvl w:val="0"/>
          <w:numId w:val="2"/>
        </w:numPr>
        <w:tabs>
          <w:tab w:pos="515" w:val="left" w:leader="none"/>
        </w:tabs>
        <w:spacing w:line="247" w:lineRule="auto" w:before="0" w:after="0"/>
        <w:ind w:left="120" w:right="117" w:firstLine="0"/>
        <w:jc w:val="both"/>
        <w:rPr>
          <w:sz w:val="22"/>
        </w:rPr>
      </w:pPr>
      <w:r>
        <w:rPr>
          <w:color w:val="231F20"/>
          <w:sz w:val="22"/>
        </w:rPr>
        <w:t>strengthening the Company’s Rapid Rewards hotel, rental car, credit card, and retail partnerships. The program continues to exceed the Company’s expectations with respect to the number of Members added, the amount spent per Member on airfare, the number of flights taken by Members, the number of Southwest’s co-branded Chase Visa credit card holders added, the number of points sold to business partners, and the number of frequent flyer points purchased by Members. During 2015, the Company entered into an amended co-branded credit card agreement with Chase Bank USA, N.A. Additional information regarding this amended co-branded credit card agreement, including the effect of the resulting change in accounting methodology, is provided below under “Management’s Discussion and Analysis of Financial Condition and Results of Operations” and in Note 1 to the Consolidated  Financial Statements.</w:t>
      </w:r>
    </w:p>
    <w:p>
      <w:pPr>
        <w:pStyle w:val="BodyText"/>
        <w:spacing w:before="6"/>
      </w:pPr>
    </w:p>
    <w:p>
      <w:pPr>
        <w:pStyle w:val="BodyText"/>
        <w:ind w:left="120"/>
        <w:jc w:val="both"/>
      </w:pPr>
      <w:r>
        <w:rPr>
          <w:color w:val="231F20"/>
        </w:rPr>
        <w:t>For  the  Company’s  2016  consolidated  results,  Customers  of  Southwest  redeemed   approximately</w:t>
      </w:r>
    </w:p>
    <w:p>
      <w:pPr>
        <w:pStyle w:val="BodyText"/>
        <w:spacing w:line="247" w:lineRule="auto" w:before="6"/>
        <w:ind w:left="120" w:right="117"/>
        <w:jc w:val="both"/>
      </w:pPr>
      <w:r>
        <w:rPr>
          <w:color w:val="231F20"/>
        </w:rPr>
        <w:t>8.3 million flight awards, accounting for approximately 12.7 percent of revenue passenger miles flown. For  the  Company’s  2015  consolidated  results,  Customers  of  Southwest  redeemed   approximately</w:t>
      </w:r>
    </w:p>
    <w:p>
      <w:pPr>
        <w:pStyle w:val="BodyText"/>
        <w:spacing w:line="247" w:lineRule="auto"/>
        <w:ind w:left="120" w:right="117"/>
        <w:jc w:val="both"/>
      </w:pPr>
      <w:r>
        <w:rPr>
          <w:color w:val="231F20"/>
        </w:rPr>
        <w:t>7.3 million flight awards, accounting for approximately 12.0 percent of revenue passenger miles flown. During 2014, the Company also operated AirTran. AirTran’s final passenger service occurred on December 28, 2014, and it has been integrated into Southwest. For the Company’s 2014 consolidated results, Customers of Southwest and AirTran redeemed approximately 6.2 million flight awards, accounting for approximately 11.0 percent of revenue passenger miles flown. The Company’s accounting policies with respect to its frequent flyer programs are discussed in more detail in Note 1 to the Consolidated Financial Statements.</w:t>
      </w:r>
    </w:p>
    <w:p>
      <w:pPr>
        <w:pStyle w:val="BodyText"/>
        <w:spacing w:before="6"/>
      </w:pPr>
    </w:p>
    <w:p>
      <w:pPr>
        <w:pStyle w:val="Heading1"/>
        <w:ind w:left="480"/>
        <w:jc w:val="left"/>
      </w:pPr>
      <w:r>
        <w:rPr>
          <w:color w:val="231F20"/>
        </w:rPr>
        <w:t>Southwest.com</w:t>
      </w:r>
    </w:p>
    <w:p>
      <w:pPr>
        <w:pStyle w:val="BodyText"/>
        <w:rPr>
          <w:b/>
          <w:sz w:val="23"/>
        </w:rPr>
      </w:pPr>
    </w:p>
    <w:p>
      <w:pPr>
        <w:pStyle w:val="BodyText"/>
        <w:spacing w:line="247" w:lineRule="auto" w:before="1"/>
        <w:ind w:left="119" w:right="117"/>
        <w:jc w:val="both"/>
      </w:pPr>
      <w:r>
        <w:rPr>
          <w:color w:val="231F20"/>
        </w:rPr>
        <w:t>The Company’s Internet website, Southwest.com</w:t>
      </w:r>
      <w:r>
        <w:rPr>
          <w:color w:val="231F20"/>
          <w:position w:val="5"/>
          <w:sz w:val="16"/>
        </w:rPr>
        <w:t>®</w:t>
      </w:r>
      <w:r>
        <w:rPr>
          <w:color w:val="231F20"/>
        </w:rPr>
        <w:t>, is the only avenue for Southwest Customers to purchase and manage travel online. Customers’ trips can be planned and managed directly from the Southwest.com home page. Southwest.com is designed to help make the Customer’s experience personal and intuitive with features such as recognizing the Customer’s location to provide relevant deals, remembering recent searches to make it easy to get to trips of interest, and a calendar view to</w:t>
      </w:r>
    </w:p>
    <w:p>
      <w:pPr>
        <w:spacing w:after="0" w:line="247" w:lineRule="auto"/>
        <w:jc w:val="both"/>
        <w:sectPr>
          <w:pgSz w:w="11880" w:h="15480"/>
          <w:pgMar w:header="0" w:footer="1240" w:top="1240" w:bottom="1420" w:left="1260" w:right="1260"/>
        </w:sectPr>
      </w:pPr>
    </w:p>
    <w:p>
      <w:pPr>
        <w:pStyle w:val="BodyText"/>
        <w:spacing w:line="247" w:lineRule="auto" w:before="74"/>
        <w:ind w:left="120" w:right="117"/>
        <w:jc w:val="both"/>
      </w:pPr>
      <w:r>
        <w:rPr>
          <w:color w:val="231F20"/>
        </w:rPr>
        <w:t>find the best date to travel for the lowest fare. The “My Account” section of the website provides a detailed view into a Customer’s travel and loyalty activity. Southwest.com highlights points of differentiation between Southwest and other air carriers and provides information on the Company’s fare and ancillary products. In addition, Southwest.com and Swabiz.com (the Company’s business travel reservation web page) are available in a translated Spanish version, which provides Customers who prefer to transact in Spanish the same level of Customer Service provided by the English versions of the websites. Both sites meet Web Content Accessibility Guidelines (2.0, Level AA) in order to provide an optimal experience for more people with disabilities. Additionally, Southwest offers Customers a mobile website and apps (iOS and Android) to provide Customers the ability to transact with Southwest anytime they have access to their mobile device. For the year ended December 31, 2016, approximately 79.1 percent of the Company’s Passenger revenues came through its website (including revenues from SWABIZ</w:t>
      </w:r>
      <w:r>
        <w:rPr>
          <w:color w:val="231F20"/>
          <w:position w:val="5"/>
          <w:sz w:val="16"/>
        </w:rPr>
        <w:t>®</w:t>
      </w:r>
      <w:r>
        <w:rPr>
          <w:color w:val="231F20"/>
        </w:rPr>
        <w:t>).</w:t>
      </w:r>
    </w:p>
    <w:p>
      <w:pPr>
        <w:pStyle w:val="BodyText"/>
        <w:spacing w:before="2"/>
        <w:rPr>
          <w:sz w:val="19"/>
        </w:rPr>
      </w:pPr>
    </w:p>
    <w:p>
      <w:pPr>
        <w:pStyle w:val="Heading1"/>
        <w:ind w:left="480"/>
        <w:jc w:val="left"/>
      </w:pPr>
      <w:r>
        <w:rPr>
          <w:color w:val="231F20"/>
        </w:rPr>
        <w:t>Marketing</w:t>
      </w:r>
    </w:p>
    <w:p>
      <w:pPr>
        <w:pStyle w:val="BodyText"/>
        <w:spacing w:before="9"/>
        <w:rPr>
          <w:b/>
          <w:sz w:val="19"/>
        </w:rPr>
      </w:pPr>
    </w:p>
    <w:p>
      <w:pPr>
        <w:pStyle w:val="BodyText"/>
        <w:spacing w:line="247" w:lineRule="auto" w:before="1"/>
        <w:ind w:left="119" w:right="117"/>
        <w:jc w:val="both"/>
      </w:pPr>
      <w:r>
        <w:rPr>
          <w:color w:val="231F20"/>
        </w:rPr>
        <w:t>During 2016, the Company continued to aggressively market and benefit from Southwest’s points of differentiation from its competitors. For example, the Company’s Trans</w:t>
      </w:r>
      <w:r>
        <w:rPr>
          <w:b/>
          <w:color w:val="231F20"/>
        </w:rPr>
        <w:t>fare</w:t>
      </w:r>
      <w:r>
        <w:rPr>
          <w:color w:val="231F20"/>
        </w:rPr>
        <w:t>ncy</w:t>
      </w:r>
      <w:r>
        <w:rPr>
          <w:color w:val="231F20"/>
          <w:position w:val="5"/>
          <w:sz w:val="14"/>
        </w:rPr>
        <w:t>SM  </w:t>
      </w:r>
      <w:r>
        <w:rPr>
          <w:color w:val="231F20"/>
        </w:rPr>
        <w:t>campaign emphasizes Southwest’s approach to treating Customers fairly, honestly, and respectfully, with its low fares and no unexpected bag fees, change fees, or hidden fees.</w:t>
      </w:r>
    </w:p>
    <w:p>
      <w:pPr>
        <w:pStyle w:val="BodyText"/>
        <w:spacing w:before="3"/>
        <w:rPr>
          <w:sz w:val="19"/>
        </w:rPr>
      </w:pPr>
    </w:p>
    <w:p>
      <w:pPr>
        <w:pStyle w:val="BodyText"/>
        <w:spacing w:line="247" w:lineRule="auto"/>
        <w:ind w:left="119" w:right="117"/>
        <w:jc w:val="both"/>
      </w:pPr>
      <w:r>
        <w:rPr>
          <w:color w:val="231F20"/>
        </w:rPr>
        <w:t>Southwest continues to be the only major U.S. airline that offers to all ticketed Customers up to two checked bags that fly free (weight and size limits apply). Through both its national and local marketing campaigns, Southwest has continued to aggressively promote this point of differentiation from its competitors with its “Bags Fly Free</w:t>
      </w:r>
      <w:r>
        <w:rPr>
          <w:color w:val="231F20"/>
          <w:position w:val="5"/>
          <w:sz w:val="16"/>
        </w:rPr>
        <w:t>®</w:t>
      </w:r>
      <w:r>
        <w:rPr>
          <w:color w:val="231F20"/>
        </w:rPr>
        <w:t>” message. The Company believes its decision not to charge for first and second checked bags, as reinforced by the Company’s related marketing, has driven an increase in the Company’s market share and a resulting net increase in revenues.</w:t>
      </w:r>
    </w:p>
    <w:p>
      <w:pPr>
        <w:pStyle w:val="BodyText"/>
        <w:spacing w:before="2"/>
        <w:rPr>
          <w:sz w:val="19"/>
        </w:rPr>
      </w:pPr>
    </w:p>
    <w:p>
      <w:pPr>
        <w:pStyle w:val="BodyText"/>
        <w:spacing w:line="247" w:lineRule="auto" w:before="1"/>
        <w:ind w:left="119" w:right="117"/>
        <w:jc w:val="both"/>
      </w:pPr>
      <w:r>
        <w:rPr>
          <w:color w:val="231F20"/>
        </w:rPr>
        <w:t>Southwest is also the only major U.S. airline that does not charge a fee on any of its fares for a Customer change in flight reservations. The Company has continued to incorporate this key point of differentiation in its marketing campaigns. The campaigns highlight the importance to Southwest of Customer Service by showing that Southwest understands plans can change and therefore does not charge a change fee. While a Customer may pay a difference in airfare, the Customer will not be charged a change fee on top of any difference in airfare.</w:t>
      </w:r>
    </w:p>
    <w:p>
      <w:pPr>
        <w:pStyle w:val="BodyText"/>
        <w:spacing w:before="3"/>
        <w:rPr>
          <w:sz w:val="19"/>
        </w:rPr>
      </w:pPr>
    </w:p>
    <w:p>
      <w:pPr>
        <w:pStyle w:val="BodyText"/>
        <w:spacing w:line="247" w:lineRule="auto"/>
        <w:ind w:left="119" w:right="118"/>
        <w:jc w:val="both"/>
      </w:pPr>
      <w:r>
        <w:rPr>
          <w:color w:val="231F20"/>
        </w:rPr>
        <w:t>Also unlike most of its competitors, Southwest does not impose additional fees for items such as seat selection, snacks, curb-side check-in, and telephone reservations. In addition, Southwest allows each ticketed Customer to check one stroller and one car seat free of charge, in addition to the two free checked bags.</w:t>
      </w:r>
    </w:p>
    <w:p>
      <w:pPr>
        <w:pStyle w:val="BodyText"/>
        <w:spacing w:before="2"/>
        <w:rPr>
          <w:sz w:val="19"/>
        </w:rPr>
      </w:pPr>
    </w:p>
    <w:p>
      <w:pPr>
        <w:pStyle w:val="BodyText"/>
        <w:spacing w:line="247" w:lineRule="auto" w:before="1"/>
        <w:ind w:left="119" w:right="118"/>
        <w:jc w:val="both"/>
      </w:pPr>
      <w:r>
        <w:rPr>
          <w:color w:val="231F20"/>
        </w:rPr>
        <w:t>The Company also continues to promote all of the many other reasons to fly Southwest such as its low fares, network size, Customer Service, free live television offerings, and its Rapid Rewards frequent flyer program.</w:t>
      </w:r>
    </w:p>
    <w:p>
      <w:pPr>
        <w:pStyle w:val="BodyText"/>
        <w:spacing w:before="3"/>
        <w:rPr>
          <w:sz w:val="19"/>
        </w:rPr>
      </w:pPr>
    </w:p>
    <w:p>
      <w:pPr>
        <w:pStyle w:val="BodyText"/>
        <w:spacing w:line="247" w:lineRule="auto"/>
        <w:ind w:left="119" w:right="117"/>
        <w:jc w:val="both"/>
      </w:pPr>
      <w:r>
        <w:rPr>
          <w:color w:val="231F20"/>
        </w:rPr>
        <w:t>In 2014, the Company launched a new visual expression of its brand - Heart - to symbolize the Company’s care, trust, and belief in providing exceptional Hospitality, and its Employees’ dedication  to connecting Customers with what is important in their lives. The Company introduced a new Heart aircraft livery, airport experience, and logo. Aircraft already in the Company’s fleet were scheduled to receive the newly painted livery within the aircraft’s existing repainting schedule, while new aircraft have</w:t>
      </w:r>
      <w:r>
        <w:rPr>
          <w:color w:val="231F20"/>
          <w:spacing w:val="23"/>
        </w:rPr>
        <w:t> </w:t>
      </w:r>
      <w:r>
        <w:rPr>
          <w:color w:val="231F20"/>
        </w:rPr>
        <w:t>been</w:t>
      </w:r>
      <w:r>
        <w:rPr>
          <w:color w:val="231F20"/>
          <w:spacing w:val="23"/>
        </w:rPr>
        <w:t> </w:t>
      </w:r>
      <w:r>
        <w:rPr>
          <w:color w:val="231F20"/>
        </w:rPr>
        <w:t>delivered</w:t>
      </w:r>
      <w:r>
        <w:rPr>
          <w:color w:val="231F20"/>
          <w:spacing w:val="23"/>
        </w:rPr>
        <w:t> </w:t>
      </w:r>
      <w:r>
        <w:rPr>
          <w:color w:val="231F20"/>
        </w:rPr>
        <w:t>in</w:t>
      </w:r>
      <w:r>
        <w:rPr>
          <w:color w:val="231F20"/>
          <w:spacing w:val="22"/>
        </w:rPr>
        <w:t> </w:t>
      </w:r>
      <w:r>
        <w:rPr>
          <w:color w:val="231F20"/>
        </w:rPr>
        <w:t>the</w:t>
      </w:r>
      <w:r>
        <w:rPr>
          <w:color w:val="231F20"/>
          <w:spacing w:val="23"/>
        </w:rPr>
        <w:t> </w:t>
      </w:r>
      <w:r>
        <w:rPr>
          <w:color w:val="231F20"/>
        </w:rPr>
        <w:t>Heart</w:t>
      </w:r>
      <w:r>
        <w:rPr>
          <w:color w:val="231F20"/>
          <w:spacing w:val="23"/>
        </w:rPr>
        <w:t> </w:t>
      </w:r>
      <w:r>
        <w:rPr>
          <w:color w:val="231F20"/>
        </w:rPr>
        <w:t>livery.</w:t>
      </w:r>
      <w:r>
        <w:rPr>
          <w:color w:val="231F20"/>
          <w:spacing w:val="22"/>
        </w:rPr>
        <w:t> </w:t>
      </w:r>
      <w:r>
        <w:rPr>
          <w:color w:val="231F20"/>
        </w:rPr>
        <w:t>In</w:t>
      </w:r>
      <w:r>
        <w:rPr>
          <w:color w:val="231F20"/>
          <w:spacing w:val="22"/>
        </w:rPr>
        <w:t> </w:t>
      </w:r>
      <w:r>
        <w:rPr>
          <w:color w:val="231F20"/>
        </w:rPr>
        <w:t>2016,</w:t>
      </w:r>
      <w:r>
        <w:rPr>
          <w:color w:val="231F20"/>
          <w:spacing w:val="23"/>
        </w:rPr>
        <w:t> </w:t>
      </w:r>
      <w:r>
        <w:rPr>
          <w:color w:val="231F20"/>
        </w:rPr>
        <w:t>the</w:t>
      </w:r>
      <w:r>
        <w:rPr>
          <w:color w:val="231F20"/>
          <w:spacing w:val="23"/>
        </w:rPr>
        <w:t> </w:t>
      </w:r>
      <w:r>
        <w:rPr>
          <w:color w:val="231F20"/>
        </w:rPr>
        <w:t>Company</w:t>
      </w:r>
      <w:r>
        <w:rPr>
          <w:color w:val="231F20"/>
          <w:spacing w:val="23"/>
        </w:rPr>
        <w:t> </w:t>
      </w:r>
      <w:r>
        <w:rPr>
          <w:color w:val="231F20"/>
        </w:rPr>
        <w:t>unveiled</w:t>
      </w:r>
      <w:r>
        <w:rPr>
          <w:color w:val="231F20"/>
          <w:spacing w:val="22"/>
        </w:rPr>
        <w:t> </w:t>
      </w:r>
      <w:r>
        <w:rPr>
          <w:color w:val="231F20"/>
        </w:rPr>
        <w:t>the</w:t>
      </w:r>
      <w:r>
        <w:rPr>
          <w:color w:val="231F20"/>
          <w:spacing w:val="22"/>
        </w:rPr>
        <w:t> </w:t>
      </w:r>
      <w:r>
        <w:rPr>
          <w:color w:val="231F20"/>
        </w:rPr>
        <w:t>next</w:t>
      </w:r>
      <w:r>
        <w:rPr>
          <w:color w:val="231F20"/>
          <w:spacing w:val="22"/>
        </w:rPr>
        <w:t> </w:t>
      </w:r>
      <w:r>
        <w:rPr>
          <w:color w:val="231F20"/>
        </w:rPr>
        <w:t>phase</w:t>
      </w:r>
      <w:r>
        <w:rPr>
          <w:color w:val="231F20"/>
          <w:spacing w:val="23"/>
        </w:rPr>
        <w:t> </w:t>
      </w:r>
      <w:r>
        <w:rPr>
          <w:color w:val="231F20"/>
        </w:rPr>
        <w:t>of</w:t>
      </w:r>
      <w:r>
        <w:rPr>
          <w:color w:val="231F20"/>
          <w:spacing w:val="21"/>
        </w:rPr>
        <w:t> </w:t>
      </w:r>
      <w:r>
        <w:rPr>
          <w:color w:val="231F20"/>
        </w:rPr>
        <w:t>the</w:t>
      </w:r>
      <w:r>
        <w:rPr>
          <w:color w:val="231F20"/>
          <w:spacing w:val="22"/>
        </w:rPr>
        <w:t> </w:t>
      </w:r>
      <w:r>
        <w:rPr>
          <w:color w:val="231F20"/>
        </w:rPr>
        <w:t>Heart</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brand with the introduction of its first aircraft with a new Heart cabin interior. The new 737-800 interiors, which will also be included in the Company’s 737-8 aircraft, give Southwest Customers a look and feel of the future, with bold blue seats and additional seat width and legroom, an adjustable headrest, enhanced back comfort, and extra room for personal belongings. In addition, in mid-2017, front-line Employees will begin wearing Employee-designed uniforms that highlight the Company’s red and blue Heart brand.</w:t>
      </w:r>
    </w:p>
    <w:p>
      <w:pPr>
        <w:pStyle w:val="BodyText"/>
        <w:spacing w:before="9"/>
        <w:rPr>
          <w:sz w:val="20"/>
        </w:rPr>
      </w:pPr>
    </w:p>
    <w:p>
      <w:pPr>
        <w:pStyle w:val="Heading1"/>
        <w:ind w:left="460"/>
        <w:jc w:val="left"/>
      </w:pPr>
      <w:r>
        <w:rPr>
          <w:color w:val="231F20"/>
        </w:rPr>
        <w:t>Technology Initiatives</w:t>
      </w:r>
    </w:p>
    <w:p>
      <w:pPr>
        <w:pStyle w:val="BodyText"/>
        <w:spacing w:before="5"/>
        <w:rPr>
          <w:b/>
          <w:sz w:val="21"/>
        </w:rPr>
      </w:pPr>
    </w:p>
    <w:p>
      <w:pPr>
        <w:pStyle w:val="BodyText"/>
        <w:spacing w:line="247" w:lineRule="auto"/>
        <w:ind w:left="100" w:right="117"/>
        <w:jc w:val="both"/>
      </w:pPr>
      <w:r>
        <w:rPr>
          <w:color w:val="231F20"/>
        </w:rPr>
        <w:t>The Company has committed significant resources to technology improvements to support its ongoing operations and initiatives. Of particular significance is the Company’s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The implementation consists of two foundational releases. Release 1 was completed in December 2016, and added functionality to enable the sale of domestic tickets on the new reservation system. Release 2 is expected to be completed on May 9, 2017, and will add functionality to enable operational capabilities such as passenger check-in and boarding and baggage check-in on the new reservation system. Subsequent releases will add functionality to enable revenue enhancements, further schedule optimization, support for international growth, and additional foundational and operational</w:t>
      </w:r>
      <w:r>
        <w:rPr>
          <w:color w:val="231F20"/>
          <w:spacing w:val="-1"/>
        </w:rPr>
        <w:t> </w:t>
      </w:r>
      <w:r>
        <w:rPr>
          <w:color w:val="231F20"/>
        </w:rPr>
        <w:t>capabilities.</w:t>
      </w:r>
    </w:p>
    <w:p>
      <w:pPr>
        <w:pStyle w:val="BodyText"/>
        <w:spacing w:before="9"/>
        <w:rPr>
          <w:sz w:val="20"/>
        </w:rPr>
      </w:pPr>
    </w:p>
    <w:p>
      <w:pPr>
        <w:pStyle w:val="BodyText"/>
        <w:spacing w:line="247" w:lineRule="auto"/>
        <w:ind w:left="100" w:right="117"/>
        <w:jc w:val="both"/>
      </w:pPr>
      <w:r>
        <w:rPr>
          <w:color w:val="231F20"/>
        </w:rPr>
        <w:t>The Company has also added a new schedule optimization tool to assist with creating flight schedules that better reflect Customer demand. With this new schedule optimization tool, the Company is able to better optimize and evaluate a higher volume of potential schedules.</w:t>
      </w:r>
    </w:p>
    <w:p>
      <w:pPr>
        <w:pStyle w:val="BodyText"/>
        <w:spacing w:before="9"/>
        <w:rPr>
          <w:sz w:val="20"/>
        </w:rPr>
      </w:pPr>
    </w:p>
    <w:p>
      <w:pPr>
        <w:pStyle w:val="BodyText"/>
        <w:spacing w:line="247" w:lineRule="auto"/>
        <w:ind w:left="100" w:right="117"/>
        <w:jc w:val="both"/>
      </w:pPr>
      <w:r>
        <w:rPr>
          <w:color w:val="231F20"/>
        </w:rPr>
        <w:t>The Company intends to continue to devote significant technology resources towards, among other things, (i) the continued development of systems to improve both revenue management and network optimization capabilities, (ii) the aforementioned replacement of Southwest’s existing domestic reservation system with the comprehensive Amadeus Altéa reservations solution, and (iii) tools to improve operational management.</w:t>
      </w:r>
    </w:p>
    <w:p>
      <w:pPr>
        <w:pStyle w:val="BodyText"/>
        <w:spacing w:before="9"/>
        <w:rPr>
          <w:sz w:val="20"/>
        </w:rPr>
      </w:pPr>
    </w:p>
    <w:p>
      <w:pPr>
        <w:pStyle w:val="Heading1"/>
        <w:ind w:left="460"/>
        <w:jc w:val="left"/>
      </w:pPr>
      <w:r>
        <w:rPr>
          <w:color w:val="231F20"/>
        </w:rPr>
        <w:t>Regulation</w:t>
      </w:r>
    </w:p>
    <w:p>
      <w:pPr>
        <w:pStyle w:val="BodyText"/>
        <w:spacing w:before="5"/>
        <w:rPr>
          <w:b/>
          <w:sz w:val="21"/>
        </w:rPr>
      </w:pPr>
    </w:p>
    <w:p>
      <w:pPr>
        <w:pStyle w:val="BodyText"/>
        <w:spacing w:line="247" w:lineRule="auto"/>
        <w:ind w:left="100" w:right="117"/>
        <w:jc w:val="both"/>
      </w:pPr>
      <w:r>
        <w:rPr>
          <w:color w:val="231F20"/>
        </w:rPr>
        <w:t>The airline industry is heavily regulated, especially by the federal government, and there are a significant number of governmental agencies and legislative bodies that have the ability to directly or indirectly affect the Company and/or the airline industry financially and/or operationally. Examples of regulations affecting the Company and/or the airline industry, imposed by several of these governmental agencies and legislative bodies, are discussed below.</w:t>
      </w:r>
    </w:p>
    <w:p>
      <w:pPr>
        <w:pStyle w:val="BodyText"/>
        <w:spacing w:before="9"/>
        <w:rPr>
          <w:sz w:val="20"/>
        </w:rPr>
      </w:pPr>
    </w:p>
    <w:p>
      <w:pPr>
        <w:pStyle w:val="Heading1"/>
        <w:ind w:left="460"/>
        <w:jc w:val="left"/>
      </w:pPr>
      <w:r>
        <w:rPr>
          <w:color w:val="231F20"/>
        </w:rPr>
        <w:t>Economic and Operational Regulation</w:t>
      </w:r>
    </w:p>
    <w:p>
      <w:pPr>
        <w:pStyle w:val="BodyText"/>
        <w:spacing w:before="5"/>
        <w:rPr>
          <w:b/>
          <w:sz w:val="21"/>
        </w:rPr>
      </w:pPr>
    </w:p>
    <w:p>
      <w:pPr>
        <w:pStyle w:val="Heading2"/>
        <w:ind w:left="820"/>
        <w:rPr>
          <w:i/>
        </w:rPr>
      </w:pPr>
      <w:r>
        <w:rPr>
          <w:i/>
          <w:color w:val="231F20"/>
        </w:rPr>
        <w:t>Consumer Protection Regulation by the U.S. Department of Transportation</w:t>
      </w:r>
    </w:p>
    <w:p>
      <w:pPr>
        <w:pStyle w:val="BodyText"/>
        <w:spacing w:before="5"/>
        <w:rPr>
          <w:b/>
          <w:i/>
          <w:sz w:val="21"/>
        </w:rPr>
      </w:pPr>
    </w:p>
    <w:p>
      <w:pPr>
        <w:pStyle w:val="BodyText"/>
        <w:spacing w:line="247" w:lineRule="auto"/>
        <w:ind w:left="100" w:right="117"/>
        <w:jc w:val="both"/>
      </w:pPr>
      <w:r>
        <w:rPr>
          <w:color w:val="231F20"/>
        </w:rPr>
        <w:t>The DOT regulates economic operating authority for air carriers and consumer protection for airline passengers. The FAA, a sub-agency of the DOT, regulates aviation safety. The DOT may impose civil penalties on air carriers for violating its regulations.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To provide passenger transportation in the United States, a domestic airline is required to hold both a Certificate of Public Convenience &amp; Necessity from the DOT and an Air Carrier Operating Certificate from the FAA. A Certificate of Public Convenience &amp; Necessity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Exemptions granted by the DOT to serve international markets are generally limited in duration and are subject to periodic renewal requirements. The DOT also has jurisdiction over international tariffs and pricing in certain markets. The DOT may revoke a certificate or exemption, in whole or in part, for intentional failure to comply with federal aviation statutes, regulations, orders, or the terms of the certificate itself.</w:t>
      </w:r>
    </w:p>
    <w:p>
      <w:pPr>
        <w:pStyle w:val="BodyText"/>
        <w:spacing w:line="247" w:lineRule="auto" w:before="194"/>
        <w:ind w:left="100" w:right="117"/>
        <w:jc w:val="both"/>
      </w:pPr>
      <w:r>
        <w:rPr>
          <w:color w:val="231F20"/>
        </w:rPr>
        <w:t>The DOT’s consumer protection and enforcement activities relate to areas such as unfair and deceptive practices and unfair competition by air carriers, deceptive airline advertising (concerning, </w:t>
      </w:r>
      <w:r>
        <w:rPr>
          <w:i/>
          <w:color w:val="231F20"/>
        </w:rPr>
        <w:t>e.g.</w:t>
      </w:r>
      <w:r>
        <w:rPr>
          <w:color w:val="231F20"/>
        </w:rPr>
        <w:t>, fares, ontime performance, schedules, and code-sharing), and violations of rules concerning denied boarding compensation, ticket refunds, and baggage liability requirements. The DOT is also charged with prohibiting discrimination by airlines against consumers on the basis of race, religion, national origin, or sex.</w:t>
      </w:r>
    </w:p>
    <w:p>
      <w:pPr>
        <w:pStyle w:val="BodyText"/>
        <w:spacing w:line="247" w:lineRule="auto" w:before="194"/>
        <w:ind w:left="100" w:right="116"/>
        <w:jc w:val="both"/>
      </w:pPr>
      <w:r>
        <w:rPr>
          <w:color w:val="231F20"/>
        </w:rPr>
        <w:t>Under the above-described authority, the DOT has adopted so-called “Passenger Protection Rules,” which address a wide variety of matters, including flight delays on the tarmac, chronically delayed flights, denied boarding compensation, and advertising of airfares, among others. Under the Passenger Protection Rules, U.S. passenger airlines are required to adopt contingency plans that include the following: (i) assurances that no domestic flight will remain on the airport tarmac for more than three hours before beginning to return to the gate and that no international flight will remain on the tarmac at a U.S. airport for more than four hours before beginning to return to the gate, unless the pilot-in- command determines there is a safety-related or security-related impediment to deplaning passengers, or air traffic control advises the pilot-in-command that returning to the gate or permitting passengers to disembark elsewhere would significantly disrupt airport operations; (ii) an assurance that air carriers will provide adequate food and potable drinking water no later than two hours after the aircraft leaves the gate (in the case of departure) or touches down (in the case of arrival) if the aircraft remains on the tarmac, unless the pilot-in-command determines that safety or security considerations preclude such service; and (iii) an assurance of operable lavatories, as well as adequate medical attention, if needed. Air carriers are required to publish their contingency plans on their websites.</w:t>
      </w:r>
    </w:p>
    <w:p>
      <w:pPr>
        <w:pStyle w:val="BodyText"/>
        <w:spacing w:line="247" w:lineRule="auto" w:before="194"/>
        <w:ind w:left="100" w:right="117"/>
        <w:jc w:val="both"/>
      </w:pPr>
      <w:r>
        <w:rPr>
          <w:color w:val="231F20"/>
        </w:rPr>
        <w:t>The Passenger Protection Rules also subject airlines to potential DOT enforcement action for unfair  and deceptive practices in the event of chronically delayed domestic flights (</w:t>
      </w:r>
      <w:r>
        <w:rPr>
          <w:i/>
          <w:color w:val="231F20"/>
        </w:rPr>
        <w:t>i.e., </w:t>
      </w:r>
      <w:r>
        <w:rPr>
          <w:color w:val="231F20"/>
        </w:rPr>
        <w:t>domestic flights that operate at least ten times a month and arrive more than 30 minutes late more than 50 percent of the  time during that month). In addition, airlines are required to (i) display ontime performance on their websites; (ii) adopt customer service plans, publish those plans on their website, and audit their own compliance</w:t>
      </w:r>
      <w:r>
        <w:rPr>
          <w:color w:val="231F20"/>
          <w:spacing w:val="24"/>
        </w:rPr>
        <w:t> </w:t>
      </w:r>
      <w:r>
        <w:rPr>
          <w:color w:val="231F20"/>
        </w:rPr>
        <w:t>with</w:t>
      </w:r>
      <w:r>
        <w:rPr>
          <w:color w:val="231F20"/>
          <w:spacing w:val="23"/>
        </w:rPr>
        <w:t> </w:t>
      </w:r>
      <w:r>
        <w:rPr>
          <w:color w:val="231F20"/>
        </w:rPr>
        <w:t>their</w:t>
      </w:r>
      <w:r>
        <w:rPr>
          <w:color w:val="231F20"/>
          <w:spacing w:val="23"/>
        </w:rPr>
        <w:t> </w:t>
      </w:r>
      <w:r>
        <w:rPr>
          <w:color w:val="231F20"/>
        </w:rPr>
        <w:t>plans;</w:t>
      </w:r>
      <w:r>
        <w:rPr>
          <w:color w:val="231F20"/>
          <w:spacing w:val="24"/>
        </w:rPr>
        <w:t> </w:t>
      </w:r>
      <w:r>
        <w:rPr>
          <w:color w:val="231F20"/>
        </w:rPr>
        <w:t>(iii)</w:t>
      </w:r>
      <w:r>
        <w:rPr>
          <w:color w:val="231F20"/>
          <w:spacing w:val="23"/>
        </w:rPr>
        <w:t> </w:t>
      </w:r>
      <w:r>
        <w:rPr>
          <w:color w:val="231F20"/>
        </w:rPr>
        <w:t>designate</w:t>
      </w:r>
      <w:r>
        <w:rPr>
          <w:color w:val="231F20"/>
          <w:spacing w:val="25"/>
        </w:rPr>
        <w:t> </w:t>
      </w:r>
      <w:r>
        <w:rPr>
          <w:color w:val="231F20"/>
        </w:rPr>
        <w:t>an</w:t>
      </w:r>
      <w:r>
        <w:rPr>
          <w:color w:val="231F20"/>
          <w:spacing w:val="24"/>
        </w:rPr>
        <w:t> </w:t>
      </w:r>
      <w:r>
        <w:rPr>
          <w:color w:val="231F20"/>
        </w:rPr>
        <w:t>employee</w:t>
      </w:r>
      <w:r>
        <w:rPr>
          <w:color w:val="231F20"/>
          <w:spacing w:val="24"/>
        </w:rPr>
        <w:t> </w:t>
      </w:r>
      <w:r>
        <w:rPr>
          <w:color w:val="231F20"/>
        </w:rPr>
        <w:t>to</w:t>
      </w:r>
      <w:r>
        <w:rPr>
          <w:color w:val="231F20"/>
          <w:spacing w:val="23"/>
        </w:rPr>
        <w:t> </w:t>
      </w:r>
      <w:r>
        <w:rPr>
          <w:color w:val="231F20"/>
        </w:rPr>
        <w:t>monitor</w:t>
      </w:r>
      <w:r>
        <w:rPr>
          <w:color w:val="231F20"/>
          <w:spacing w:val="23"/>
        </w:rPr>
        <w:t> </w:t>
      </w:r>
      <w:r>
        <w:rPr>
          <w:color w:val="231F20"/>
        </w:rPr>
        <w:t>the</w:t>
      </w:r>
      <w:r>
        <w:rPr>
          <w:color w:val="231F20"/>
          <w:spacing w:val="24"/>
        </w:rPr>
        <w:t> </w:t>
      </w:r>
      <w:r>
        <w:rPr>
          <w:color w:val="231F20"/>
        </w:rPr>
        <w:t>performance</w:t>
      </w:r>
      <w:r>
        <w:rPr>
          <w:color w:val="231F20"/>
          <w:spacing w:val="23"/>
        </w:rPr>
        <w:t> </w:t>
      </w:r>
      <w:r>
        <w:rPr>
          <w:color w:val="231F20"/>
        </w:rPr>
        <w:t>of</w:t>
      </w:r>
      <w:r>
        <w:rPr>
          <w:color w:val="231F20"/>
          <w:spacing w:val="22"/>
        </w:rPr>
        <w:t> </w:t>
      </w:r>
      <w:r>
        <w:rPr>
          <w:color w:val="231F20"/>
        </w:rPr>
        <w:t>their</w:t>
      </w:r>
      <w:r>
        <w:rPr>
          <w:color w:val="231F20"/>
          <w:spacing w:val="22"/>
        </w:rPr>
        <w:t> </w:t>
      </w:r>
      <w:r>
        <w:rPr>
          <w:color w:val="231F20"/>
        </w:rPr>
        <w:t>flights;</w:t>
      </w:r>
    </w:p>
    <w:p>
      <w:pPr>
        <w:pStyle w:val="ListParagraph"/>
        <w:numPr>
          <w:ilvl w:val="0"/>
          <w:numId w:val="2"/>
        </w:numPr>
        <w:tabs>
          <w:tab w:pos="509" w:val="left" w:leader="none"/>
        </w:tabs>
        <w:spacing w:line="247" w:lineRule="auto" w:before="0" w:after="0"/>
        <w:ind w:left="100" w:right="118" w:firstLine="0"/>
        <w:jc w:val="both"/>
        <w:rPr>
          <w:sz w:val="22"/>
        </w:rPr>
      </w:pPr>
      <w:r>
        <w:rPr>
          <w:color w:val="231F20"/>
          <w:sz w:val="22"/>
        </w:rPr>
        <w:t>provide information to passengers on how to file complaints; and (v) respond in a timely and substantive fashion to consumer complaints.</w:t>
      </w:r>
    </w:p>
    <w:p>
      <w:pPr>
        <w:pStyle w:val="BodyText"/>
        <w:spacing w:line="247" w:lineRule="auto" w:before="195"/>
        <w:ind w:left="100" w:right="117"/>
        <w:jc w:val="both"/>
      </w:pPr>
      <w:r>
        <w:rPr>
          <w:color w:val="231F20"/>
        </w:rPr>
        <w:t>The Passenger Protection Rules also require airlines to (i) pay up to $1,350 in compensation to each passenger denied boarding involuntarily from an oversold flight; (ii) refund any checked bag fee for permanently lost luggage; (iii) prominently disclose all potential fees for optional ancillary services on their websites; and (iv) refund passenger fees paid for ancillary services if a flight cancels or oversells and a passenger is unable to take advantage of such services.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Passenger Protection Rules also require that (i) advertised airfares include all government- mandated taxes and fees; (ii) passengers be allowed to hold a reservation for up to 24 hours without making a payment; (iii) passengers be allowed to cancel a paid reservation without penalty for 24 hours after the reservation is made, as long as the reservation is made at least seven days in advance of travel;</w:t>
      </w:r>
    </w:p>
    <w:p>
      <w:pPr>
        <w:pStyle w:val="BodyText"/>
        <w:spacing w:line="247" w:lineRule="auto"/>
        <w:ind w:left="100" w:right="117"/>
        <w:jc w:val="both"/>
      </w:pPr>
      <w:r>
        <w:rPr>
          <w:color w:val="231F20"/>
        </w:rPr>
        <w:t>(iv) fares may not increase after purchase; (v) baggage fees must be disclosed to the passenger at the time of booking; (vi) the same baggage allowances and fees must apply throughout a passenger’s   trip;</w:t>
      </w:r>
    </w:p>
    <w:p>
      <w:pPr>
        <w:pStyle w:val="BodyText"/>
        <w:spacing w:line="247" w:lineRule="auto"/>
        <w:ind w:left="100" w:right="117"/>
        <w:jc w:val="both"/>
      </w:pPr>
      <w:r>
        <w:rPr>
          <w:color w:val="231F20"/>
        </w:rPr>
        <w:t>(vii) baggage fees must be disclosed on e-ticket confirmations; and (viii) passengers must be promptly notified in the event of delays of more than 30 minutes or if there is a cancellation or diversion of their flight.</w:t>
      </w:r>
    </w:p>
    <w:p>
      <w:pPr>
        <w:pStyle w:val="BodyText"/>
        <w:spacing w:before="9"/>
        <w:rPr>
          <w:sz w:val="20"/>
        </w:rPr>
      </w:pPr>
    </w:p>
    <w:p>
      <w:pPr>
        <w:pStyle w:val="BodyText"/>
        <w:spacing w:line="247" w:lineRule="auto"/>
        <w:ind w:left="100" w:right="117"/>
        <w:jc w:val="both"/>
      </w:pPr>
      <w:r>
        <w:rPr>
          <w:color w:val="231F20"/>
        </w:rPr>
        <w:t>In November 2016, the DOT finalized an additional “Passenger Protection Rule.” The new rule is intended to make the DOT’s rankings of airline performance (such as mishandled bags and ontime performance) more accurate. To do so, the DOT removed the assumption that every passenger checks a bag, and will now calculate mishandled bags per overall checked bags, rather than per enplaned passengers. The new rule also expands the pool of air carriers that must report performance data to the DOT’s Bureau of Transportation Statistics by requiring reporting air carriers to include data for their domestic scheduled flights operated by their code-share partners.</w:t>
      </w:r>
    </w:p>
    <w:p>
      <w:pPr>
        <w:pStyle w:val="BodyText"/>
        <w:spacing w:before="9"/>
        <w:rPr>
          <w:sz w:val="20"/>
        </w:rPr>
      </w:pPr>
    </w:p>
    <w:p>
      <w:pPr>
        <w:pStyle w:val="BodyText"/>
        <w:spacing w:line="247" w:lineRule="auto"/>
        <w:ind w:left="100" w:right="119"/>
        <w:jc w:val="both"/>
      </w:pPr>
      <w:r>
        <w:rPr>
          <w:color w:val="231F20"/>
        </w:rPr>
        <w:t>The DOT has expressed its intent to aggressively investigate alleged violations of its consumer protection rules. Airlines that violate any DOT regulation are subject to potential fines of up to $32,140 per occurrence.</w:t>
      </w:r>
    </w:p>
    <w:p>
      <w:pPr>
        <w:pStyle w:val="BodyText"/>
        <w:spacing w:before="9"/>
        <w:rPr>
          <w:sz w:val="20"/>
        </w:rPr>
      </w:pPr>
    </w:p>
    <w:p>
      <w:pPr>
        <w:pStyle w:val="BodyText"/>
        <w:spacing w:line="247" w:lineRule="auto"/>
        <w:ind w:left="100" w:right="116"/>
        <w:jc w:val="both"/>
      </w:pPr>
      <w:r>
        <w:rPr>
          <w:color w:val="231F20"/>
        </w:rPr>
        <w:t>The Company is also monitoring other potential rulemakings that could impact its business such as a DOT proposed rule to require air carriers to publicly disclose the revenues received from the sale of ancillary services to passengers. In addition, in December 2016, the DOT issued a proposed rule to require sellers of air transportation to provide adequate advance notice to passengers if the carrier operating the flight allows passengers to make voice calls using mobile wireless devices onboard aircraft. The DOT is also considering whether such advance notice is sufficient, or whether to prohibit airlines from allowing voice calls via passenger mobile wireless devices on domestic and/or international flights. Further, in December 2016, the DOT announced the outlines of a proposed rule that the DOT intends to publish in July 2017 for the purpose of improving accessibility of lavatories on single-aisle aircraft and of in-flight entertainment. The DOT’s announcement contemplates that the proposed rule will require both short-term and long-term measures be taken to fully address the challenges persons with mobility impairments face when traveling on single-aisle aircraft, including  the eventual requirement that accessible lavatories be available for individuals who use wheelchairs. The future proposed rule is also expected to address the improvement of accessibility of in-flight entertainment by requiring certain movies and shows displayed on such aircraft to be captioned to provide access to deaf and hard of hearing passengers. In addition, audio described entertainment  would be available to enable people who are blind to listen to the visual narration of movies and  shows.</w:t>
      </w:r>
    </w:p>
    <w:p>
      <w:pPr>
        <w:pStyle w:val="BodyText"/>
        <w:spacing w:before="4"/>
        <w:rPr>
          <w:sz w:val="12"/>
        </w:rPr>
      </w:pPr>
    </w:p>
    <w:p>
      <w:pPr>
        <w:pStyle w:val="Heading2"/>
        <w:spacing w:before="97"/>
        <w:ind w:left="819"/>
        <w:rPr>
          <w:i/>
        </w:rPr>
      </w:pPr>
      <w:r>
        <w:rPr>
          <w:i/>
          <w:color w:val="231F20"/>
        </w:rPr>
        <w:t>Aviation Taxes and Fees</w:t>
      </w:r>
    </w:p>
    <w:p>
      <w:pPr>
        <w:pStyle w:val="BodyText"/>
        <w:spacing w:before="4"/>
        <w:rPr>
          <w:b/>
          <w:i/>
          <w:sz w:val="21"/>
        </w:rPr>
      </w:pPr>
    </w:p>
    <w:p>
      <w:pPr>
        <w:pStyle w:val="BodyText"/>
        <w:spacing w:line="247" w:lineRule="auto" w:before="1"/>
        <w:ind w:left="100" w:right="118"/>
        <w:jc w:val="both"/>
      </w:pPr>
      <w:r>
        <w:rPr>
          <w:color w:val="231F20"/>
        </w:rPr>
        <w:t>The statutory authority for the federal government to collect most types of aviation taxes, which are used, in part, to finance programs administered by the FAA, must be periodically reauthorized by the</w:t>
      </w:r>
    </w:p>
    <w:p>
      <w:pPr>
        <w:pStyle w:val="BodyText"/>
        <w:spacing w:line="247" w:lineRule="auto"/>
        <w:ind w:left="100" w:right="117"/>
        <w:jc w:val="both"/>
      </w:pPr>
      <w:r>
        <w:rPr>
          <w:color w:val="231F20"/>
        </w:rPr>
        <w:t>U.S. Congress. In 2012, Congress adopted the FAA Modernization and Reform Act of 2012, which extended most commercial aviation taxes through September 30, 2015. In September 2015 and again in July 2016, Congress extended the expiration date, which is currently September 30, 2017. Congress   is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expected to try to enact a new FAA reauthorization bill in 2017, which may make substantive changes with respect to aviation taxes (including, possibly, airport-assessed passenger facility charges) and/or FAA offices and programs that are financed through aviation tax revenue. Congress must either adopt a new FAA reauthorization bill or pass a “status quo” extension by September 30, 2017; otherwise, a lapse in the statutory authority could affect the airlines’ and passengers’ respective tax burdens, as well as impact the FAA’s ability to fund airport grants and regulate the airline industry.</w:t>
      </w:r>
    </w:p>
    <w:p>
      <w:pPr>
        <w:pStyle w:val="BodyText"/>
        <w:spacing w:before="9"/>
        <w:rPr>
          <w:sz w:val="20"/>
        </w:rPr>
      </w:pPr>
    </w:p>
    <w:p>
      <w:pPr>
        <w:pStyle w:val="BodyText"/>
        <w:spacing w:line="247" w:lineRule="auto"/>
        <w:ind w:left="100" w:right="117"/>
        <w:jc w:val="both"/>
      </w:pPr>
      <w:r>
        <w:rPr>
          <w:color w:val="231F20"/>
        </w:rPr>
        <w:t>In addition to FAA-related taxes, there are additional federal taxes related to the U.S. Department of Homeland Security. These taxes do not need to be reauthorized periodically. Congress has set the Transportation Security Fee paid by passengers at $5.60 per one-way passenger trip. In December  2015, Congress enacted another statute that indexes immigration and customs fees to inflation, beginning in 2016. These two fees are paid by inbound international passengers and are used to support the operations of U.S. Customs and Border Protection (“CBP”). Finally, the U.S. Department of Agriculture’s Animal and Plant Health Inspection Service published a final regulation in October 2015 that modifies international agriculture inspection fees. Under this rule,  which  was  effective  December 28, 2015, the per-passenger agriculture inspection fee is $5.00 and the per-commercial aircraft fee is</w:t>
      </w:r>
      <w:r>
        <w:rPr>
          <w:color w:val="231F20"/>
          <w:spacing w:val="-1"/>
        </w:rPr>
        <w:t> </w:t>
      </w:r>
      <w:r>
        <w:rPr>
          <w:color w:val="231F20"/>
        </w:rPr>
        <w:t>$225.00.</w:t>
      </w:r>
    </w:p>
    <w:p>
      <w:pPr>
        <w:pStyle w:val="BodyText"/>
        <w:spacing w:before="9"/>
        <w:rPr>
          <w:sz w:val="20"/>
        </w:rPr>
      </w:pPr>
    </w:p>
    <w:p>
      <w:pPr>
        <w:pStyle w:val="BodyText"/>
        <w:spacing w:line="247" w:lineRule="auto"/>
        <w:ind w:left="100" w:right="117"/>
        <w:jc w:val="both"/>
      </w:pPr>
      <w:r>
        <w:rPr>
          <w:color w:val="231F20"/>
        </w:rPr>
        <w:t>In 2017, in addition to FAA reauthorization legislation, Congress may consider comprehensive tax reform legislation, which could result in a lower corporate tax rate, the elimination of certain tax deductions and preferences, and impacts to the international tax environment. Grants to airports and/or airport bond financing may also be affected through future legislation, which could result in higher fees, rates, and charges at many of the airports the Company</w:t>
      </w:r>
      <w:r>
        <w:rPr>
          <w:color w:val="231F20"/>
          <w:spacing w:val="-1"/>
        </w:rPr>
        <w:t> </w:t>
      </w:r>
      <w:r>
        <w:rPr>
          <w:color w:val="231F20"/>
        </w:rPr>
        <w:t>serves.</w:t>
      </w:r>
    </w:p>
    <w:p>
      <w:pPr>
        <w:pStyle w:val="BodyText"/>
        <w:spacing w:before="9"/>
        <w:rPr>
          <w:sz w:val="20"/>
        </w:rPr>
      </w:pPr>
    </w:p>
    <w:p>
      <w:pPr>
        <w:pStyle w:val="Heading1"/>
        <w:ind w:left="460"/>
        <w:jc w:val="left"/>
      </w:pPr>
      <w:r>
        <w:rPr>
          <w:color w:val="231F20"/>
        </w:rPr>
        <w:t>Operational, Safety, and Health Regulation</w:t>
      </w:r>
    </w:p>
    <w:p>
      <w:pPr>
        <w:pStyle w:val="BodyText"/>
        <w:spacing w:before="5"/>
        <w:rPr>
          <w:b/>
          <w:sz w:val="21"/>
        </w:rPr>
      </w:pPr>
    </w:p>
    <w:p>
      <w:pPr>
        <w:pStyle w:val="BodyText"/>
        <w:spacing w:line="247" w:lineRule="auto"/>
        <w:ind w:left="100" w:right="117"/>
        <w:jc w:val="both"/>
      </w:pPr>
      <w:r>
        <w:rPr>
          <w:color w:val="231F20"/>
        </w:rPr>
        <w:t>The FAA has the authority to regulate safety aspects of civil aviation operations. Specifically, the Company and its third-party service providers are subject to the jurisdiction of the FAA with respect to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FAA regulations.</w:t>
      </w:r>
    </w:p>
    <w:p>
      <w:pPr>
        <w:pStyle w:val="BodyText"/>
        <w:spacing w:before="9"/>
        <w:rPr>
          <w:sz w:val="20"/>
        </w:rPr>
      </w:pPr>
    </w:p>
    <w:p>
      <w:pPr>
        <w:pStyle w:val="BodyText"/>
        <w:spacing w:line="247" w:lineRule="auto"/>
        <w:ind w:left="100" w:right="119"/>
        <w:jc w:val="both"/>
      </w:pPr>
      <w:r>
        <w:rPr>
          <w:color w:val="231F20"/>
        </w:rPr>
        <w:t>To address compliance with its regulations, the FAA requires airlines to obtain the Air Carrier Operating Certificate and other certificates, approvals, and authorities. These certificates, approvals, and authorities are subject to suspension or revocation for cause.</w:t>
      </w:r>
    </w:p>
    <w:p>
      <w:pPr>
        <w:pStyle w:val="BodyText"/>
        <w:spacing w:before="9"/>
        <w:rPr>
          <w:sz w:val="20"/>
        </w:rPr>
      </w:pPr>
    </w:p>
    <w:p>
      <w:pPr>
        <w:pStyle w:val="BodyText"/>
        <w:spacing w:line="247" w:lineRule="auto"/>
        <w:ind w:left="100" w:right="117"/>
        <w:jc w:val="both"/>
      </w:pPr>
      <w:r>
        <w:rPr>
          <w:color w:val="231F20"/>
        </w:rPr>
        <w:t>The FAA has rules in effect with respect to flight, duty, and rest regulations. Among other things, the rules require a ten hour minimum rest period prior to a pilot’s flight duty period; mandate that a pilot must have an opportunity for eight hours of uninterrupted sleep within the rest period; and impose pilot “flight time” and “duty time” limitations based upon report times, the number of scheduled flight segments, and other operational factors. The rules affect the Company’s staffing flexibility, which could impact the Company’s operational performance, costs, and Customer</w:t>
      </w:r>
      <w:r>
        <w:rPr>
          <w:color w:val="231F20"/>
          <w:spacing w:val="1"/>
        </w:rPr>
        <w:t> </w:t>
      </w:r>
      <w:r>
        <w:rPr>
          <w:color w:val="231F20"/>
        </w:rPr>
        <w:t>Experience.</w:t>
      </w:r>
    </w:p>
    <w:p>
      <w:pPr>
        <w:pStyle w:val="BodyText"/>
        <w:spacing w:before="9"/>
        <w:rPr>
          <w:sz w:val="20"/>
        </w:rPr>
      </w:pPr>
    </w:p>
    <w:p>
      <w:pPr>
        <w:pStyle w:val="BodyText"/>
        <w:spacing w:line="247" w:lineRule="auto"/>
        <w:ind w:left="100" w:right="118"/>
        <w:jc w:val="both"/>
      </w:pPr>
      <w:r>
        <w:rPr>
          <w:color w:val="231F20"/>
        </w:rPr>
        <w:t>In addition to its role as safety regulator, the FAA also operates the nation’s air traffic control (“ATC”) system and continues its lengthy and ongoing effort to implement a multi-faceted, next generation  ATC system (“NextGen”). The Air Traffic Organization (“ATO”) is the operational arm of the FAA. The  ATO  is  responsible  for  providing  safe  and  efficient  air  navigation  services  to  all  of      </w:t>
      </w:r>
      <w:r>
        <w:rPr>
          <w:color w:val="231F20"/>
          <w:spacing w:val="13"/>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United States and large portions of the Atlantic and Pacific Oceans and the Gulf of Mexico. The Company is subject to any operational changes imposed by the FAA/ATO as they relate to the “NextGen” program, as well as the day-to-day management of the air traffic control system. The FAA reauthorization discussed above under “Aviation Taxes and Fees,” as well as the annual appropriation legislation that will fund the DOT and the FAA in federal fiscal years 2017 and 2018, could include provisions impacting future FAA safety-related activities and ATO operations in 2017 and beyond.</w:t>
      </w:r>
    </w:p>
    <w:p>
      <w:pPr>
        <w:pStyle w:val="BodyText"/>
        <w:spacing w:before="9"/>
        <w:rPr>
          <w:sz w:val="20"/>
        </w:rPr>
      </w:pPr>
    </w:p>
    <w:p>
      <w:pPr>
        <w:pStyle w:val="BodyText"/>
        <w:spacing w:line="247" w:lineRule="auto"/>
        <w:ind w:left="120" w:right="117"/>
        <w:jc w:val="both"/>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BodyText"/>
        <w:spacing w:before="9"/>
        <w:rPr>
          <w:sz w:val="20"/>
        </w:rPr>
      </w:pPr>
    </w:p>
    <w:p>
      <w:pPr>
        <w:pStyle w:val="Heading1"/>
        <w:ind w:left="480"/>
        <w:jc w:val="left"/>
      </w:pPr>
      <w:r>
        <w:rPr>
          <w:color w:val="231F20"/>
        </w:rPr>
        <w:t>Security Regulation</w:t>
      </w:r>
    </w:p>
    <w:p>
      <w:pPr>
        <w:pStyle w:val="BodyText"/>
        <w:spacing w:before="4"/>
        <w:rPr>
          <w:b/>
          <w:sz w:val="21"/>
        </w:rPr>
      </w:pPr>
    </w:p>
    <w:p>
      <w:pPr>
        <w:pStyle w:val="BodyText"/>
        <w:spacing w:line="247" w:lineRule="auto" w:before="1"/>
        <w:ind w:left="120" w:right="117"/>
        <w:jc w:val="both"/>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w:t>
      </w:r>
      <w:r>
        <w:rPr>
          <w:color w:val="231F20"/>
          <w:spacing w:val="42"/>
        </w:rPr>
        <w:t> </w:t>
      </w:r>
      <w:r>
        <w:rPr>
          <w:color w:val="231F20"/>
        </w:rPr>
        <w:t>onboard</w:t>
      </w:r>
      <w:r>
        <w:rPr>
          <w:color w:val="231F20"/>
          <w:spacing w:val="42"/>
        </w:rPr>
        <w:t> </w:t>
      </w:r>
      <w:r>
        <w:rPr>
          <w:color w:val="231F20"/>
        </w:rPr>
        <w:t>flights;</w:t>
      </w:r>
      <w:r>
        <w:rPr>
          <w:color w:val="231F20"/>
          <w:spacing w:val="41"/>
        </w:rPr>
        <w:t> </w:t>
      </w:r>
      <w:r>
        <w:rPr>
          <w:color w:val="231F20"/>
        </w:rPr>
        <w:t>(iii)</w:t>
      </w:r>
      <w:r>
        <w:rPr>
          <w:color w:val="231F20"/>
          <w:spacing w:val="41"/>
        </w:rPr>
        <w:t> </w:t>
      </w:r>
      <w:r>
        <w:rPr>
          <w:color w:val="231F20"/>
        </w:rPr>
        <w:t>airport</w:t>
      </w:r>
      <w:r>
        <w:rPr>
          <w:color w:val="231F20"/>
          <w:spacing w:val="41"/>
        </w:rPr>
        <w:t> </w:t>
      </w:r>
      <w:r>
        <w:rPr>
          <w:color w:val="231F20"/>
        </w:rPr>
        <w:t>perimeter</w:t>
      </w:r>
      <w:r>
        <w:rPr>
          <w:color w:val="231F20"/>
          <w:spacing w:val="41"/>
        </w:rPr>
        <w:t> </w:t>
      </w:r>
      <w:r>
        <w:rPr>
          <w:color w:val="231F20"/>
        </w:rPr>
        <w:t>access</w:t>
      </w:r>
      <w:r>
        <w:rPr>
          <w:color w:val="231F20"/>
          <w:spacing w:val="44"/>
        </w:rPr>
        <w:t> </w:t>
      </w:r>
      <w:r>
        <w:rPr>
          <w:color w:val="231F20"/>
        </w:rPr>
        <w:t>security;</w:t>
      </w:r>
      <w:r>
        <w:rPr>
          <w:color w:val="231F20"/>
          <w:spacing w:val="42"/>
        </w:rPr>
        <w:t> </w:t>
      </w:r>
      <w:r>
        <w:rPr>
          <w:color w:val="231F20"/>
        </w:rPr>
        <w:t>(iv)</w:t>
      </w:r>
      <w:r>
        <w:rPr>
          <w:color w:val="231F20"/>
          <w:spacing w:val="41"/>
        </w:rPr>
        <w:t> </w:t>
      </w:r>
      <w:r>
        <w:rPr>
          <w:color w:val="231F20"/>
        </w:rPr>
        <w:t>airline</w:t>
      </w:r>
      <w:r>
        <w:rPr>
          <w:color w:val="231F20"/>
          <w:spacing w:val="41"/>
        </w:rPr>
        <w:t> </w:t>
      </w:r>
      <w:r>
        <w:rPr>
          <w:color w:val="231F20"/>
        </w:rPr>
        <w:t>crew</w:t>
      </w:r>
      <w:r>
        <w:rPr>
          <w:color w:val="231F20"/>
          <w:spacing w:val="42"/>
        </w:rPr>
        <w:t> </w:t>
      </w:r>
      <w:r>
        <w:rPr>
          <w:color w:val="231F20"/>
        </w:rPr>
        <w:t>security</w:t>
      </w:r>
      <w:r>
        <w:rPr>
          <w:color w:val="231F20"/>
          <w:spacing w:val="42"/>
        </w:rPr>
        <w:t> </w:t>
      </w:r>
      <w:r>
        <w:rPr>
          <w:color w:val="231F20"/>
        </w:rPr>
        <w:t>training;</w:t>
      </w:r>
    </w:p>
    <w:p>
      <w:pPr>
        <w:pStyle w:val="BodyText"/>
        <w:spacing w:line="247" w:lineRule="auto"/>
        <w:ind w:left="120" w:right="118"/>
        <w:jc w:val="both"/>
      </w:pPr>
      <w:r>
        <w:rPr>
          <w:color w:val="231F20"/>
        </w:rPr>
        <w:t>(v) security screening of passengers, baggage, cargo, mail, employees, and vendors; (vi) training and qualifications  of  security  screening  personnel;  (vii)  provision  of  passenger  data  to  CBP;  and</w:t>
      </w:r>
    </w:p>
    <w:p>
      <w:pPr>
        <w:pStyle w:val="ListParagraph"/>
        <w:numPr>
          <w:ilvl w:val="0"/>
          <w:numId w:val="3"/>
        </w:numPr>
        <w:tabs>
          <w:tab w:pos="676" w:val="left" w:leader="none"/>
        </w:tabs>
        <w:spacing w:line="247" w:lineRule="auto" w:before="0" w:after="0"/>
        <w:ind w:left="120" w:right="117" w:firstLine="0"/>
        <w:jc w:val="both"/>
        <w:rPr>
          <w:sz w:val="22"/>
        </w:rPr>
      </w:pPr>
      <w:r>
        <w:rPr>
          <w:color w:val="231F20"/>
          <w:sz w:val="22"/>
        </w:rPr>
        <w:t>background checks. Under ATSA, substantially all security officers at airports are federal employees, and significant other elements of airline and airport security are overseen and performed by federal employees, including federal security managers, federal law enforcement officers, and federal air marshals. TSA personnel and TSA-mandated security procedures can affect the Company’s operations, costs, and Customer experience. For example, as part of its security measures, the TSA regulates the types of liquid items that can be carried onboard aircraft. In addition, as part of its Secure Flight program, the TSA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The TSA has  also implemented enhanced security procedures as part of its enhanced, multi-layer approach to airport security, including physical pat down procedures, at security checkpoints. Such enhanced security procedures have raised privacy concerns by some air travelers.</w:t>
      </w:r>
    </w:p>
    <w:p>
      <w:pPr>
        <w:pStyle w:val="BodyText"/>
        <w:spacing w:before="9"/>
        <w:rPr>
          <w:sz w:val="20"/>
        </w:rPr>
      </w:pPr>
    </w:p>
    <w:p>
      <w:pPr>
        <w:pStyle w:val="BodyText"/>
        <w:spacing w:line="247" w:lineRule="auto"/>
        <w:ind w:left="120" w:right="117"/>
        <w:jc w:val="both"/>
      </w:pPr>
      <w:r>
        <w:rPr>
          <w:color w:val="231F20"/>
        </w:rPr>
        <w:t>The Company, in conjunction with the TSA and CBP, participates in TSA PreCheck™, a pre- screening initiative that allows a select group of low risk passengers to move through security checkpoints with greater efficiency and ease when traveling. Eligible passengers may use dedicated screening lanes at certain airports the Company serves for screening benefits, which include leaving on shoes, light outerwear, and belts, as well as leaving laptops and permitted liquids in carryon</w:t>
      </w:r>
      <w:r>
        <w:rPr>
          <w:color w:val="231F20"/>
          <w:spacing w:val="-3"/>
        </w:rPr>
        <w:t> </w:t>
      </w:r>
      <w:r>
        <w:rPr>
          <w:color w:val="231F20"/>
        </w:rPr>
        <w:t>bags.</w:t>
      </w:r>
    </w:p>
    <w:p>
      <w:pPr>
        <w:pStyle w:val="BodyText"/>
        <w:spacing w:before="8"/>
        <w:rPr>
          <w:sz w:val="20"/>
        </w:rPr>
      </w:pPr>
    </w:p>
    <w:p>
      <w:pPr>
        <w:pStyle w:val="BodyText"/>
        <w:spacing w:line="247" w:lineRule="auto" w:before="1"/>
        <w:ind w:left="119" w:right="117"/>
        <w:jc w:val="both"/>
      </w:pPr>
      <w:r>
        <w:rPr>
          <w:color w:val="231F20"/>
        </w:rPr>
        <w:t>The Company also participates in the TSA Known Crewmember</w:t>
      </w:r>
      <w:r>
        <w:rPr>
          <w:color w:val="231F20"/>
          <w:position w:val="5"/>
          <w:sz w:val="16"/>
        </w:rPr>
        <w:t>® </w:t>
      </w:r>
      <w:r>
        <w:rPr>
          <w:color w:val="231F20"/>
        </w:rPr>
        <w:t>program, which is a risk-based screening system that enables TSA security officers to positively verify the identity and employment status of flight-crew members. The program expedites flight crew member access to sterile areas of airports.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The Company works collaboratively with foreign national governments and airports to provide risk- based security measures at international departure locations.</w:t>
      </w:r>
    </w:p>
    <w:p>
      <w:pPr>
        <w:pStyle w:val="BodyText"/>
        <w:spacing w:before="9"/>
        <w:rPr>
          <w:sz w:val="20"/>
        </w:rPr>
      </w:pPr>
    </w:p>
    <w:p>
      <w:pPr>
        <w:pStyle w:val="BodyText"/>
        <w:spacing w:line="247" w:lineRule="auto"/>
        <w:ind w:left="100" w:right="117"/>
        <w:jc w:val="both"/>
      </w:pPr>
      <w:r>
        <w:rPr>
          <w:color w:val="231F20"/>
        </w:rPr>
        <w:t>The Company has filed an application with the Department of Homeland Security for designation  under the Support Anti-Terrorism by Fostering Effective Technologies Act of 2002 (the “SAFETY Act”). The application is currently under review by the Department of Homeland Security. The Company’s application for designation is based on certain safety and security procedures put in place by the Company to date related to the protection of its Employees, Customers, and assets from terrorists and other criminal activities. If the application for designation is successful, the Company would be granted certain limitations of liability for claims arising out of an “act of terrorism” as  defined under the SAFETY</w:t>
      </w:r>
      <w:r>
        <w:rPr>
          <w:color w:val="231F20"/>
          <w:spacing w:val="-2"/>
        </w:rPr>
        <w:t> </w:t>
      </w:r>
      <w:r>
        <w:rPr>
          <w:color w:val="231F20"/>
        </w:rPr>
        <w:t>Act.</w:t>
      </w:r>
    </w:p>
    <w:p>
      <w:pPr>
        <w:pStyle w:val="BodyText"/>
        <w:spacing w:before="9"/>
        <w:rPr>
          <w:sz w:val="20"/>
        </w:rPr>
      </w:pPr>
    </w:p>
    <w:p>
      <w:pPr>
        <w:pStyle w:val="BodyText"/>
        <w:spacing w:line="247" w:lineRule="auto"/>
        <w:ind w:left="100" w:right="118"/>
        <w:jc w:val="both"/>
      </w:pPr>
      <w:r>
        <w:rPr>
          <w:color w:val="231F20"/>
        </w:rPr>
        <w:t>The Company has also made significant investments to address the effect of security regulations, including investments in facilities, equipment, and technology to process Customers, checked baggage, and cargo efficiently; however, the Company is not able to predict the impact, if any, that various security measures or the lack of TSA resources at certain airports will have on Passenger revenues and the Company’s costs, either in the short-term or the long-term.</w:t>
      </w:r>
    </w:p>
    <w:p>
      <w:pPr>
        <w:pStyle w:val="BodyText"/>
        <w:spacing w:before="9"/>
        <w:rPr>
          <w:sz w:val="20"/>
        </w:rPr>
      </w:pPr>
    </w:p>
    <w:p>
      <w:pPr>
        <w:pStyle w:val="Heading1"/>
        <w:ind w:left="460"/>
        <w:jc w:val="left"/>
      </w:pPr>
      <w:r>
        <w:rPr>
          <w:color w:val="231F20"/>
        </w:rPr>
        <w:t>Environmental Regulation</w:t>
      </w:r>
    </w:p>
    <w:p>
      <w:pPr>
        <w:pStyle w:val="BodyText"/>
        <w:spacing w:before="5"/>
        <w:rPr>
          <w:b/>
          <w:sz w:val="21"/>
        </w:rPr>
      </w:pPr>
    </w:p>
    <w:p>
      <w:pPr>
        <w:pStyle w:val="BodyText"/>
        <w:spacing w:line="247" w:lineRule="auto"/>
        <w:ind w:left="100" w:right="117"/>
        <w:jc w:val="both"/>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and storm water discharges from operations, and the disposal of materials such as jet fuel,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 position.</w:t>
      </w:r>
    </w:p>
    <w:p>
      <w:pPr>
        <w:pStyle w:val="BodyText"/>
        <w:spacing w:before="9"/>
        <w:rPr>
          <w:sz w:val="20"/>
        </w:rPr>
      </w:pPr>
    </w:p>
    <w:p>
      <w:pPr>
        <w:pStyle w:val="BodyText"/>
        <w:spacing w:line="247" w:lineRule="auto"/>
        <w:ind w:left="100" w:right="117"/>
        <w:jc w:val="both"/>
      </w:pPr>
      <w:r>
        <w:rPr>
          <w:color w:val="231F20"/>
        </w:rPr>
        <w:t>The federal government, as well as several state and local governments, the governments of other countries, and the United Nations’ International Civil Aviation Organization (“ICAO”) are considering legislative and regulatory proposals and voluntary measures to address climate change by reducing green-house gas emissions. At the federal level, in July 2016, the Environmental Protection Agency (the “EPA”) issued a final endangerment finding for greenhouse gas emissions from certain types of aircraft engines, which the agency determined contribute to the pollution that causes climate change and endangers public health and the environment. Following this endangerment finding, per the federal Clean Air Act, the EPA is required to promulgate new regulations for controlling greenhouse gas emissions from aircraft, including possibly new carbon-efficiency standards on aircraft and engine manufacturers.</w:t>
      </w:r>
      <w:r>
        <w:rPr>
          <w:color w:val="231F20"/>
          <w:spacing w:val="48"/>
        </w:rPr>
        <w:t> </w:t>
      </w:r>
      <w:r>
        <w:rPr>
          <w:color w:val="231F20"/>
        </w:rPr>
        <w:t>The</w:t>
      </w:r>
      <w:r>
        <w:rPr>
          <w:color w:val="231F20"/>
          <w:spacing w:val="47"/>
        </w:rPr>
        <w:t> </w:t>
      </w:r>
      <w:r>
        <w:rPr>
          <w:color w:val="231F20"/>
        </w:rPr>
        <w:t>EPA’s</w:t>
      </w:r>
      <w:r>
        <w:rPr>
          <w:color w:val="231F20"/>
          <w:spacing w:val="47"/>
        </w:rPr>
        <w:t> </w:t>
      </w:r>
      <w:r>
        <w:rPr>
          <w:color w:val="231F20"/>
        </w:rPr>
        <w:t>endangerment</w:t>
      </w:r>
      <w:r>
        <w:rPr>
          <w:color w:val="231F20"/>
          <w:spacing w:val="48"/>
        </w:rPr>
        <w:t> </w:t>
      </w:r>
      <w:r>
        <w:rPr>
          <w:color w:val="231F20"/>
        </w:rPr>
        <w:t>finding</w:t>
      </w:r>
      <w:r>
        <w:rPr>
          <w:color w:val="231F20"/>
          <w:spacing w:val="47"/>
        </w:rPr>
        <w:t> </w:t>
      </w:r>
      <w:r>
        <w:rPr>
          <w:color w:val="231F20"/>
        </w:rPr>
        <w:t>preceded</w:t>
      </w:r>
      <w:r>
        <w:rPr>
          <w:color w:val="231F20"/>
          <w:spacing w:val="49"/>
        </w:rPr>
        <w:t> </w:t>
      </w:r>
      <w:r>
        <w:rPr>
          <w:color w:val="231F20"/>
        </w:rPr>
        <w:t>an</w:t>
      </w:r>
      <w:r>
        <w:rPr>
          <w:color w:val="231F20"/>
          <w:spacing w:val="48"/>
        </w:rPr>
        <w:t> </w:t>
      </w:r>
      <w:r>
        <w:rPr>
          <w:color w:val="231F20"/>
        </w:rPr>
        <w:t>expected</w:t>
      </w:r>
      <w:r>
        <w:rPr>
          <w:color w:val="231F20"/>
          <w:spacing w:val="49"/>
        </w:rPr>
        <w:t> </w:t>
      </w:r>
      <w:r>
        <w:rPr>
          <w:color w:val="231F20"/>
        </w:rPr>
        <w:t>agreement</w:t>
      </w:r>
      <w:r>
        <w:rPr>
          <w:color w:val="231F20"/>
          <w:spacing w:val="48"/>
        </w:rPr>
        <w:t> </w:t>
      </w:r>
      <w:r>
        <w:rPr>
          <w:color w:val="231F20"/>
        </w:rPr>
        <w:t>reached</w:t>
      </w:r>
      <w:r>
        <w:rPr>
          <w:color w:val="231F20"/>
          <w:spacing w:val="48"/>
        </w:rPr>
        <w:t> </w:t>
      </w:r>
      <w:r>
        <w:rPr>
          <w:color w:val="231F20"/>
        </w:rPr>
        <w:t>by</w:t>
      </w:r>
      <w:r>
        <w:rPr>
          <w:color w:val="231F20"/>
          <w:spacing w:val="47"/>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member nations of ICAO. In October 2016, the ICAO Assembly adopted a new “global market-based measure” framework in an effort to control carbon dioxide emissions from international aviation. The focal point of this framework is a future carbon offsetting system on aircraft operators designed to cap the growth of international aviation emissions. Details of this system are expected to be further developed in 2017 and, assuming the U.S. Government adopts the ICAO framework, this system is scheduled to be phased-in beginning in 2021. Regardless of the method of regulation, policy changes with regards to climate change are possible, which could significantly increase operating costs in the airline industry and, as a result, adversely affect operations.</w:t>
      </w:r>
    </w:p>
    <w:p>
      <w:pPr>
        <w:pStyle w:val="BodyText"/>
        <w:spacing w:before="9"/>
        <w:rPr>
          <w:sz w:val="20"/>
        </w:rPr>
      </w:pPr>
    </w:p>
    <w:p>
      <w:pPr>
        <w:pStyle w:val="BodyText"/>
        <w:spacing w:line="247" w:lineRule="auto"/>
        <w:ind w:left="100" w:right="117"/>
        <w:jc w:val="both"/>
      </w:pPr>
      <w:r>
        <w:rPr>
          <w:color w:val="231F20"/>
        </w:rPr>
        <w:t>In addition to climate change, aircraft noise continues to be an environmental focus, especially as the FAA implements new flight procedures as part of its “NextGen” airspace modernization program discussed above. 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can limit the ability of air carriers to expand operations at the affected airports. At the federal level, the FAA is considering changes to enhance community engagement when developing new flight procedures, and there is a possibility that Congress may enact legislation in 2017 to address local noise concerns at one or more commercial airports in the United States.</w:t>
      </w:r>
    </w:p>
    <w:p>
      <w:pPr>
        <w:pStyle w:val="BodyText"/>
        <w:spacing w:before="9"/>
        <w:rPr>
          <w:sz w:val="20"/>
        </w:rPr>
      </w:pPr>
    </w:p>
    <w:p>
      <w:pPr>
        <w:pStyle w:val="BodyText"/>
        <w:spacing w:line="247" w:lineRule="auto"/>
        <w:ind w:left="100" w:right="118"/>
        <w:jc w:val="both"/>
      </w:pPr>
      <w:r>
        <w:rPr>
          <w:color w:val="231F20"/>
        </w:rPr>
        <w:t>The Company has undertaken a number of fuel conservation and carbon emission reduction initiatives such as the following:</w:t>
      </w:r>
    </w:p>
    <w:p>
      <w:pPr>
        <w:pStyle w:val="BodyText"/>
        <w:spacing w:before="9"/>
        <w:rPr>
          <w:sz w:val="20"/>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installation of blended winglets, which reduce drag and increase fuel efficiency, on all Boeing 737-700 and 737-800 aircraft in Southwest’s</w:t>
      </w:r>
      <w:r>
        <w:rPr>
          <w:color w:val="231F20"/>
          <w:spacing w:val="-4"/>
          <w:sz w:val="22"/>
        </w:rPr>
        <w:t> </w:t>
      </w:r>
      <w:r>
        <w:rPr>
          <w:color w:val="231F20"/>
          <w:sz w:val="22"/>
        </w:rPr>
        <w:t>fleet;</w:t>
      </w:r>
    </w:p>
    <w:p>
      <w:pPr>
        <w:pStyle w:val="BodyText"/>
        <w:spacing w:before="9"/>
        <w:rPr>
          <w:sz w:val="20"/>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upgrading of the Company’s 737-800 fleet with newly designed, split scimitar</w:t>
      </w:r>
      <w:r>
        <w:rPr>
          <w:color w:val="231F20"/>
          <w:spacing w:val="-5"/>
          <w:sz w:val="22"/>
        </w:rPr>
        <w:t> </w:t>
      </w:r>
      <w:r>
        <w:rPr>
          <w:color w:val="231F20"/>
          <w:sz w:val="22"/>
        </w:rPr>
        <w:t>winglets;</w:t>
      </w:r>
    </w:p>
    <w:p>
      <w:pPr>
        <w:pStyle w:val="BodyText"/>
        <w:spacing w:before="4"/>
        <w:rPr>
          <w:sz w:val="21"/>
        </w:rPr>
      </w:pPr>
    </w:p>
    <w:p>
      <w:pPr>
        <w:pStyle w:val="ListParagraph"/>
        <w:numPr>
          <w:ilvl w:val="1"/>
          <w:numId w:val="3"/>
        </w:numPr>
        <w:tabs>
          <w:tab w:pos="979" w:val="left" w:leader="none"/>
          <w:tab w:pos="980" w:val="left" w:leader="none"/>
        </w:tabs>
        <w:spacing w:line="240" w:lineRule="auto" w:before="1" w:after="0"/>
        <w:ind w:left="980" w:right="0" w:hanging="440"/>
        <w:jc w:val="left"/>
        <w:rPr>
          <w:sz w:val="22"/>
        </w:rPr>
      </w:pPr>
      <w:r>
        <w:rPr>
          <w:color w:val="231F20"/>
          <w:sz w:val="22"/>
        </w:rPr>
        <w:t>periodic engine washes;</w:t>
      </w:r>
    </w:p>
    <w:p>
      <w:pPr>
        <w:pStyle w:val="BodyText"/>
        <w:spacing w:before="5"/>
        <w:rPr>
          <w:sz w:val="21"/>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use of electric ground power for aircraft air and power at the gate and for ground support equipment at select</w:t>
      </w:r>
      <w:r>
        <w:rPr>
          <w:color w:val="231F20"/>
          <w:spacing w:val="1"/>
          <w:sz w:val="22"/>
        </w:rPr>
        <w:t> </w:t>
      </w:r>
      <w:r>
        <w:rPr>
          <w:color w:val="231F20"/>
          <w:sz w:val="22"/>
        </w:rPr>
        <w:t>locations;</w:t>
      </w:r>
    </w:p>
    <w:p>
      <w:pPr>
        <w:pStyle w:val="BodyText"/>
        <w:spacing w:before="9"/>
        <w:rPr>
          <w:sz w:val="20"/>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deployment of auto-throttle and vertical navigation to maintain optimum cruising</w:t>
      </w:r>
      <w:r>
        <w:rPr>
          <w:color w:val="231F20"/>
          <w:spacing w:val="-3"/>
          <w:sz w:val="22"/>
        </w:rPr>
        <w:t> </w:t>
      </w:r>
      <w:r>
        <w:rPr>
          <w:color w:val="231F20"/>
          <w:sz w:val="22"/>
        </w:rPr>
        <w:t>speeds;</w:t>
      </w:r>
    </w:p>
    <w:p>
      <w:pPr>
        <w:pStyle w:val="BodyText"/>
        <w:spacing w:before="5"/>
        <w:rPr>
          <w:sz w:val="21"/>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implementation of engine start procedures to support the Company’s single engine taxi procedures;</w:t>
      </w:r>
    </w:p>
    <w:p>
      <w:pPr>
        <w:pStyle w:val="BodyText"/>
        <w:spacing w:before="9"/>
        <w:rPr>
          <w:sz w:val="20"/>
        </w:rPr>
      </w:pPr>
    </w:p>
    <w:p>
      <w:pPr>
        <w:pStyle w:val="ListParagraph"/>
        <w:numPr>
          <w:ilvl w:val="1"/>
          <w:numId w:val="3"/>
        </w:numPr>
        <w:tabs>
          <w:tab w:pos="979" w:val="left" w:leader="none"/>
          <w:tab w:pos="980" w:val="left" w:leader="none"/>
        </w:tabs>
        <w:spacing w:line="247" w:lineRule="auto" w:before="0" w:after="0"/>
        <w:ind w:left="980" w:right="118" w:hanging="440"/>
        <w:jc w:val="left"/>
        <w:rPr>
          <w:sz w:val="22"/>
        </w:rPr>
      </w:pPr>
      <w:r>
        <w:rPr>
          <w:color w:val="231F20"/>
          <w:sz w:val="22"/>
        </w:rPr>
        <w:t>adjustment of the timing of auxiliary power unit starts on originating flights to reduce auxiliary power unit</w:t>
      </w:r>
      <w:r>
        <w:rPr>
          <w:color w:val="231F20"/>
          <w:spacing w:val="-2"/>
          <w:sz w:val="22"/>
        </w:rPr>
        <w:t> </w:t>
      </w:r>
      <w:r>
        <w:rPr>
          <w:color w:val="231F20"/>
          <w:sz w:val="22"/>
        </w:rPr>
        <w:t>usage;</w:t>
      </w:r>
    </w:p>
    <w:p>
      <w:pPr>
        <w:pStyle w:val="BodyText"/>
        <w:spacing w:before="9"/>
        <w:rPr>
          <w:sz w:val="20"/>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implementation of fuel planning initiatives to safely reduce loading of excess</w:t>
      </w:r>
      <w:r>
        <w:rPr>
          <w:color w:val="231F20"/>
          <w:spacing w:val="-3"/>
          <w:sz w:val="22"/>
        </w:rPr>
        <w:t> </w:t>
      </w:r>
      <w:r>
        <w:rPr>
          <w:color w:val="231F20"/>
          <w:sz w:val="22"/>
        </w:rPr>
        <w:t>fuel;</w:t>
      </w:r>
    </w:p>
    <w:p>
      <w:pPr>
        <w:pStyle w:val="BodyText"/>
        <w:spacing w:before="5"/>
        <w:rPr>
          <w:sz w:val="21"/>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aircraft cabin interior retrofitting to reduce</w:t>
      </w:r>
      <w:r>
        <w:rPr>
          <w:color w:val="231F20"/>
          <w:spacing w:val="-5"/>
          <w:sz w:val="22"/>
        </w:rPr>
        <w:t> </w:t>
      </w:r>
      <w:r>
        <w:rPr>
          <w:color w:val="231F20"/>
          <w:sz w:val="22"/>
        </w:rPr>
        <w:t>weight;</w:t>
      </w:r>
    </w:p>
    <w:p>
      <w:pPr>
        <w:pStyle w:val="BodyText"/>
        <w:spacing w:before="5"/>
        <w:rPr>
          <w:sz w:val="21"/>
        </w:rPr>
      </w:pPr>
    </w:p>
    <w:p>
      <w:pPr>
        <w:pStyle w:val="ListParagraph"/>
        <w:numPr>
          <w:ilvl w:val="1"/>
          <w:numId w:val="3"/>
        </w:numPr>
        <w:tabs>
          <w:tab w:pos="979" w:val="left" w:leader="none"/>
          <w:tab w:pos="980" w:val="left" w:leader="none"/>
        </w:tabs>
        <w:spacing w:line="240" w:lineRule="auto" w:before="0" w:after="0"/>
        <w:ind w:left="980" w:right="0" w:hanging="440"/>
        <w:jc w:val="left"/>
        <w:rPr>
          <w:sz w:val="22"/>
        </w:rPr>
      </w:pPr>
      <w:r>
        <w:rPr>
          <w:color w:val="231F20"/>
          <w:sz w:val="22"/>
        </w:rPr>
        <w:t>reduction of aircraft engine idle speed while on the ground, which also increases engine life;</w:t>
      </w:r>
    </w:p>
    <w:p>
      <w:pPr>
        <w:spacing w:after="0" w:line="240" w:lineRule="auto"/>
        <w:jc w:val="left"/>
        <w:rPr>
          <w:sz w:val="22"/>
        </w:rPr>
        <w:sectPr>
          <w:pgSz w:w="11880" w:h="15480"/>
          <w:pgMar w:header="0" w:footer="1240" w:top="1240" w:bottom="1420" w:left="1280" w:right="1260"/>
        </w:sectPr>
      </w:pPr>
    </w:p>
    <w:p>
      <w:pPr>
        <w:pStyle w:val="ListParagraph"/>
        <w:numPr>
          <w:ilvl w:val="1"/>
          <w:numId w:val="3"/>
        </w:numPr>
        <w:tabs>
          <w:tab w:pos="999" w:val="left" w:leader="none"/>
          <w:tab w:pos="1000" w:val="left" w:leader="none"/>
        </w:tabs>
        <w:spacing w:line="240" w:lineRule="auto" w:before="74" w:after="0"/>
        <w:ind w:left="1000" w:right="0" w:hanging="440"/>
        <w:jc w:val="left"/>
        <w:rPr>
          <w:sz w:val="22"/>
        </w:rPr>
      </w:pPr>
      <w:r>
        <w:rPr>
          <w:color w:val="231F20"/>
          <w:sz w:val="22"/>
        </w:rPr>
        <w:t>galley refreshes with dry goods weight</w:t>
      </w:r>
      <w:r>
        <w:rPr>
          <w:color w:val="231F20"/>
          <w:spacing w:val="-1"/>
          <w:sz w:val="22"/>
        </w:rPr>
        <w:t> </w:t>
      </w:r>
      <w:r>
        <w:rPr>
          <w:color w:val="231F20"/>
          <w:sz w:val="22"/>
        </w:rPr>
        <w:t>reduction;</w:t>
      </w:r>
    </w:p>
    <w:p>
      <w:pPr>
        <w:pStyle w:val="BodyText"/>
        <w:spacing w:before="3"/>
        <w:rPr>
          <w:sz w:val="20"/>
        </w:rPr>
      </w:pPr>
    </w:p>
    <w:p>
      <w:pPr>
        <w:pStyle w:val="ListParagraph"/>
        <w:numPr>
          <w:ilvl w:val="1"/>
          <w:numId w:val="3"/>
        </w:numPr>
        <w:tabs>
          <w:tab w:pos="1000" w:val="left" w:leader="none"/>
        </w:tabs>
        <w:spacing w:line="247" w:lineRule="auto" w:before="0" w:after="0"/>
        <w:ind w:left="1000" w:right="117" w:hanging="440"/>
        <w:jc w:val="both"/>
        <w:rPr>
          <w:sz w:val="22"/>
        </w:rPr>
      </w:pPr>
      <w:r>
        <w:rPr>
          <w:color w:val="231F20"/>
          <w:sz w:val="22"/>
        </w:rPr>
        <w:t>Company optimized routes (flying the best wind routes to take advantage of tailwinds or to minimize</w:t>
      </w:r>
      <w:r>
        <w:rPr>
          <w:color w:val="231F20"/>
          <w:spacing w:val="-1"/>
          <w:sz w:val="22"/>
        </w:rPr>
        <w:t> </w:t>
      </w:r>
      <w:r>
        <w:rPr>
          <w:color w:val="231F20"/>
          <w:sz w:val="22"/>
        </w:rPr>
        <w:t>headwinds);</w:t>
      </w:r>
    </w:p>
    <w:p>
      <w:pPr>
        <w:pStyle w:val="BodyText"/>
        <w:spacing w:before="7"/>
        <w:rPr>
          <w:sz w:val="19"/>
        </w:rPr>
      </w:pPr>
    </w:p>
    <w:p>
      <w:pPr>
        <w:pStyle w:val="ListParagraph"/>
        <w:numPr>
          <w:ilvl w:val="1"/>
          <w:numId w:val="3"/>
        </w:numPr>
        <w:tabs>
          <w:tab w:pos="1000" w:val="left" w:leader="none"/>
        </w:tabs>
        <w:spacing w:line="247" w:lineRule="auto" w:before="0" w:after="0"/>
        <w:ind w:left="1000" w:right="117" w:hanging="440"/>
        <w:jc w:val="both"/>
        <w:rPr>
          <w:sz w:val="22"/>
        </w:rPr>
      </w:pPr>
      <w:r>
        <w:rPr>
          <w:color w:val="231F20"/>
          <w:sz w:val="22"/>
        </w:rPr>
        <w:t>improvements in flight planning algorithms to better match the Company’s aircraft flight management system (and thereby enabling the Company to fly at the most efficient  altitudes);</w:t>
      </w:r>
    </w:p>
    <w:p>
      <w:pPr>
        <w:pStyle w:val="BodyText"/>
        <w:spacing w:before="7"/>
        <w:rPr>
          <w:sz w:val="19"/>
        </w:rPr>
      </w:pPr>
    </w:p>
    <w:p>
      <w:pPr>
        <w:pStyle w:val="ListParagraph"/>
        <w:numPr>
          <w:ilvl w:val="1"/>
          <w:numId w:val="3"/>
        </w:numPr>
        <w:tabs>
          <w:tab w:pos="1000" w:val="left" w:leader="none"/>
        </w:tabs>
        <w:spacing w:line="247" w:lineRule="auto" w:before="0" w:after="0"/>
        <w:ind w:left="1000" w:right="118" w:hanging="440"/>
        <w:jc w:val="both"/>
        <w:rPr>
          <w:sz w:val="22"/>
        </w:rPr>
      </w:pPr>
      <w:r>
        <w:rPr>
          <w:color w:val="231F20"/>
          <w:sz w:val="22"/>
        </w:rPr>
        <w:t>substitution of Pilot and Flight Attendant flight bags with lighter Electronic Flight Bag tablets; and</w:t>
      </w:r>
    </w:p>
    <w:p>
      <w:pPr>
        <w:pStyle w:val="BodyText"/>
        <w:spacing w:before="7"/>
        <w:rPr>
          <w:sz w:val="19"/>
        </w:rPr>
      </w:pPr>
    </w:p>
    <w:p>
      <w:pPr>
        <w:pStyle w:val="ListParagraph"/>
        <w:numPr>
          <w:ilvl w:val="1"/>
          <w:numId w:val="3"/>
        </w:numPr>
        <w:tabs>
          <w:tab w:pos="1000" w:val="left" w:leader="none"/>
        </w:tabs>
        <w:spacing w:line="247" w:lineRule="auto" w:before="0" w:after="0"/>
        <w:ind w:left="1000" w:right="117" w:hanging="440"/>
        <w:jc w:val="both"/>
        <w:rPr>
          <w:sz w:val="22"/>
        </w:rPr>
      </w:pPr>
      <w:r>
        <w:rPr>
          <w:color w:val="231F20"/>
          <w:sz w:val="22"/>
        </w:rPr>
        <w:t>implementation of Real Time Descent Winds (automatic uplinking of up-to-date wind data to the aircraft allowing crews to time the descent to minimize thrust</w:t>
      </w:r>
      <w:r>
        <w:rPr>
          <w:color w:val="231F20"/>
          <w:spacing w:val="-4"/>
          <w:sz w:val="22"/>
        </w:rPr>
        <w:t> </w:t>
      </w:r>
      <w:r>
        <w:rPr>
          <w:color w:val="231F20"/>
          <w:sz w:val="22"/>
        </w:rPr>
        <w:t>inputs).</w:t>
      </w:r>
    </w:p>
    <w:p>
      <w:pPr>
        <w:pStyle w:val="BodyText"/>
        <w:spacing w:before="7"/>
        <w:rPr>
          <w:sz w:val="19"/>
        </w:rPr>
      </w:pPr>
    </w:p>
    <w:p>
      <w:pPr>
        <w:pStyle w:val="BodyText"/>
        <w:spacing w:line="247" w:lineRule="auto"/>
        <w:ind w:left="120" w:right="117"/>
        <w:jc w:val="both"/>
      </w:pPr>
      <w:r>
        <w:rPr>
          <w:color w:val="231F20"/>
        </w:rPr>
        <w:t>The Company has also participated in Required Navigation Performance (“RNP”) operations as part of the FAA’s Performance Based Navigation program, which is intended to modernize the U.S. Air Traffic Control System by addressing limitations on air transportation capacity and making more efficient use of airspace. RNP combines the capabilities of advanced aircraft avionics, Global Positioning System (“GPS”)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 By the end of 2016, Southwest had conducted approximately 39,000 RNP approaches, including over 15,000 in 2016. Southwest must rely on RNP approaches published by the FAA, and the rate of introduction of RNP approaches continues to be slower than expected, with fuel efficient RNP approaches currently available at only 52 of Southwest’s airports. In addition, even at airports with approved RNP approaches, the clearance required from air traffic controllers to perform RNP approaches is sometimes not granted. Southwest continues to work with the FAA to develop more RNP approaches and to modify air traffic control rules to support greater utilization of</w:t>
      </w:r>
      <w:r>
        <w:rPr>
          <w:color w:val="231F20"/>
          <w:spacing w:val="-8"/>
        </w:rPr>
        <w:t> </w:t>
      </w:r>
      <w:r>
        <w:rPr>
          <w:color w:val="231F20"/>
        </w:rPr>
        <w:t>RNP.</w:t>
      </w:r>
    </w:p>
    <w:p>
      <w:pPr>
        <w:pStyle w:val="BodyText"/>
        <w:spacing w:before="7"/>
        <w:rPr>
          <w:sz w:val="19"/>
        </w:rPr>
      </w:pPr>
    </w:p>
    <w:p>
      <w:pPr>
        <w:pStyle w:val="BodyText"/>
        <w:spacing w:line="247" w:lineRule="auto"/>
        <w:ind w:left="119" w:right="117"/>
        <w:jc w:val="both"/>
      </w:pPr>
      <w:r>
        <w:rPr>
          <w:color w:val="231F20"/>
        </w:rPr>
        <w:t>As part of its commitment to corporate sustainability, the Company has published the Southwest One Report</w:t>
      </w:r>
      <w:r>
        <w:rPr>
          <w:color w:val="231F20"/>
          <w:position w:val="5"/>
          <w:sz w:val="14"/>
        </w:rPr>
        <w:t>TM </w:t>
      </w:r>
      <w:r>
        <w:rPr>
          <w:color w:val="231F20"/>
        </w:rPr>
        <w:t>describing the Company’s sustainability strategies, which include these and other efforts to reduce greenhouse gas emissions and address other environmental matters such as energy and water conservation, waste minimization, and recycling. Information contained in the Southwest One Report  is not incorporated by reference into, and does not constitute a part of, this Form</w:t>
      </w:r>
      <w:r>
        <w:rPr>
          <w:color w:val="231F20"/>
          <w:spacing w:val="-6"/>
        </w:rPr>
        <w:t> </w:t>
      </w:r>
      <w:r>
        <w:rPr>
          <w:color w:val="231F20"/>
        </w:rPr>
        <w:t>10-K.</w:t>
      </w:r>
    </w:p>
    <w:p>
      <w:pPr>
        <w:pStyle w:val="BodyText"/>
        <w:spacing w:before="7"/>
        <w:rPr>
          <w:sz w:val="19"/>
        </w:rPr>
      </w:pPr>
    </w:p>
    <w:p>
      <w:pPr>
        <w:pStyle w:val="Heading1"/>
        <w:ind w:left="480"/>
        <w:jc w:val="left"/>
      </w:pPr>
      <w:r>
        <w:rPr>
          <w:color w:val="231F20"/>
        </w:rPr>
        <w:t>International Regulation</w:t>
      </w:r>
    </w:p>
    <w:p>
      <w:pPr>
        <w:pStyle w:val="BodyText"/>
        <w:spacing w:before="3"/>
        <w:rPr>
          <w:b/>
          <w:sz w:val="20"/>
        </w:rPr>
      </w:pPr>
    </w:p>
    <w:p>
      <w:pPr>
        <w:pStyle w:val="BodyText"/>
        <w:spacing w:line="247" w:lineRule="auto"/>
        <w:ind w:left="119" w:right="117"/>
        <w:jc w:val="both"/>
      </w:pPr>
      <w:r>
        <w:rPr>
          <w:color w:val="231F20"/>
        </w:rPr>
        <w:t>All international air service is subject to certain U.S. federal requirements and approvals, as well as the regulatory requirements of the appropriate authorities of the foreign countries involved. The Company has obtained the necessary economic authority from the DOT, as well as approvals required by the FAA and applicable foreign government entities, to conduct operations, under certain circumstances, to points outside of the continental United States currently served by the Company. Certain international authorities and approvals held by the Company are subject to periodic renewal requirements. The Company requests extensions of such authorities and approvals when and as appropriate.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2"/>
        </w:rPr>
        <w:t> </w:t>
      </w:r>
      <w:r>
        <w:rPr>
          <w:color w:val="231F20"/>
        </w:rPr>
        <w:t>entity.</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Certain international route authorities are governed by bilateral air transportation agreements between the United States and foreign countries. Changes in U.S. or foreign government aviation policies could result in the alteration or termination of such agreements, diminish the value of the Company’s existing international authorities, present barriers to renewing existing or securing new authorities, or otherwise affect the Company’s international operations. In particular, there is a significant amount of uncertainty about the future of scheduled commercial flight operations between the United States and Cuba. Moreover, there could be challenges in expanding the Company’s flight offerings to and from Mexico, as the Mexican  government  adjusts  to  a  new  bilateral  air  transport  agreement  between  the  United States and Mexico, which went into effect in August 2016 and represents a significant change from the prior, more restrictive bilateral agreement. There are also capacity limitations at one or more Mexican airports, which could impact future service levels. In general, bilateral agreements between  the United States and foreign countries the Company currently serves, or may serve in the future, may be subject to renegotiation or reinterpretation from time to time. While the U.S. government has negotiated “open skies” agreements with many countries, which allow for unrestricted access between the United States and respective foreign destinations, agreements with other countries may restrict the Company’s entry and/or growth</w:t>
      </w:r>
      <w:r>
        <w:rPr>
          <w:color w:val="231F20"/>
          <w:spacing w:val="-3"/>
        </w:rPr>
        <w:t> </w:t>
      </w:r>
      <w:r>
        <w:rPr>
          <w:color w:val="231F20"/>
        </w:rPr>
        <w:t>opportunities.</w:t>
      </w:r>
    </w:p>
    <w:p>
      <w:pPr>
        <w:pStyle w:val="BodyText"/>
        <w:spacing w:before="5"/>
      </w:pPr>
    </w:p>
    <w:p>
      <w:pPr>
        <w:pStyle w:val="BodyText"/>
        <w:spacing w:line="247" w:lineRule="auto"/>
        <w:ind w:left="100" w:right="117"/>
        <w:jc w:val="both"/>
      </w:pPr>
      <w:r>
        <w:rPr>
          <w:color w:val="231F20"/>
        </w:rPr>
        <w:t>The CBP is the federal agency of the U.S. Department of Homeland Security charged with facilitating international trade, collecting import duties, and enforcing U.S. regulations with respect to trade, customs, and immigration. As the Company expands its international flight offerings, CBP and its requirements and resources will also become increasingly important considerations to the Company. For instance, with the exception of flights from a small number of foreign “preclearance” locations, arriving international flights may only land at CBP-designated airports, and CBP officers must be present and in sufficient quantities at those airports to effectively process and inspect arriving international passengers and cargo. Thus, CBP personnel and CBP-mandated procedures can affect the Company’s operations, costs, and Customer experience. The Company has made and expects to continue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short-term or the long-term.</w:t>
      </w:r>
    </w:p>
    <w:p>
      <w:pPr>
        <w:pStyle w:val="BodyText"/>
        <w:spacing w:before="5"/>
      </w:pPr>
    </w:p>
    <w:p>
      <w:pPr>
        <w:pStyle w:val="Heading1"/>
      </w:pPr>
      <w:r>
        <w:rPr>
          <w:color w:val="231F20"/>
        </w:rPr>
        <w:t>Insurance</w:t>
      </w:r>
    </w:p>
    <w:p>
      <w:pPr>
        <w:pStyle w:val="BodyText"/>
        <w:rPr>
          <w:b/>
          <w:sz w:val="23"/>
        </w:rPr>
      </w:pPr>
    </w:p>
    <w:p>
      <w:pPr>
        <w:pStyle w:val="BodyText"/>
        <w:spacing w:line="247" w:lineRule="auto" w:before="1"/>
        <w:ind w:left="100" w:right="117"/>
        <w:jc w:val="both"/>
      </w:pPr>
      <w:r>
        <w:rPr>
          <w:color w:val="231F20"/>
        </w:rPr>
        <w:t>The Company carries insurance of types customary in the airline industry and in amounts the Company deems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 In addition, the Company carries a cyber-security insurance policy with regards to data protection and business interruption associated with both security breaches from malicious parties and from certain system</w:t>
      </w:r>
      <w:r>
        <w:rPr>
          <w:color w:val="231F20"/>
          <w:spacing w:val="-3"/>
        </w:rPr>
        <w:t> </w:t>
      </w:r>
      <w:r>
        <w:rPr>
          <w:color w:val="231F20"/>
        </w:rPr>
        <w:t>failures.</w:t>
      </w:r>
    </w:p>
    <w:p>
      <w:pPr>
        <w:pStyle w:val="BodyText"/>
        <w:spacing w:before="5"/>
      </w:pPr>
    </w:p>
    <w:p>
      <w:pPr>
        <w:pStyle w:val="BodyText"/>
        <w:spacing w:line="247" w:lineRule="auto"/>
        <w:ind w:left="100" w:right="117"/>
        <w:jc w:val="both"/>
      </w:pPr>
      <w:r>
        <w:rPr>
          <w:color w:val="231F20"/>
        </w:rPr>
        <w:t>Through the 2003 Emergency Wartime Supplemental Appropriations Act (the “Wartime Act”), the federal government has in the past provided war-risk insurance coverage to commercial carriers, including for losses from terrorism, for passengers, third parties (ground damage), and the aircraft hull. However, since the government-provided supplemental coverage from the Wartime Act was set to expire during 2014, the Company proactively canceled its government provided war-risk insurance coverage prior to expiration and purchased war-risk (terrorism) insurance in the commercial insurance marketplace.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Although the Company was able to purchase war-risk (terrorism) insurance via the commercial insurance marketplace, available commercial insurance could be more expensive in the future and/or have material differences in coverage than insurance that has historically been provided and may not  be adequate to protect the Company’s risk of loss from future acts of terrorism. Further, available cyber-security insurance with regards to data protection and business interruption could be more expensive in the future and/or have material differences in coverage than insurance that has historically been provided and may not be adequate to protect the Company’s risk of</w:t>
      </w:r>
      <w:r>
        <w:rPr>
          <w:color w:val="231F20"/>
          <w:spacing w:val="-3"/>
        </w:rPr>
        <w:t> </w:t>
      </w:r>
      <w:r>
        <w:rPr>
          <w:color w:val="231F20"/>
        </w:rPr>
        <w:t>loss.</w:t>
      </w:r>
    </w:p>
    <w:p>
      <w:pPr>
        <w:pStyle w:val="BodyText"/>
        <w:spacing w:before="9"/>
        <w:rPr>
          <w:sz w:val="20"/>
        </w:rPr>
      </w:pPr>
    </w:p>
    <w:p>
      <w:pPr>
        <w:pStyle w:val="Heading1"/>
      </w:pPr>
      <w:r>
        <w:rPr>
          <w:color w:val="231F20"/>
        </w:rPr>
        <w:t>Competition</w:t>
      </w:r>
    </w:p>
    <w:p>
      <w:pPr>
        <w:pStyle w:val="BodyText"/>
        <w:spacing w:before="5"/>
        <w:rPr>
          <w:b/>
          <w:sz w:val="21"/>
        </w:rPr>
      </w:pPr>
    </w:p>
    <w:p>
      <w:pPr>
        <w:pStyle w:val="BodyText"/>
        <w:spacing w:line="247" w:lineRule="auto"/>
        <w:ind w:left="100" w:right="117"/>
        <w:jc w:val="both"/>
      </w:pPr>
      <w:r>
        <w:rPr>
          <w:color w:val="231F20"/>
        </w:rPr>
        <w:t>Competition within the airline industry is intense and highly unpredictable, and Southwest currently competes with other airlines on virtually all of its scheduled routes. As a result of moderately improved economic conditions and an increased focus by airlines on costs, the airline industry has become increasingly competitive in recent years with healthier financial condition and improved profitability.</w:t>
      </w:r>
    </w:p>
    <w:p>
      <w:pPr>
        <w:pStyle w:val="BodyText"/>
        <w:spacing w:before="9"/>
        <w:rPr>
          <w:sz w:val="20"/>
        </w:rPr>
      </w:pPr>
    </w:p>
    <w:p>
      <w:pPr>
        <w:pStyle w:val="BodyText"/>
        <w:spacing w:line="247" w:lineRule="auto"/>
        <w:ind w:left="100" w:right="117"/>
        <w:jc w:val="both"/>
      </w:pPr>
      <w:r>
        <w:rPr>
          <w:color w:val="231F20"/>
        </w:rPr>
        <w:t>Key competitive factors within the airline industry include (i) pricing and cost structure; (ii) routes, frequent flyer programs, and schedules; and (iii) customer service, comfort, and amenities. Southwest also competes for customers with other forms of transportation, as well as alternatives to travel. In recent years, the majority of domestic airline service has been provided by Southwest and the other largest major U.S. airlines, including American Airlines, Delta Air Lines, and United Airlines. The DOT defines major U.S. airlines as those airlines with annual revenues of at least $1 billion; there are currently 13 passenger airlines offering scheduled service, including Southwest, that meet this  standard.</w:t>
      </w:r>
    </w:p>
    <w:p>
      <w:pPr>
        <w:pStyle w:val="BodyText"/>
        <w:spacing w:before="9"/>
        <w:rPr>
          <w:sz w:val="20"/>
        </w:rPr>
      </w:pPr>
    </w:p>
    <w:p>
      <w:pPr>
        <w:pStyle w:val="Heading1"/>
        <w:ind w:left="460"/>
        <w:jc w:val="left"/>
      </w:pPr>
      <w:r>
        <w:rPr>
          <w:color w:val="231F20"/>
        </w:rPr>
        <w:t>Pricing and Cost Structure</w:t>
      </w:r>
    </w:p>
    <w:p>
      <w:pPr>
        <w:pStyle w:val="BodyText"/>
        <w:spacing w:before="5"/>
        <w:rPr>
          <w:b/>
          <w:sz w:val="21"/>
        </w:rPr>
      </w:pPr>
    </w:p>
    <w:p>
      <w:pPr>
        <w:pStyle w:val="BodyText"/>
        <w:spacing w:line="247" w:lineRule="auto"/>
        <w:ind w:left="100" w:right="117"/>
        <w:jc w:val="both"/>
      </w:pPr>
      <w:r>
        <w:rPr>
          <w:color w:val="231F20"/>
        </w:rPr>
        <w:t>Pricing is a significant competitive factor in the airline industry, and the availability of fare information on the Internet allows travelers to easily compare fares and identify competitor promotions and discounts. Many airlines also continue to introduce new fare products to capture the full spectrum of price-sensitive travelers. These fare options range from a “basic” entry-level fare product to a “premium” economy product at a higher price point. Pricing can be driven by a variety of factors. For example, airlines often discount fares to drive traffic in new markets or to stimulate traffic when necessary to improve load factors and/or cash flow. In addition, multiple airlines have been able to reduce fares because they have been able to lower their operating costs as a result of reorganization within and outside of bankruptcy. Further, some of the Company’s competitors have continued to grow and modernize their fleets and expand their networks, potentially enabling them to better control costs per available seat mile (the average cost to fly an aircraft seat (empty or full) one mile), which in turn may enable them to lower their fares.</w:t>
      </w:r>
    </w:p>
    <w:p>
      <w:pPr>
        <w:pStyle w:val="BodyText"/>
        <w:spacing w:before="9"/>
        <w:rPr>
          <w:sz w:val="20"/>
        </w:rPr>
      </w:pPr>
    </w:p>
    <w:p>
      <w:pPr>
        <w:pStyle w:val="BodyText"/>
        <w:spacing w:line="247" w:lineRule="auto"/>
        <w:ind w:left="100" w:right="117"/>
        <w:jc w:val="both"/>
      </w:pPr>
      <w:r>
        <w:rPr>
          <w:color w:val="231F20"/>
        </w:rPr>
        <w:t>The Company believes its low-cost operating structure continues to provide it with an advantage over many of its airline competitors by enabling it to continue to charge low fares. However, certain so- called “ultra low-cost carriers” have surpassed the Company’s cost advantage while continuing to add aircraft, expand their networks, and add competition to the Company’s routes. Nevertheless, the Company believes it continues to have a competitive advantage through its differentiation of  Southwest from all of its major competitors by not charging additional fees for items such as first and second checked bags, flight changes, seat selection, snacks, curb-side check-in, and telephone reservations.</w:t>
      </w:r>
    </w:p>
    <w:p>
      <w:pPr>
        <w:spacing w:after="0" w:line="247" w:lineRule="auto"/>
        <w:jc w:val="both"/>
        <w:sectPr>
          <w:pgSz w:w="11880" w:h="15480"/>
          <w:pgMar w:header="0" w:footer="1240" w:top="1240" w:bottom="1420" w:left="1280" w:right="1260"/>
        </w:sectPr>
      </w:pPr>
    </w:p>
    <w:p>
      <w:pPr>
        <w:pStyle w:val="Heading1"/>
        <w:spacing w:before="74"/>
        <w:ind w:left="480"/>
        <w:jc w:val="left"/>
      </w:pPr>
      <w:r>
        <w:rPr>
          <w:color w:val="231F20"/>
        </w:rPr>
        <w:t>Routes, Frequent Flyer Programs, and Schedules</w:t>
      </w:r>
    </w:p>
    <w:p>
      <w:pPr>
        <w:pStyle w:val="BodyText"/>
        <w:spacing w:before="4"/>
        <w:rPr>
          <w:b/>
          <w:sz w:val="21"/>
        </w:rPr>
      </w:pPr>
    </w:p>
    <w:p>
      <w:pPr>
        <w:pStyle w:val="BodyText"/>
        <w:spacing w:line="247" w:lineRule="auto" w:before="1"/>
        <w:ind w:left="119" w:right="117"/>
        <w:jc w:val="both"/>
      </w:pPr>
      <w:r>
        <w:rPr>
          <w:color w:val="231F20"/>
        </w:rPr>
        <w:t>The Company also competes with other airlines based on markets served, frequent flyer opportunities, and flight schedules. Some major airlines have more extensive route structures than Southwest, including more extensive international networks. In addition, many competitors have entered into significant commercial relationships with other airlines, such as global alliances, code-sharing, and capacity purchase agreements, which increase the airlines’ opportunities to expand their route offerings.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 of the specific alliance or code-sharing arrangement, a participating airline may be able to (i)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or points.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initiatives to better enable itself to offer additional</w:t>
      </w:r>
      <w:r>
        <w:rPr>
          <w:color w:val="231F20"/>
          <w:spacing w:val="-4"/>
        </w:rPr>
        <w:t> </w:t>
      </w:r>
      <w:r>
        <w:rPr>
          <w:color w:val="231F20"/>
        </w:rPr>
        <w:t>itineraries.</w:t>
      </w:r>
    </w:p>
    <w:p>
      <w:pPr>
        <w:pStyle w:val="BodyText"/>
        <w:spacing w:before="9"/>
        <w:rPr>
          <w:sz w:val="20"/>
        </w:rPr>
      </w:pPr>
    </w:p>
    <w:p>
      <w:pPr>
        <w:pStyle w:val="Heading1"/>
        <w:ind w:left="480"/>
        <w:jc w:val="left"/>
      </w:pPr>
      <w:r>
        <w:rPr>
          <w:color w:val="231F20"/>
        </w:rPr>
        <w:t>Customer Service, Comfort, and Amenities</w:t>
      </w:r>
    </w:p>
    <w:p>
      <w:pPr>
        <w:pStyle w:val="BodyText"/>
        <w:spacing w:before="4"/>
        <w:rPr>
          <w:b/>
          <w:sz w:val="21"/>
        </w:rPr>
      </w:pPr>
    </w:p>
    <w:p>
      <w:pPr>
        <w:pStyle w:val="BodyText"/>
        <w:spacing w:line="247" w:lineRule="auto"/>
        <w:ind w:left="119" w:right="117"/>
        <w:jc w:val="both"/>
      </w:pPr>
      <w:r>
        <w:rPr>
          <w:color w:val="231F20"/>
        </w:rPr>
        <w:t>Southwest also competes with other airlines in areas of Customer Service such as ontime performance, passenger amenities, flight equipment type, and comfort. According to statistics published by the DOT, Southwest consistently ranks at or near the top among domestic carriers in Customer Satisfaction for having the lowest Customer complaint ratio. Some airlines have more seating options and associated passenger amenities than does Southwest, including first-class, business class, and other premium seating and related amenities. Additionally, some major U.S. airlines, including Southwest, are adding a significant number of new aircraft to their fleets. Such efforts could provide cost benefits to these airlines through fleet simplification, improved fuel efficiencies, and lower maintenance costs. Additionally, such new aircraft could have newer and different passenger amenities than those contained in the Company’s existing</w:t>
      </w:r>
      <w:r>
        <w:rPr>
          <w:color w:val="231F20"/>
          <w:spacing w:val="-1"/>
        </w:rPr>
        <w:t> </w:t>
      </w:r>
      <w:r>
        <w:rPr>
          <w:color w:val="231F20"/>
        </w:rPr>
        <w:t>fleet.</w:t>
      </w:r>
    </w:p>
    <w:p>
      <w:pPr>
        <w:pStyle w:val="BodyText"/>
        <w:spacing w:before="9"/>
        <w:rPr>
          <w:sz w:val="20"/>
        </w:rPr>
      </w:pPr>
    </w:p>
    <w:p>
      <w:pPr>
        <w:pStyle w:val="Heading1"/>
        <w:ind w:left="480"/>
        <w:jc w:val="left"/>
      </w:pPr>
      <w:r>
        <w:rPr>
          <w:color w:val="231F20"/>
        </w:rPr>
        <w:t>Other Forms of Competition</w:t>
      </w:r>
    </w:p>
    <w:p>
      <w:pPr>
        <w:pStyle w:val="BodyText"/>
        <w:spacing w:before="5"/>
        <w:rPr>
          <w:b/>
          <w:sz w:val="21"/>
        </w:rPr>
      </w:pPr>
    </w:p>
    <w:p>
      <w:pPr>
        <w:pStyle w:val="BodyText"/>
        <w:spacing w:line="247" w:lineRule="auto"/>
        <w:ind w:left="119" w:right="117"/>
        <w:jc w:val="both"/>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and fewer choose to fly, or when gasoline prices are lower, making surface transportation a less expensive option.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 the Internet, which can increase in the event of travel inconveniences and economic downturns. The Company is subject to the risk that air travel inconveniences and economic downturns may, in some cases, result in permanent changes to consumer behavior in favor of surface transportation and electronic communications.</w:t>
      </w:r>
    </w:p>
    <w:p>
      <w:pPr>
        <w:spacing w:after="0" w:line="247" w:lineRule="auto"/>
        <w:jc w:val="both"/>
        <w:sectPr>
          <w:pgSz w:w="11880" w:h="15480"/>
          <w:pgMar w:header="0" w:footer="1240" w:top="1240" w:bottom="1420" w:left="1260" w:right="1260"/>
        </w:sectPr>
      </w:pPr>
    </w:p>
    <w:p>
      <w:pPr>
        <w:pStyle w:val="Heading1"/>
        <w:spacing w:before="74"/>
      </w:pPr>
      <w:r>
        <w:rPr>
          <w:color w:val="231F20"/>
        </w:rPr>
        <w:t>Seasonality</w:t>
      </w:r>
    </w:p>
    <w:p>
      <w:pPr>
        <w:pStyle w:val="BodyText"/>
        <w:spacing w:before="4"/>
        <w:rPr>
          <w:b/>
          <w:sz w:val="21"/>
        </w:rPr>
      </w:pPr>
    </w:p>
    <w:p>
      <w:pPr>
        <w:pStyle w:val="BodyText"/>
        <w:spacing w:line="247" w:lineRule="auto" w:before="1"/>
        <w:ind w:left="100" w:right="117"/>
        <w:jc w:val="both"/>
      </w:pPr>
      <w:r>
        <w:rPr>
          <w:color w:val="231F20"/>
        </w:rPr>
        <w:t>The Company’s business is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BodyText"/>
        <w:spacing w:before="9"/>
        <w:rPr>
          <w:sz w:val="20"/>
        </w:rPr>
      </w:pPr>
    </w:p>
    <w:p>
      <w:pPr>
        <w:pStyle w:val="Heading1"/>
      </w:pPr>
      <w:r>
        <w:rPr>
          <w:color w:val="231F20"/>
        </w:rPr>
        <w:t>Employees</w:t>
      </w:r>
    </w:p>
    <w:p>
      <w:pPr>
        <w:pStyle w:val="BodyText"/>
        <w:spacing w:before="4"/>
        <w:rPr>
          <w:b/>
          <w:sz w:val="21"/>
        </w:rPr>
      </w:pPr>
    </w:p>
    <w:p>
      <w:pPr>
        <w:pStyle w:val="BodyText"/>
        <w:spacing w:line="247" w:lineRule="auto"/>
        <w:ind w:left="100" w:right="117"/>
        <w:jc w:val="both"/>
      </w:pPr>
      <w:r>
        <w:rPr>
          <w:color w:val="231F20"/>
        </w:rPr>
        <w:t>At December 31, 2016, the Company had approximately 53,500 active fulltime equivalent Employees, consisting of approximately 22,100 flight, 2,900 maintenance, 19,500 ground, Customer, and fleet service, and 9,000 management, technology, finance, marketing, and clerical personnel (associated  with non-operational departments). Approximately 83 percent of these Employees were represented by labor unions. The Railway Labor Act establishes the right of airline employees to organize and bargain collectively. Under the Railway Labor Act, collective-bargaining agreements between an airline and a labor union 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period of time. If the parties do not reach agreement during this period, the parties may then engage in “self-help.” “Self-help” includes,  among  other  things,  a  strike  by  the  union  or the  airline’s  imposition of any  or all  of</w:t>
      </w:r>
      <w:r>
        <w:rPr>
          <w:color w:val="231F20"/>
          <w:spacing w:val="-10"/>
        </w:rPr>
        <w:t> </w:t>
      </w:r>
      <w:r>
        <w:rPr>
          <w:color w:val="231F20"/>
        </w:rPr>
        <w:t>its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proposed amendments and the hiring of new employees to replace any striking workers. The following table sets forth the Company’s Employee groups and the status of the respective collective-bargaining agreements as of December 31, 2016:</w:t>
      </w:r>
    </w:p>
    <w:p>
      <w:pPr>
        <w:pStyle w:val="BodyText"/>
        <w:spacing w:before="5"/>
        <w:rPr>
          <w:sz w:val="15"/>
        </w:rPr>
      </w:pPr>
    </w:p>
    <w:tbl>
      <w:tblPr>
        <w:tblW w:w="0" w:type="auto"/>
        <w:jc w:val="left"/>
        <w:tblInd w:w="1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35"/>
        <w:gridCol w:w="1820"/>
        <w:gridCol w:w="2200"/>
        <w:gridCol w:w="2855"/>
      </w:tblGrid>
      <w:tr>
        <w:trPr>
          <w:trHeight w:val="430" w:hRule="exact"/>
        </w:trPr>
        <w:tc>
          <w:tcPr>
            <w:tcW w:w="2235" w:type="dxa"/>
            <w:tcBorders>
              <w:right w:val="single" w:sz="8" w:space="0" w:color="231F20"/>
            </w:tcBorders>
          </w:tcPr>
          <w:p>
            <w:pPr>
              <w:pStyle w:val="TableParagraph"/>
              <w:spacing w:before="9"/>
              <w:rPr>
                <w:sz w:val="15"/>
              </w:rPr>
            </w:pPr>
          </w:p>
          <w:p>
            <w:pPr>
              <w:pStyle w:val="TableParagraph"/>
              <w:spacing w:before="0"/>
              <w:ind w:left="50"/>
              <w:rPr>
                <w:b/>
                <w:sz w:val="18"/>
              </w:rPr>
            </w:pPr>
            <w:r>
              <w:rPr>
                <w:b/>
                <w:color w:val="231F20"/>
                <w:sz w:val="18"/>
              </w:rPr>
              <w:t>Employee Group</w:t>
            </w:r>
          </w:p>
        </w:tc>
        <w:tc>
          <w:tcPr>
            <w:tcW w:w="1820" w:type="dxa"/>
            <w:tcBorders>
              <w:left w:val="single" w:sz="8" w:space="0" w:color="231F20"/>
              <w:right w:val="single" w:sz="8" w:space="0" w:color="231F20"/>
            </w:tcBorders>
          </w:tcPr>
          <w:p>
            <w:pPr>
              <w:pStyle w:val="TableParagraph"/>
              <w:spacing w:line="180" w:lineRule="exact" w:before="26"/>
              <w:ind w:left="70" w:right="5"/>
              <w:rPr>
                <w:b/>
                <w:sz w:val="18"/>
              </w:rPr>
            </w:pPr>
            <w:r>
              <w:rPr>
                <w:b/>
                <w:color w:val="231F20"/>
                <w:sz w:val="18"/>
              </w:rPr>
              <w:t>Approximate Number of Employees</w:t>
            </w:r>
          </w:p>
        </w:tc>
        <w:tc>
          <w:tcPr>
            <w:tcW w:w="2200" w:type="dxa"/>
            <w:tcBorders>
              <w:left w:val="single" w:sz="8" w:space="0" w:color="231F20"/>
              <w:righ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Representatives</w:t>
            </w:r>
          </w:p>
        </w:tc>
        <w:tc>
          <w:tcPr>
            <w:tcW w:w="2855" w:type="dxa"/>
            <w:tcBorders>
              <w:left w:val="single" w:sz="8" w:space="0" w:color="231F20"/>
            </w:tcBorders>
          </w:tcPr>
          <w:p>
            <w:pPr>
              <w:pStyle w:val="TableParagraph"/>
              <w:spacing w:before="9"/>
              <w:rPr>
                <w:sz w:val="15"/>
              </w:rPr>
            </w:pPr>
          </w:p>
          <w:p>
            <w:pPr>
              <w:pStyle w:val="TableParagraph"/>
              <w:spacing w:before="0"/>
              <w:ind w:left="69"/>
              <w:rPr>
                <w:b/>
                <w:sz w:val="18"/>
              </w:rPr>
            </w:pPr>
            <w:r>
              <w:rPr>
                <w:b/>
                <w:color w:val="231F20"/>
                <w:sz w:val="18"/>
              </w:rPr>
              <w:t>Status of Agreement</w:t>
            </w:r>
          </w:p>
        </w:tc>
      </w:tr>
      <w:tr>
        <w:trPr>
          <w:trHeight w:val="460" w:hRule="exact"/>
        </w:trPr>
        <w:tc>
          <w:tcPr>
            <w:tcW w:w="2235" w:type="dxa"/>
            <w:tcBorders>
              <w:right w:val="single" w:sz="8" w:space="0" w:color="231F20"/>
            </w:tcBorders>
            <w:shd w:val="clear" w:color="auto" w:fill="D1D3D4"/>
          </w:tcPr>
          <w:p>
            <w:pPr>
              <w:pStyle w:val="TableParagraph"/>
              <w:spacing w:before="1"/>
              <w:rPr>
                <w:sz w:val="20"/>
              </w:rPr>
            </w:pPr>
          </w:p>
          <w:p>
            <w:pPr>
              <w:pStyle w:val="TableParagraph"/>
              <w:spacing w:before="1"/>
              <w:ind w:left="50"/>
              <w:rPr>
                <w:sz w:val="18"/>
              </w:rPr>
            </w:pPr>
            <w:r>
              <w:rPr>
                <w:color w:val="231F20"/>
                <w:sz w:val="18"/>
              </w:rPr>
              <w:t>Southwest Pilots</w:t>
            </w:r>
          </w:p>
        </w:tc>
        <w:tc>
          <w:tcPr>
            <w:tcW w:w="1820" w:type="dxa"/>
            <w:tcBorders>
              <w:left w:val="single" w:sz="8" w:space="0" w:color="231F20"/>
              <w:righ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7,900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99"/>
              <w:rPr>
                <w:sz w:val="18"/>
              </w:rPr>
            </w:pPr>
            <w:r>
              <w:rPr>
                <w:color w:val="231F20"/>
                <w:sz w:val="18"/>
              </w:rPr>
              <w:t>Southwest Airlines Pilots’ Association (“SWAPA”)</w:t>
            </w:r>
          </w:p>
        </w:tc>
        <w:tc>
          <w:tcPr>
            <w:tcW w:w="2855" w:type="dxa"/>
            <w:tcBorders>
              <w:left w:val="single" w:sz="8" w:space="0" w:color="231F20"/>
            </w:tcBorders>
            <w:shd w:val="clear" w:color="auto" w:fill="D1D3D4"/>
          </w:tcPr>
          <w:p>
            <w:pPr>
              <w:pStyle w:val="TableParagraph"/>
              <w:spacing w:before="1"/>
              <w:rPr>
                <w:sz w:val="20"/>
              </w:rPr>
            </w:pPr>
          </w:p>
          <w:p>
            <w:pPr>
              <w:pStyle w:val="TableParagraph"/>
              <w:spacing w:before="1"/>
              <w:ind w:left="70"/>
              <w:rPr>
                <w:sz w:val="18"/>
              </w:rPr>
            </w:pPr>
            <w:r>
              <w:rPr>
                <w:color w:val="231F20"/>
                <w:sz w:val="18"/>
              </w:rPr>
              <w:t>Amendable September 2020</w:t>
            </w:r>
          </w:p>
        </w:tc>
      </w:tr>
      <w:tr>
        <w:trPr>
          <w:trHeight w:val="660" w:hRule="exact"/>
        </w:trPr>
        <w:tc>
          <w:tcPr>
            <w:tcW w:w="2235" w:type="dxa"/>
            <w:tcBorders>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50"/>
              <w:rPr>
                <w:sz w:val="18"/>
              </w:rPr>
            </w:pPr>
            <w:r>
              <w:rPr>
                <w:color w:val="231F20"/>
                <w:sz w:val="18"/>
              </w:rPr>
              <w:t>Southwest Flight Attendants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13,800</w:t>
            </w:r>
          </w:p>
        </w:tc>
        <w:tc>
          <w:tcPr>
            <w:tcW w:w="2200" w:type="dxa"/>
            <w:tcBorders>
              <w:left w:val="single" w:sz="8" w:space="0" w:color="231F20"/>
              <w:right w:val="single" w:sz="8" w:space="0" w:color="231F20"/>
            </w:tcBorders>
          </w:tcPr>
          <w:p>
            <w:pPr>
              <w:pStyle w:val="TableParagraph"/>
              <w:spacing w:line="200" w:lineRule="exact" w:before="40"/>
              <w:ind w:left="70" w:right="188"/>
              <w:jc w:val="both"/>
              <w:rPr>
                <w:sz w:val="18"/>
              </w:rPr>
            </w:pPr>
            <w:r>
              <w:rPr>
                <w:color w:val="231F20"/>
                <w:sz w:val="18"/>
              </w:rPr>
              <w:t>Transportation Workers of America, AFL-CIO, Local 556 (“TWU 556”)</w:t>
            </w:r>
          </w:p>
        </w:tc>
        <w:tc>
          <w:tcPr>
            <w:tcW w:w="2855" w:type="dxa"/>
            <w:tcBorders>
              <w:lef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November 2018</w:t>
            </w:r>
          </w:p>
        </w:tc>
      </w:tr>
      <w:tr>
        <w:trPr>
          <w:trHeight w:val="660" w:hRule="exact"/>
        </w:trPr>
        <w:tc>
          <w:tcPr>
            <w:tcW w:w="2235" w:type="dxa"/>
            <w:tcBorders>
              <w:right w:val="single" w:sz="8" w:space="0" w:color="231F20"/>
            </w:tcBorders>
            <w:shd w:val="clear" w:color="auto" w:fill="D1D3D4"/>
          </w:tcPr>
          <w:p>
            <w:pPr>
              <w:pStyle w:val="TableParagraph"/>
              <w:spacing w:before="10"/>
              <w:rPr>
                <w:sz w:val="20"/>
              </w:rPr>
            </w:pPr>
          </w:p>
          <w:p>
            <w:pPr>
              <w:pStyle w:val="TableParagraph"/>
              <w:spacing w:line="200" w:lineRule="exact" w:before="0"/>
              <w:ind w:left="50"/>
              <w:rPr>
                <w:sz w:val="18"/>
              </w:rPr>
            </w:pPr>
            <w:r>
              <w:rPr>
                <w:color w:val="231F20"/>
                <w:sz w:val="18"/>
              </w:rPr>
              <w:t>Southwest Ramp, Operations, Provisioning, Freight Agents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12,000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88"/>
              <w:jc w:val="both"/>
              <w:rPr>
                <w:sz w:val="18"/>
              </w:rPr>
            </w:pPr>
            <w:r>
              <w:rPr>
                <w:color w:val="231F20"/>
                <w:sz w:val="18"/>
              </w:rPr>
              <w:t>Transportation Workers of America, AFL-CIO, Local 555 (“TWU 555”)</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February 2021</w:t>
            </w:r>
          </w:p>
        </w:tc>
      </w:tr>
      <w:tr>
        <w:trPr>
          <w:trHeight w:val="860" w:hRule="exact"/>
        </w:trPr>
        <w:tc>
          <w:tcPr>
            <w:tcW w:w="2235" w:type="dxa"/>
            <w:tcBorders>
              <w:right w:val="single" w:sz="8" w:space="0" w:color="231F20"/>
            </w:tcBorders>
          </w:tcPr>
          <w:p>
            <w:pPr>
              <w:pStyle w:val="TableParagraph"/>
              <w:spacing w:line="200" w:lineRule="exact" w:before="40"/>
              <w:ind w:left="50" w:right="70"/>
              <w:rPr>
                <w:sz w:val="18"/>
              </w:rPr>
            </w:pPr>
            <w:r>
              <w:rPr>
                <w:color w:val="231F20"/>
                <w:sz w:val="18"/>
              </w:rPr>
              <w:t>Southwest Customer Service Agents, Customer Representatives, and Source of Support Representatives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0"/>
              <w:rPr>
                <w:sz w:val="20"/>
              </w:rPr>
            </w:pPr>
          </w:p>
          <w:p>
            <w:pPr>
              <w:pStyle w:val="TableParagraph"/>
              <w:spacing w:before="172"/>
              <w:ind w:left="69"/>
              <w:rPr>
                <w:sz w:val="18"/>
              </w:rPr>
            </w:pPr>
            <w:r>
              <w:rPr>
                <w:color w:val="231F20"/>
                <w:sz w:val="18"/>
              </w:rPr>
              <w:t>7,400</w:t>
            </w:r>
          </w:p>
        </w:tc>
        <w:tc>
          <w:tcPr>
            <w:tcW w:w="2200" w:type="dxa"/>
            <w:tcBorders>
              <w:left w:val="single" w:sz="8" w:space="0" w:color="231F20"/>
              <w:right w:val="single" w:sz="8" w:space="0" w:color="231F20"/>
            </w:tcBorders>
          </w:tcPr>
          <w:p>
            <w:pPr>
              <w:pStyle w:val="TableParagraph"/>
              <w:spacing w:line="200" w:lineRule="exact" w:before="40"/>
              <w:ind w:left="70" w:right="80"/>
              <w:rPr>
                <w:sz w:val="18"/>
              </w:rPr>
            </w:pPr>
            <w:r>
              <w:rPr>
                <w:color w:val="231F20"/>
                <w:sz w:val="18"/>
              </w:rPr>
              <w:t>International Association of Machinists and Aerospace Workers, AFL-CIO (“IAM 142”)</w:t>
            </w:r>
          </w:p>
        </w:tc>
        <w:tc>
          <w:tcPr>
            <w:tcW w:w="2855" w:type="dxa"/>
            <w:tcBorders>
              <w:left w:val="single" w:sz="8" w:space="0" w:color="231F20"/>
            </w:tcBorders>
          </w:tcPr>
          <w:p>
            <w:pPr>
              <w:pStyle w:val="TableParagraph"/>
              <w:spacing w:before="0"/>
              <w:rPr>
                <w:sz w:val="20"/>
              </w:rPr>
            </w:pPr>
          </w:p>
          <w:p>
            <w:pPr>
              <w:pStyle w:val="TableParagraph"/>
              <w:spacing w:before="0"/>
              <w:rPr>
                <w:sz w:val="20"/>
              </w:rPr>
            </w:pPr>
          </w:p>
          <w:p>
            <w:pPr>
              <w:pStyle w:val="TableParagraph"/>
              <w:spacing w:before="172"/>
              <w:ind w:left="70"/>
              <w:rPr>
                <w:sz w:val="18"/>
              </w:rPr>
            </w:pPr>
            <w:r>
              <w:rPr>
                <w:color w:val="231F20"/>
                <w:sz w:val="18"/>
              </w:rPr>
              <w:t>Amendable December 2018</w:t>
            </w:r>
          </w:p>
        </w:tc>
      </w:tr>
      <w:tr>
        <w:trPr>
          <w:trHeight w:val="660" w:hRule="exact"/>
        </w:trPr>
        <w:tc>
          <w:tcPr>
            <w:tcW w:w="2235" w:type="dxa"/>
            <w:tcBorders>
              <w:right w:val="single" w:sz="8" w:space="0" w:color="231F20"/>
            </w:tcBorders>
            <w:shd w:val="clear" w:color="auto" w:fill="D1D3D4"/>
          </w:tcPr>
          <w:p>
            <w:pPr>
              <w:pStyle w:val="TableParagraph"/>
              <w:spacing w:line="200" w:lineRule="exact" w:before="40"/>
              <w:ind w:left="50" w:right="110"/>
              <w:rPr>
                <w:sz w:val="18"/>
              </w:rPr>
            </w:pPr>
            <w:r>
              <w:rPr>
                <w:color w:val="231F20"/>
                <w:sz w:val="18"/>
              </w:rPr>
              <w:t>Southwest Material Specialists (formerly known as Stock Clerks)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300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215"/>
              <w:rPr>
                <w:sz w:val="18"/>
              </w:rPr>
            </w:pPr>
            <w:r>
              <w:rPr>
                <w:color w:val="231F20"/>
                <w:sz w:val="18"/>
              </w:rPr>
              <w:t>International Brotherhood of Teamsters, Local 19 (“IBT 19”)</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70"/>
              <w:rPr>
                <w:sz w:val="18"/>
              </w:rPr>
            </w:pPr>
            <w:r>
              <w:rPr>
                <w:color w:val="231F20"/>
                <w:sz w:val="18"/>
              </w:rPr>
              <w:t>In negotiations</w:t>
            </w:r>
          </w:p>
        </w:tc>
      </w:tr>
      <w:tr>
        <w:trPr>
          <w:trHeight w:val="660" w:hRule="exact"/>
        </w:trPr>
        <w:tc>
          <w:tcPr>
            <w:tcW w:w="2235" w:type="dxa"/>
            <w:tcBorders>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50"/>
              <w:rPr>
                <w:sz w:val="18"/>
              </w:rPr>
            </w:pPr>
            <w:r>
              <w:rPr>
                <w:color w:val="231F20"/>
                <w:sz w:val="18"/>
              </w:rPr>
              <w:t>Southwest Mechanics</w:t>
            </w:r>
          </w:p>
        </w:tc>
        <w:tc>
          <w:tcPr>
            <w:tcW w:w="1820" w:type="dxa"/>
            <w:tcBorders>
              <w:left w:val="single" w:sz="8" w:space="0" w:color="231F20"/>
              <w:righ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2,400</w:t>
            </w:r>
          </w:p>
        </w:tc>
        <w:tc>
          <w:tcPr>
            <w:tcW w:w="2200" w:type="dxa"/>
            <w:tcBorders>
              <w:left w:val="single" w:sz="8" w:space="0" w:color="231F20"/>
              <w:right w:val="single" w:sz="8" w:space="0" w:color="231F20"/>
            </w:tcBorders>
          </w:tcPr>
          <w:p>
            <w:pPr>
              <w:pStyle w:val="TableParagraph"/>
              <w:spacing w:line="200" w:lineRule="exact" w:before="40"/>
              <w:ind w:left="70" w:right="545"/>
              <w:rPr>
                <w:sz w:val="18"/>
              </w:rPr>
            </w:pPr>
            <w:r>
              <w:rPr>
                <w:color w:val="231F20"/>
                <w:sz w:val="18"/>
              </w:rPr>
              <w:t>Aircraft Mechanics Fraternal Association (“AMFA”)</w:t>
            </w:r>
          </w:p>
        </w:tc>
        <w:tc>
          <w:tcPr>
            <w:tcW w:w="2855" w:type="dxa"/>
            <w:tcBorders>
              <w:left w:val="single" w:sz="8" w:space="0" w:color="231F20"/>
            </w:tcBorders>
          </w:tcPr>
          <w:p>
            <w:pPr>
              <w:pStyle w:val="TableParagraph"/>
              <w:spacing w:before="0"/>
              <w:rPr>
                <w:sz w:val="20"/>
              </w:rPr>
            </w:pPr>
          </w:p>
          <w:p>
            <w:pPr>
              <w:pStyle w:val="TableParagraph"/>
              <w:spacing w:before="6"/>
              <w:rPr>
                <w:sz w:val="17"/>
              </w:rPr>
            </w:pPr>
          </w:p>
          <w:p>
            <w:pPr>
              <w:pStyle w:val="TableParagraph"/>
              <w:spacing w:before="0"/>
              <w:ind w:left="70"/>
              <w:rPr>
                <w:sz w:val="18"/>
              </w:rPr>
            </w:pPr>
            <w:r>
              <w:rPr>
                <w:color w:val="231F20"/>
                <w:sz w:val="18"/>
              </w:rPr>
              <w:t>In negotiations</w:t>
            </w:r>
          </w:p>
        </w:tc>
      </w:tr>
      <w:tr>
        <w:trPr>
          <w:trHeight w:val="460" w:hRule="exact"/>
        </w:trPr>
        <w:tc>
          <w:tcPr>
            <w:tcW w:w="2235" w:type="dxa"/>
            <w:tcBorders>
              <w:right w:val="single" w:sz="8" w:space="0" w:color="231F20"/>
            </w:tcBorders>
            <w:shd w:val="clear" w:color="auto" w:fill="D1D3D4"/>
          </w:tcPr>
          <w:p>
            <w:pPr>
              <w:pStyle w:val="TableParagraph"/>
              <w:spacing w:line="200" w:lineRule="exact" w:before="40"/>
              <w:ind w:left="50" w:right="376"/>
              <w:rPr>
                <w:sz w:val="18"/>
              </w:rPr>
            </w:pPr>
            <w:r>
              <w:rPr>
                <w:color w:val="231F20"/>
                <w:sz w:val="18"/>
              </w:rPr>
              <w:t>Southwest Aircraft Appearance Technicians</w:t>
            </w:r>
          </w:p>
        </w:tc>
        <w:tc>
          <w:tcPr>
            <w:tcW w:w="1820" w:type="dxa"/>
            <w:tcBorders>
              <w:left w:val="single" w:sz="8" w:space="0" w:color="231F20"/>
              <w:righ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200</w:t>
            </w:r>
          </w:p>
        </w:tc>
        <w:tc>
          <w:tcPr>
            <w:tcW w:w="2200" w:type="dxa"/>
            <w:tcBorders>
              <w:left w:val="single" w:sz="8" w:space="0" w:color="231F20"/>
              <w:righ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AMFA</w:t>
            </w:r>
          </w:p>
        </w:tc>
        <w:tc>
          <w:tcPr>
            <w:tcW w:w="2855" w:type="dxa"/>
            <w:tcBorders>
              <w:left w:val="single" w:sz="8" w:space="0" w:color="231F20"/>
            </w:tcBorders>
            <w:shd w:val="clear" w:color="auto" w:fill="D1D3D4"/>
          </w:tcPr>
          <w:p>
            <w:pPr>
              <w:pStyle w:val="TableParagraph"/>
              <w:spacing w:before="1"/>
              <w:rPr>
                <w:sz w:val="20"/>
              </w:rPr>
            </w:pPr>
          </w:p>
          <w:p>
            <w:pPr>
              <w:pStyle w:val="TableParagraph"/>
              <w:spacing w:before="1"/>
              <w:ind w:left="69"/>
              <w:rPr>
                <w:sz w:val="18"/>
              </w:rPr>
            </w:pPr>
            <w:r>
              <w:rPr>
                <w:color w:val="231F20"/>
                <w:sz w:val="18"/>
              </w:rPr>
              <w:t>Amendable November 2020</w:t>
            </w:r>
          </w:p>
        </w:tc>
      </w:tr>
      <w:tr>
        <w:trPr>
          <w:trHeight w:val="460" w:hRule="exact"/>
        </w:trPr>
        <w:tc>
          <w:tcPr>
            <w:tcW w:w="2235" w:type="dxa"/>
            <w:tcBorders>
              <w:right w:val="single" w:sz="8" w:space="0" w:color="231F20"/>
            </w:tcBorders>
          </w:tcPr>
          <w:p>
            <w:pPr>
              <w:pStyle w:val="TableParagraph"/>
              <w:spacing w:line="200" w:lineRule="exact" w:before="40"/>
              <w:ind w:left="50" w:right="305"/>
              <w:rPr>
                <w:sz w:val="18"/>
              </w:rPr>
            </w:pPr>
            <w:r>
              <w:rPr>
                <w:color w:val="231F20"/>
                <w:sz w:val="18"/>
              </w:rPr>
              <w:t>Southwest Facilities Maintenance Technicians</w:t>
            </w:r>
          </w:p>
        </w:tc>
        <w:tc>
          <w:tcPr>
            <w:tcW w:w="1820" w:type="dxa"/>
            <w:tcBorders>
              <w:left w:val="single" w:sz="8" w:space="0" w:color="231F20"/>
              <w:right w:val="single" w:sz="8" w:space="0" w:color="231F20"/>
            </w:tcBorders>
          </w:tcPr>
          <w:p>
            <w:pPr>
              <w:pStyle w:val="TableParagraph"/>
              <w:spacing w:before="1"/>
              <w:rPr>
                <w:sz w:val="20"/>
              </w:rPr>
            </w:pPr>
          </w:p>
          <w:p>
            <w:pPr>
              <w:pStyle w:val="TableParagraph"/>
              <w:spacing w:before="1"/>
              <w:ind w:left="69"/>
              <w:rPr>
                <w:sz w:val="18"/>
              </w:rPr>
            </w:pPr>
            <w:r>
              <w:rPr>
                <w:color w:val="231F20"/>
                <w:sz w:val="18"/>
              </w:rPr>
              <w:t>40</w:t>
            </w:r>
          </w:p>
        </w:tc>
        <w:tc>
          <w:tcPr>
            <w:tcW w:w="2200" w:type="dxa"/>
            <w:tcBorders>
              <w:left w:val="single" w:sz="8" w:space="0" w:color="231F20"/>
              <w:right w:val="single" w:sz="8" w:space="0" w:color="231F20"/>
            </w:tcBorders>
          </w:tcPr>
          <w:p>
            <w:pPr>
              <w:pStyle w:val="TableParagraph"/>
              <w:spacing w:before="1"/>
              <w:rPr>
                <w:sz w:val="20"/>
              </w:rPr>
            </w:pPr>
          </w:p>
          <w:p>
            <w:pPr>
              <w:pStyle w:val="TableParagraph"/>
              <w:spacing w:before="1"/>
              <w:ind w:left="69"/>
              <w:rPr>
                <w:sz w:val="18"/>
              </w:rPr>
            </w:pPr>
            <w:r>
              <w:rPr>
                <w:color w:val="231F20"/>
                <w:sz w:val="18"/>
              </w:rPr>
              <w:t>AMFA</w:t>
            </w:r>
          </w:p>
        </w:tc>
        <w:tc>
          <w:tcPr>
            <w:tcW w:w="2855" w:type="dxa"/>
            <w:tcBorders>
              <w:left w:val="single" w:sz="8" w:space="0" w:color="231F20"/>
            </w:tcBorders>
          </w:tcPr>
          <w:p>
            <w:pPr>
              <w:pStyle w:val="TableParagraph"/>
              <w:spacing w:before="1"/>
              <w:rPr>
                <w:sz w:val="20"/>
              </w:rPr>
            </w:pPr>
          </w:p>
          <w:p>
            <w:pPr>
              <w:pStyle w:val="TableParagraph"/>
              <w:spacing w:before="1"/>
              <w:ind w:left="69"/>
              <w:rPr>
                <w:sz w:val="18"/>
              </w:rPr>
            </w:pPr>
            <w:r>
              <w:rPr>
                <w:color w:val="231F20"/>
                <w:sz w:val="18"/>
              </w:rPr>
              <w:t>In negotiations</w:t>
            </w:r>
          </w:p>
        </w:tc>
      </w:tr>
      <w:tr>
        <w:trPr>
          <w:trHeight w:val="660" w:hRule="exact"/>
        </w:trPr>
        <w:tc>
          <w:tcPr>
            <w:tcW w:w="2235" w:type="dxa"/>
            <w:tcBorders>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50"/>
              <w:rPr>
                <w:sz w:val="18"/>
              </w:rPr>
            </w:pPr>
            <w:r>
              <w:rPr>
                <w:color w:val="231F20"/>
                <w:sz w:val="18"/>
              </w:rPr>
              <w:t>Southwest Dispatchers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340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88"/>
              <w:jc w:val="both"/>
              <w:rPr>
                <w:sz w:val="18"/>
              </w:rPr>
            </w:pPr>
            <w:r>
              <w:rPr>
                <w:color w:val="231F20"/>
                <w:sz w:val="18"/>
              </w:rPr>
              <w:t>Transportation Workers of America, AFL-CIO, Local 550 (“TWU 550”)</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June 2019</w:t>
            </w:r>
          </w:p>
        </w:tc>
      </w:tr>
      <w:tr>
        <w:trPr>
          <w:trHeight w:val="460" w:hRule="exact"/>
        </w:trPr>
        <w:tc>
          <w:tcPr>
            <w:tcW w:w="2235" w:type="dxa"/>
            <w:tcBorders>
              <w:right w:val="single" w:sz="8" w:space="0" w:color="231F20"/>
            </w:tcBorders>
          </w:tcPr>
          <w:p>
            <w:pPr>
              <w:pStyle w:val="TableParagraph"/>
              <w:spacing w:line="200" w:lineRule="exact" w:before="40"/>
              <w:ind w:left="50" w:right="169"/>
              <w:rPr>
                <w:sz w:val="18"/>
              </w:rPr>
            </w:pPr>
            <w:r>
              <w:rPr>
                <w:color w:val="231F20"/>
                <w:sz w:val="18"/>
              </w:rPr>
              <w:t>Southwest Flight Simulator Technicians</w:t>
            </w:r>
          </w:p>
        </w:tc>
        <w:tc>
          <w:tcPr>
            <w:tcW w:w="1820" w:type="dxa"/>
            <w:tcBorders>
              <w:left w:val="single" w:sz="8" w:space="0" w:color="231F20"/>
              <w:right w:val="single" w:sz="8" w:space="0" w:color="231F20"/>
            </w:tcBorders>
          </w:tcPr>
          <w:p>
            <w:pPr>
              <w:pStyle w:val="TableParagraph"/>
              <w:spacing w:before="1"/>
              <w:rPr>
                <w:sz w:val="20"/>
              </w:rPr>
            </w:pPr>
          </w:p>
          <w:p>
            <w:pPr>
              <w:pStyle w:val="TableParagraph"/>
              <w:spacing w:before="1"/>
              <w:ind w:left="69"/>
              <w:rPr>
                <w:sz w:val="18"/>
              </w:rPr>
            </w:pPr>
            <w:r>
              <w:rPr>
                <w:color w:val="231F20"/>
                <w:sz w:val="18"/>
              </w:rPr>
              <w:t>40</w:t>
            </w:r>
          </w:p>
        </w:tc>
        <w:tc>
          <w:tcPr>
            <w:tcW w:w="2200" w:type="dxa"/>
            <w:tcBorders>
              <w:left w:val="single" w:sz="8" w:space="0" w:color="231F20"/>
              <w:right w:val="single" w:sz="8" w:space="0" w:color="231F20"/>
            </w:tcBorders>
          </w:tcPr>
          <w:p>
            <w:pPr>
              <w:pStyle w:val="TableParagraph"/>
              <w:spacing w:line="200" w:lineRule="exact" w:before="40"/>
              <w:ind w:left="70" w:right="215"/>
              <w:rPr>
                <w:sz w:val="18"/>
              </w:rPr>
            </w:pPr>
            <w:r>
              <w:rPr>
                <w:color w:val="231F20"/>
                <w:sz w:val="18"/>
              </w:rPr>
              <w:t>International Brotherhood of Teamsters (“IBT”)</w:t>
            </w:r>
          </w:p>
        </w:tc>
        <w:tc>
          <w:tcPr>
            <w:tcW w:w="2855" w:type="dxa"/>
            <w:tcBorders>
              <w:left w:val="single" w:sz="8" w:space="0" w:color="231F20"/>
            </w:tcBorders>
          </w:tcPr>
          <w:p>
            <w:pPr>
              <w:pStyle w:val="TableParagraph"/>
              <w:spacing w:before="1"/>
              <w:rPr>
                <w:sz w:val="20"/>
              </w:rPr>
            </w:pPr>
          </w:p>
          <w:p>
            <w:pPr>
              <w:pStyle w:val="TableParagraph"/>
              <w:spacing w:before="1"/>
              <w:ind w:left="70"/>
              <w:rPr>
                <w:sz w:val="18"/>
              </w:rPr>
            </w:pPr>
            <w:r>
              <w:rPr>
                <w:color w:val="231F20"/>
                <w:sz w:val="18"/>
              </w:rPr>
              <w:t>Amendable April 2019</w:t>
            </w:r>
          </w:p>
        </w:tc>
      </w:tr>
      <w:tr>
        <w:trPr>
          <w:trHeight w:val="660" w:hRule="exact"/>
        </w:trPr>
        <w:tc>
          <w:tcPr>
            <w:tcW w:w="2235" w:type="dxa"/>
            <w:tcBorders>
              <w:right w:val="single" w:sz="8" w:space="0" w:color="231F20"/>
            </w:tcBorders>
            <w:shd w:val="clear" w:color="auto" w:fill="D1D3D4"/>
          </w:tcPr>
          <w:p>
            <w:pPr>
              <w:pStyle w:val="TableParagraph"/>
              <w:spacing w:before="10"/>
              <w:rPr>
                <w:sz w:val="20"/>
              </w:rPr>
            </w:pPr>
          </w:p>
          <w:p>
            <w:pPr>
              <w:pStyle w:val="TableParagraph"/>
              <w:spacing w:line="200" w:lineRule="exact" w:before="0"/>
              <w:ind w:left="50" w:right="489"/>
              <w:rPr>
                <w:sz w:val="18"/>
              </w:rPr>
            </w:pPr>
            <w:r>
              <w:rPr>
                <w:color w:val="231F20"/>
                <w:sz w:val="18"/>
              </w:rPr>
              <w:t>Southwest Flight Crew Training Instructors</w:t>
            </w:r>
          </w:p>
        </w:tc>
        <w:tc>
          <w:tcPr>
            <w:tcW w:w="1820" w:type="dxa"/>
            <w:tcBorders>
              <w:left w:val="single" w:sz="8" w:space="0" w:color="231F20"/>
              <w:righ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90</w:t>
            </w:r>
          </w:p>
        </w:tc>
        <w:tc>
          <w:tcPr>
            <w:tcW w:w="2200" w:type="dxa"/>
            <w:tcBorders>
              <w:left w:val="single" w:sz="8" w:space="0" w:color="231F20"/>
              <w:right w:val="single" w:sz="8" w:space="0" w:color="231F20"/>
            </w:tcBorders>
            <w:shd w:val="clear" w:color="auto" w:fill="D1D3D4"/>
          </w:tcPr>
          <w:p>
            <w:pPr>
              <w:pStyle w:val="TableParagraph"/>
              <w:spacing w:line="200" w:lineRule="exact" w:before="40"/>
              <w:ind w:left="70" w:right="188"/>
              <w:jc w:val="both"/>
              <w:rPr>
                <w:sz w:val="18"/>
              </w:rPr>
            </w:pPr>
            <w:r>
              <w:rPr>
                <w:color w:val="231F20"/>
                <w:sz w:val="18"/>
              </w:rPr>
              <w:t>Transportation Workers of America, AFL-CIO, Local 557 (“TWU 557”)</w:t>
            </w:r>
          </w:p>
        </w:tc>
        <w:tc>
          <w:tcPr>
            <w:tcW w:w="2855" w:type="dxa"/>
            <w:tcBorders>
              <w:left w:val="single" w:sz="8" w:space="0" w:color="231F20"/>
            </w:tcBorders>
            <w:shd w:val="clear" w:color="auto" w:fill="D1D3D4"/>
          </w:tcPr>
          <w:p>
            <w:pPr>
              <w:pStyle w:val="TableParagraph"/>
              <w:spacing w:before="0"/>
              <w:rPr>
                <w:sz w:val="20"/>
              </w:rPr>
            </w:pPr>
          </w:p>
          <w:p>
            <w:pPr>
              <w:pStyle w:val="TableParagraph"/>
              <w:spacing w:before="6"/>
              <w:rPr>
                <w:sz w:val="17"/>
              </w:rPr>
            </w:pPr>
          </w:p>
          <w:p>
            <w:pPr>
              <w:pStyle w:val="TableParagraph"/>
              <w:spacing w:before="0"/>
              <w:ind w:left="69"/>
              <w:rPr>
                <w:sz w:val="18"/>
              </w:rPr>
            </w:pPr>
            <w:r>
              <w:rPr>
                <w:color w:val="231F20"/>
                <w:sz w:val="18"/>
              </w:rPr>
              <w:t>Amendable December 2019</w:t>
            </w:r>
          </w:p>
        </w:tc>
      </w:tr>
      <w:tr>
        <w:trPr>
          <w:trHeight w:val="260" w:hRule="exact"/>
        </w:trPr>
        <w:tc>
          <w:tcPr>
            <w:tcW w:w="2235" w:type="dxa"/>
            <w:tcBorders>
              <w:right w:val="single" w:sz="8" w:space="0" w:color="231F20"/>
            </w:tcBorders>
          </w:tcPr>
          <w:p>
            <w:pPr>
              <w:pStyle w:val="TableParagraph"/>
              <w:spacing w:before="32"/>
              <w:ind w:left="50"/>
              <w:rPr>
                <w:sz w:val="18"/>
              </w:rPr>
            </w:pPr>
            <w:r>
              <w:rPr>
                <w:color w:val="231F20"/>
                <w:sz w:val="18"/>
              </w:rPr>
              <w:t>Southwest Meteorologists</w:t>
            </w:r>
          </w:p>
        </w:tc>
        <w:tc>
          <w:tcPr>
            <w:tcW w:w="1820" w:type="dxa"/>
            <w:tcBorders>
              <w:left w:val="single" w:sz="8" w:space="0" w:color="231F20"/>
              <w:right w:val="single" w:sz="8" w:space="0" w:color="231F20"/>
            </w:tcBorders>
          </w:tcPr>
          <w:p>
            <w:pPr>
              <w:pStyle w:val="TableParagraph"/>
              <w:spacing w:before="32"/>
              <w:ind w:left="69"/>
              <w:rPr>
                <w:sz w:val="18"/>
              </w:rPr>
            </w:pPr>
            <w:r>
              <w:rPr>
                <w:color w:val="231F20"/>
                <w:sz w:val="18"/>
              </w:rPr>
              <w:t>8</w:t>
            </w:r>
          </w:p>
        </w:tc>
        <w:tc>
          <w:tcPr>
            <w:tcW w:w="2200" w:type="dxa"/>
            <w:tcBorders>
              <w:left w:val="single" w:sz="8" w:space="0" w:color="231F20"/>
              <w:right w:val="single" w:sz="8" w:space="0" w:color="231F20"/>
            </w:tcBorders>
          </w:tcPr>
          <w:p>
            <w:pPr>
              <w:pStyle w:val="TableParagraph"/>
              <w:spacing w:before="32"/>
              <w:ind w:left="69"/>
              <w:rPr>
                <w:sz w:val="18"/>
              </w:rPr>
            </w:pPr>
            <w:r>
              <w:rPr>
                <w:color w:val="231F20"/>
                <w:sz w:val="18"/>
              </w:rPr>
              <w:t>TWU 550</w:t>
            </w:r>
          </w:p>
        </w:tc>
        <w:tc>
          <w:tcPr>
            <w:tcW w:w="2855" w:type="dxa"/>
            <w:tcBorders>
              <w:left w:val="single" w:sz="8" w:space="0" w:color="231F20"/>
            </w:tcBorders>
          </w:tcPr>
          <w:p>
            <w:pPr>
              <w:pStyle w:val="TableParagraph"/>
              <w:spacing w:before="32"/>
              <w:ind w:left="69"/>
              <w:rPr>
                <w:sz w:val="18"/>
              </w:rPr>
            </w:pPr>
            <w:r>
              <w:rPr>
                <w:color w:val="231F20"/>
                <w:sz w:val="18"/>
              </w:rPr>
              <w:t>Amendable June 2019</w:t>
            </w:r>
          </w:p>
        </w:tc>
      </w:tr>
    </w:tbl>
    <w:p>
      <w:pPr>
        <w:pStyle w:val="BodyText"/>
        <w:rPr>
          <w:sz w:val="25"/>
        </w:rPr>
      </w:pPr>
    </w:p>
    <w:p>
      <w:pPr>
        <w:pStyle w:val="Heading1"/>
      </w:pPr>
      <w:r>
        <w:rPr>
          <w:color w:val="231F20"/>
        </w:rPr>
        <w:t>Additional Information About the Company</w:t>
      </w:r>
    </w:p>
    <w:p>
      <w:pPr>
        <w:pStyle w:val="BodyText"/>
        <w:spacing w:before="9"/>
        <w:rPr>
          <w:b/>
          <w:sz w:val="20"/>
        </w:rPr>
      </w:pPr>
    </w:p>
    <w:p>
      <w:pPr>
        <w:pStyle w:val="BodyText"/>
        <w:spacing w:line="247" w:lineRule="auto" w:before="1"/>
        <w:ind w:left="100" w:right="117"/>
        <w:jc w:val="both"/>
      </w:pPr>
      <w:r>
        <w:rPr>
          <w:color w:val="231F20"/>
        </w:rPr>
        <w:t>The Company was incorporated in Texas in 1967. The following documents are available free of charge through the Company’s website, </w:t>
      </w:r>
      <w:hyperlink r:id="rId17">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 In addition to its reports filed or furnished with the SEC, the Company publicly discloses material information from time to time in its press releases, at annual meetings of Shareholders, in publicly accessible conferences and Investor presentations, and through  its website (principally in its Press Room and Investor Relations pages). References to the Company’s website in this Form 10-K are provided as a convenience and do not constitute, and should not be deemed, an incorporation by reference of the information contained on, or available through, the website, and such information should not be considered part of this Form</w:t>
      </w:r>
      <w:r>
        <w:rPr>
          <w:color w:val="231F20"/>
          <w:spacing w:val="-5"/>
        </w:rPr>
        <w:t> </w:t>
      </w:r>
      <w:r>
        <w:rPr>
          <w:color w:val="231F20"/>
        </w:rPr>
        <w:t>10-K.</w:t>
      </w:r>
    </w:p>
    <w:p>
      <w:pPr>
        <w:spacing w:after="0" w:line="247" w:lineRule="auto"/>
        <w:jc w:val="both"/>
        <w:sectPr>
          <w:pgSz w:w="11880" w:h="15480"/>
          <w:pgMar w:header="0" w:footer="1240" w:top="1240" w:bottom="1420" w:left="1280" w:right="1260"/>
        </w:sectPr>
      </w:pPr>
    </w:p>
    <w:p>
      <w:pPr>
        <w:pStyle w:val="Heading1"/>
        <w:spacing w:before="74"/>
        <w:ind w:left="1221"/>
        <w:jc w:val="left"/>
      </w:pPr>
      <w:bookmarkStart w:name="Item 1A. Risk Factors " w:id="7"/>
      <w:bookmarkEnd w:id="7"/>
      <w:r>
        <w:rPr>
          <w:b w:val="0"/>
        </w:rPr>
      </w:r>
      <w:r>
        <w:rPr>
          <w:color w:val="231F20"/>
        </w:rPr>
        <w:t>DISCLOSURE REGARDING FORWARD-LOOKING INFORMATION</w:t>
      </w:r>
    </w:p>
    <w:p>
      <w:pPr>
        <w:pStyle w:val="BodyText"/>
        <w:spacing w:before="4"/>
        <w:rPr>
          <w:b/>
          <w:sz w:val="21"/>
        </w:rPr>
      </w:pPr>
    </w:p>
    <w:p>
      <w:pPr>
        <w:pStyle w:val="BodyText"/>
        <w:spacing w:line="247" w:lineRule="auto" w:before="1"/>
        <w:ind w:left="119" w:right="117"/>
        <w:jc w:val="both"/>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 (ii) that the Company currently deems to be immaterial, or (iii) that could apply to any company, could also materially adversely affect the Company’s business, financial condition, or future</w:t>
      </w:r>
      <w:r>
        <w:rPr>
          <w:color w:val="231F20"/>
          <w:spacing w:val="-3"/>
        </w:rPr>
        <w:t> </w:t>
      </w:r>
      <w:r>
        <w:rPr>
          <w:color w:val="231F20"/>
        </w:rPr>
        <w:t>results.</w:t>
      </w:r>
    </w:p>
    <w:p>
      <w:pPr>
        <w:pStyle w:val="BodyText"/>
        <w:spacing w:before="9"/>
        <w:rPr>
          <w:sz w:val="20"/>
        </w:rPr>
      </w:pPr>
    </w:p>
    <w:p>
      <w:pPr>
        <w:pStyle w:val="BodyText"/>
        <w:spacing w:line="247" w:lineRule="auto"/>
        <w:ind w:left="119" w:right="118"/>
        <w:jc w:val="both"/>
      </w:pPr>
      <w:r>
        <w:rPr>
          <w:color w:val="231F20"/>
        </w:rPr>
        <w:t>Caution should be taken not to place undue reliance on the Company’s forward-looking statements, which represent the Company’s views only as of the date this Form 10-K is filed. The Company undertakes no obligation to update publicly or revise any forward-looking statement, whether as a  result of new information, future events, or</w:t>
      </w:r>
      <w:r>
        <w:rPr>
          <w:color w:val="231F20"/>
          <w:spacing w:val="-4"/>
        </w:rPr>
        <w:t> </w:t>
      </w:r>
      <w:r>
        <w:rPr>
          <w:color w:val="231F20"/>
        </w:rPr>
        <w:t>otherwise.</w:t>
      </w:r>
    </w:p>
    <w:p>
      <w:pPr>
        <w:pStyle w:val="BodyText"/>
        <w:spacing w:before="8"/>
        <w:rPr>
          <w:sz w:val="20"/>
        </w:rPr>
      </w:pPr>
    </w:p>
    <w:p>
      <w:pPr>
        <w:spacing w:before="1"/>
        <w:ind w:left="119" w:right="0" w:firstLine="0"/>
        <w:jc w:val="both"/>
        <w:rPr>
          <w:b/>
          <w:i/>
          <w:sz w:val="22"/>
        </w:rPr>
      </w:pPr>
      <w:r>
        <w:rPr>
          <w:b/>
          <w:color w:val="231F20"/>
          <w:sz w:val="22"/>
        </w:rPr>
        <w:t>Item 1A.        </w:t>
      </w:r>
      <w:r>
        <w:rPr>
          <w:b/>
          <w:i/>
          <w:color w:val="231F20"/>
          <w:sz w:val="22"/>
        </w:rPr>
        <w:t>Risk Factors</w:t>
      </w:r>
    </w:p>
    <w:p>
      <w:pPr>
        <w:pStyle w:val="BodyText"/>
        <w:spacing w:before="5"/>
        <w:rPr>
          <w:b/>
          <w:i/>
          <w:sz w:val="21"/>
        </w:rPr>
      </w:pPr>
    </w:p>
    <w:p>
      <w:pPr>
        <w:pStyle w:val="Heading2"/>
        <w:spacing w:line="247" w:lineRule="auto"/>
        <w:ind w:left="479" w:right="117"/>
        <w:jc w:val="both"/>
      </w:pPr>
      <w:r>
        <w:rPr>
          <w:i/>
          <w:color w:val="231F20"/>
        </w:rPr>
        <w:t>The airline industry is particularly sensitive to changes in economic conditions; in the event of </w:t>
      </w:r>
      <w:r>
        <w:rPr>
          <w:color w:val="231F20"/>
        </w:rPr>
        <w:t>unfavorable economic conditions or economic uncertainty, the Company’s results of operations could be negatively affected, which could require the Company to adjust its business strategies.</w:t>
      </w:r>
    </w:p>
    <w:p>
      <w:pPr>
        <w:pStyle w:val="BodyText"/>
        <w:spacing w:before="9"/>
        <w:rPr>
          <w:b/>
          <w:i/>
          <w:sz w:val="20"/>
        </w:rPr>
      </w:pPr>
    </w:p>
    <w:p>
      <w:pPr>
        <w:pStyle w:val="BodyText"/>
        <w:spacing w:line="247" w:lineRule="auto"/>
        <w:ind w:left="119" w:right="117"/>
        <w:jc w:val="both"/>
      </w:pPr>
      <w:r>
        <w:rPr>
          <w:color w:val="231F20"/>
        </w:rPr>
        <w:t>The airline industry, which is subject to relatively high fixed costs and highly variable and unpredictable demand, is particularly sensitive to changes in economic conditions. Historically, unfavorable U.S. economic conditions have driven changes in travel patterns and have resulted in reduced spending for both leisure and business travel. For some consumers, leisure travel is a discretionary expense, and short-haul travelers, in particular,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when low fares are often used to stimulate traffic, have also historically hampered the ability of airlines to raise fares to counteract any increases in fuel, labor, and other costs. Although the U.S. economy has experienced moderate economic growth over the course of the past several years, any continuing or future U.S. or global economic uncertainty could negatively affect the Company’s results of operations and could cause the Company to adjust its business strategies.</w:t>
      </w:r>
    </w:p>
    <w:p>
      <w:pPr>
        <w:spacing w:after="0" w:line="247" w:lineRule="auto"/>
        <w:jc w:val="both"/>
        <w:sectPr>
          <w:pgSz w:w="11880" w:h="15480"/>
          <w:pgMar w:header="0" w:footer="1240" w:top="1240" w:bottom="1420" w:left="1260" w:right="1260"/>
        </w:sectPr>
      </w:pPr>
    </w:p>
    <w:p>
      <w:pPr>
        <w:pStyle w:val="Heading2"/>
        <w:spacing w:line="247" w:lineRule="auto" w:before="74"/>
        <w:ind w:left="480" w:right="117"/>
        <w:jc w:val="both"/>
      </w:pPr>
      <w:r>
        <w:rPr>
          <w:i/>
          <w:color w:val="231F20"/>
        </w:rPr>
        <w:t>The Company’s business can be significantly impacted by high and/or volatile fuel prices, and </w:t>
      </w:r>
      <w:r>
        <w:rPr>
          <w:color w:val="231F20"/>
        </w:rPr>
        <w:t>the Company’s operations are subject to disruption in the event of any delayed supply of fuel; therefore, the Company’s strategic plans and future profitability are likely to be impacted by the Company’s ability to effectively address fuel price increases and fuel price volatility and availability.</w:t>
      </w:r>
    </w:p>
    <w:p>
      <w:pPr>
        <w:pStyle w:val="BodyText"/>
        <w:spacing w:line="247" w:lineRule="auto" w:before="206"/>
        <w:ind w:left="119" w:right="117"/>
        <w:jc w:val="both"/>
      </w:pPr>
      <w:r>
        <w:rPr>
          <w:color w:val="231F20"/>
        </w:rPr>
        <w:t>Airlines are inherently dependent upon energy to operate, and jet fuel and oil represented  approximately 22 percent of the Company’s operating expenses for 2016. Although 2016 fuel prices were lower than in 2015, as discussed above under “Business—Cost Structure,” the cost of fuel can be extremely volatile and unpredictable, and even a small change in market fuel prices can significantly affect profitability. Furthermore, volatility in fuel prices can be due to many external factors that are beyond the Company’s control. For example, fuel prices can be impacted by political and economic factors, such as (i) dependency on foreign imports of crude oil and the potential for hostilities or other conflicts in oil producing areas; (ii) limited domestic refining or pipeline capacity; (iii) worldwide demand  for  fuel,  particularly  in  developing  countries,  which  can  result  in  inflated  energy</w:t>
      </w:r>
      <w:r>
        <w:rPr>
          <w:color w:val="231F20"/>
          <w:spacing w:val="3"/>
        </w:rPr>
        <w:t> </w:t>
      </w:r>
      <w:r>
        <w:rPr>
          <w:color w:val="231F20"/>
        </w:rPr>
        <w:t>prices;</w:t>
      </w:r>
    </w:p>
    <w:p>
      <w:pPr>
        <w:pStyle w:val="BodyText"/>
        <w:spacing w:line="247" w:lineRule="auto"/>
        <w:ind w:left="119" w:right="117"/>
        <w:jc w:val="both"/>
      </w:pPr>
      <w:r>
        <w:rPr>
          <w:color w:val="231F20"/>
        </w:rPr>
        <w:t>(iv) changes in U.S. governmental policies on fuel production, transportation, taxes, and marketing;  and (v) changes in currency exchange rates.</w:t>
      </w:r>
    </w:p>
    <w:p>
      <w:pPr>
        <w:pStyle w:val="BodyText"/>
        <w:spacing w:line="247" w:lineRule="auto" w:before="207"/>
        <w:ind w:left="119" w:right="117"/>
        <w:jc w:val="both"/>
      </w:pPr>
      <w:r>
        <w:rPr>
          <w:color w:val="231F20"/>
        </w:rPr>
        <w:t>The Company’s ability to effectively address fuel price increases could be limited by factors such as its historical low-fare reputation, the portion of its Customer base that purchases travel for leisure purposes, the competitive nature of the airline industry generally, and the risk that higher fares will drive a decrease in demand. The Company attempts to manage its risk associated with volatile jet fuel prices by utilizing over-the-counter fuel derivative instruments to hedge a portion of its future jet fuel purchases. However, as evidenced by the extreme decline in jet fuel prices in late 2015, energy prices can fluctuate significantly in a relatively short amount of time. Because the Company uses a variety of different derivative instruments at different price points, the Company is subject to the risk that the fuel derivatives it uses will not provide adequate protection against significant increases in fuel prices and could in fact result in hedging losses, and the Company effectively paying higher than market prices  for fuel, thus creating additional volatility in the Company’s earnings. The Company is also subject to the risk that additional cash collateral may be required to be posted to fuel hedge counterparties, which could have a significant impact on the Company’s financial position and liquidity.</w:t>
      </w:r>
    </w:p>
    <w:p>
      <w:pPr>
        <w:pStyle w:val="BodyText"/>
        <w:spacing w:line="247" w:lineRule="auto" w:before="206"/>
        <w:ind w:left="119" w:right="117"/>
        <w:jc w:val="both"/>
      </w:pPr>
      <w:r>
        <w:rPr>
          <w:color w:val="231F20"/>
        </w:rPr>
        <w:t>In addition, the Company is subject to the risk that its fuel derivatives will not be effective or that they will no longer qualify for hedge accounting under applicable accounting standards, which can create additional earnings volatility. Adjustments in the Company’s overall fuel hedging strategy, as well as the ability of the commodities used in fuel hedging to qualify for special hedge accounting, are likely  to continue to affect the Company’s results of operations. In addition, there can be no assurance that  the Company will be able to cost-effectively hedge against increases in fuel</w:t>
      </w:r>
      <w:r>
        <w:rPr>
          <w:color w:val="231F20"/>
          <w:spacing w:val="-2"/>
        </w:rPr>
        <w:t> </w:t>
      </w:r>
      <w:r>
        <w:rPr>
          <w:color w:val="231F20"/>
        </w:rPr>
        <w:t>prices.</w:t>
      </w:r>
    </w:p>
    <w:p>
      <w:pPr>
        <w:pStyle w:val="BodyText"/>
        <w:spacing w:line="247" w:lineRule="auto" w:before="206"/>
        <w:ind w:left="119" w:right="118"/>
        <w:jc w:val="both"/>
      </w:pPr>
      <w:r>
        <w:rPr>
          <w:color w:val="231F20"/>
        </w:rPr>
        <w:t>The Company’s fuel hedging arrangements and the various potential impacts of hedge accounting on the Company’s financial position, cash flows, and results of operations are discussed in more detail under “Management’s Discussion and Analysis of Financial Condition and Results of Operations,” “Quantitative and Qualitative Disclosures About Market Risk,” and in Note 1 and Note 10 to the Consolidated Financial Statements.</w:t>
      </w:r>
    </w:p>
    <w:p>
      <w:pPr>
        <w:pStyle w:val="BodyText"/>
        <w:spacing w:line="247" w:lineRule="auto" w:before="206"/>
        <w:ind w:left="119" w:right="118"/>
        <w:jc w:val="both"/>
      </w:pPr>
      <w:r>
        <w:rPr>
          <w:color w:val="231F20"/>
        </w:rPr>
        <w:t>The Company is also reliant upon the readily available supply and timely delivery of jet fuel to the airports that it serves. A disruption in that supply could present significant challenges to the  Company’s operations and could ultimately cause the cancellation of flights and/or the inability of the Company to provide service to a particular</w:t>
      </w:r>
      <w:r>
        <w:rPr>
          <w:color w:val="231F20"/>
          <w:spacing w:val="-4"/>
        </w:rPr>
        <w:t> </w:t>
      </w:r>
      <w:r>
        <w:rPr>
          <w:color w:val="231F20"/>
        </w:rPr>
        <w:t>airport.</w:t>
      </w:r>
    </w:p>
    <w:p>
      <w:pPr>
        <w:spacing w:after="0" w:line="247" w:lineRule="auto"/>
        <w:jc w:val="both"/>
        <w:sectPr>
          <w:pgSz w:w="11880" w:h="15480"/>
          <w:pgMar w:header="0" w:footer="1240" w:top="1240" w:bottom="1420" w:left="1260" w:right="1260"/>
        </w:sectPr>
      </w:pPr>
    </w:p>
    <w:p>
      <w:pPr>
        <w:pStyle w:val="Heading2"/>
        <w:spacing w:line="247" w:lineRule="auto" w:before="74"/>
        <w:ind w:left="480" w:right="117"/>
        <w:jc w:val="both"/>
      </w:pPr>
      <w:r>
        <w:rPr>
          <w:i/>
          <w:color w:val="231F20"/>
        </w:rPr>
        <w:t>The Company’s low-cost structure has historically been one of its primary competitive </w:t>
      </w:r>
      <w:r>
        <w:rPr>
          <w:color w:val="231F20"/>
        </w:rPr>
        <w:t>advantages, and many factors have affected and could continue to affect the Company’s ability to control its</w:t>
      </w:r>
      <w:r>
        <w:rPr>
          <w:color w:val="231F20"/>
          <w:spacing w:val="-1"/>
        </w:rPr>
        <w:t> </w:t>
      </w:r>
      <w:r>
        <w:rPr>
          <w:color w:val="231F20"/>
        </w:rPr>
        <w:t>costs.</w:t>
      </w:r>
    </w:p>
    <w:p>
      <w:pPr>
        <w:pStyle w:val="BodyText"/>
        <w:spacing w:before="9"/>
        <w:rPr>
          <w:b/>
          <w:i/>
          <w:sz w:val="20"/>
        </w:rPr>
      </w:pPr>
    </w:p>
    <w:p>
      <w:pPr>
        <w:pStyle w:val="BodyText"/>
        <w:spacing w:line="247" w:lineRule="auto"/>
        <w:ind w:left="119" w:right="117"/>
        <w:jc w:val="both"/>
      </w:pPr>
      <w:r>
        <w:rPr>
          <w:color w:val="231F20"/>
        </w:rPr>
        <w:t>The Company’s low-cost structure has historically been one of its primary competitive advantages, as it has enabled it to offer low fares, drive traffic volume, and grow market share; however fuel and labor costs, as well as other costs such as regulatory compliance costs, can negatively affect the Company’s ability to control its costs. Furthermore, the Company has limited control over many of these</w:t>
      </w:r>
      <w:r>
        <w:rPr>
          <w:color w:val="231F20"/>
          <w:spacing w:val="-6"/>
        </w:rPr>
        <w:t> </w:t>
      </w:r>
      <w:r>
        <w:rPr>
          <w:color w:val="231F20"/>
        </w:rPr>
        <w:t>costs.</w:t>
      </w:r>
    </w:p>
    <w:p>
      <w:pPr>
        <w:pStyle w:val="BodyText"/>
        <w:spacing w:before="9"/>
        <w:rPr>
          <w:sz w:val="20"/>
        </w:rPr>
      </w:pPr>
    </w:p>
    <w:p>
      <w:pPr>
        <w:pStyle w:val="BodyText"/>
        <w:spacing w:line="247" w:lineRule="auto"/>
        <w:ind w:left="119" w:right="117"/>
        <w:jc w:val="both"/>
      </w:pPr>
      <w:r>
        <w:rPr>
          <w:color w:val="231F20"/>
        </w:rPr>
        <w:t>Jet fuel and oil constituted approximately 22 percent of the Company’s operating expenses during  2016, and the Company’s ability to control the cost of fuel is subject to the external factors discussed  in the second Risk Factor</w:t>
      </w:r>
      <w:r>
        <w:rPr>
          <w:color w:val="231F20"/>
          <w:spacing w:val="-1"/>
        </w:rPr>
        <w:t> </w:t>
      </w:r>
      <w:r>
        <w:rPr>
          <w:color w:val="231F20"/>
        </w:rPr>
        <w:t>above.</w:t>
      </w:r>
    </w:p>
    <w:p>
      <w:pPr>
        <w:pStyle w:val="BodyText"/>
        <w:spacing w:before="9"/>
        <w:rPr>
          <w:sz w:val="20"/>
        </w:rPr>
      </w:pPr>
    </w:p>
    <w:p>
      <w:pPr>
        <w:pStyle w:val="BodyText"/>
        <w:spacing w:line="247" w:lineRule="auto"/>
        <w:ind w:left="119" w:right="117"/>
        <w:jc w:val="both"/>
      </w:pPr>
      <w:r>
        <w:rPr>
          <w:color w:val="231F20"/>
        </w:rPr>
        <w:t>Salaries, wages, and benefits constituted approximately 41 percent of the Company’s operating expenses during 2016. The Company’s ability to control labor costs is limited by the terms of its collective-bargaining agreements, and increased labor costs have negatively impacted the Company’s low-cost competitive position. As discussed further under “Management’s Discussion and Analysis of Financial Condition and Results of Operations,” the Company’s unionized workforce, which makes up approximately 83% of its Employees, has had pay scale increases as a result of contractual rate increases. Additionally, the majority of Southwest’s unionized Employees, including its Pilots; Flight Attendants; Ramp, Operations, Provisioning, and Freight Agents; Aircraft Appearance Technicians; and Flight Crew Training Instructors, have ratified new collective-bargaining agreements during 2016, which have put pressure on the Company’s low-cost structure. Furthermore, as indicated above under “Business - Employees,” other Southwest unionized Employees, including its Mechanics; Material Specialists; and Facilities Maintenance Technicians, are in unions currently in negotiations for labor agreements, which could result in additional pressure on the Company’s low-cost structure.</w:t>
      </w:r>
    </w:p>
    <w:p>
      <w:pPr>
        <w:pStyle w:val="BodyText"/>
        <w:spacing w:before="9"/>
        <w:rPr>
          <w:sz w:val="20"/>
        </w:rPr>
      </w:pPr>
    </w:p>
    <w:p>
      <w:pPr>
        <w:pStyle w:val="BodyText"/>
        <w:spacing w:line="247" w:lineRule="auto"/>
        <w:ind w:left="119" w:right="117"/>
        <w:jc w:val="both"/>
      </w:pPr>
      <w:r>
        <w:rPr>
          <w:color w:val="231F20"/>
        </w:rPr>
        <w:t>As discussed above under “Business - Regulation,” the airline industry is heavily regulated, and the Company’s regulatory compliance costs are subject to potentially significant increases from time to time based on actions by regulatory agencies that are out of the Company’s control. Additionally, the Company cannot control decisions by other airlines to reduce their capacity. When this occurs, airport costs are allocated among a fewer number of total flights, which can result in increased landing fees and other costs for the Company. The Company is also reliant upon third party vendors and service providers, and its low-cost advantage is also dependent in part on its ability to obtain and maintain commercially reasonable terms with those parties.</w:t>
      </w:r>
    </w:p>
    <w:p>
      <w:pPr>
        <w:pStyle w:val="BodyText"/>
        <w:spacing w:before="9"/>
        <w:rPr>
          <w:sz w:val="20"/>
        </w:rPr>
      </w:pPr>
    </w:p>
    <w:p>
      <w:pPr>
        <w:pStyle w:val="BodyText"/>
        <w:spacing w:line="247" w:lineRule="auto"/>
        <w:ind w:left="119" w:right="117"/>
        <w:jc w:val="both"/>
      </w:pPr>
      <w:r>
        <w:rPr>
          <w:color w:val="231F20"/>
        </w:rPr>
        <w:t>As discussed above under “Business - Insurance,” the Company carries insurance of types customary  in the airline industry. Although the Company has been able to purchase war-risk (terrorism) insurance via the commercial insurance marketplace, available commercial insurance could be more expensive in the future and/or have material differences in coverage than insurance that has historically been provided and may not be adequate to protect against the Company’s risk of loss from future acts of terrorism. In addition, an accident or other incident involving Southwest aircraft could result in costs in excess of its related insurance coverage, which costs could be substantial. Any aircraft accident or other incident, even if fully insured, could also have a material adverse effect on the public’s  perception of the</w:t>
      </w:r>
      <w:r>
        <w:rPr>
          <w:color w:val="231F20"/>
          <w:spacing w:val="-1"/>
        </w:rPr>
        <w:t> </w:t>
      </w:r>
      <w:r>
        <w:rPr>
          <w:color w:val="231F20"/>
        </w:rPr>
        <w:t>Company.</w:t>
      </w:r>
    </w:p>
    <w:p>
      <w:pPr>
        <w:pStyle w:val="BodyText"/>
        <w:spacing w:before="9"/>
        <w:rPr>
          <w:sz w:val="20"/>
        </w:rPr>
      </w:pPr>
    </w:p>
    <w:p>
      <w:pPr>
        <w:pStyle w:val="BodyText"/>
        <w:spacing w:line="247" w:lineRule="auto"/>
        <w:ind w:left="119" w:right="118"/>
        <w:jc w:val="both"/>
      </w:pPr>
      <w:r>
        <w:rPr>
          <w:color w:val="231F20"/>
        </w:rPr>
        <w:t>The Company cannot guarantee it will be able to maintain or improve upon its current level of low-cost advantage over many of its airline competitors. Some so called “ultra low-cost carriers” have surpassed</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the Company’s cost advantage while continuing to add aircraft, expand their networks, and add competition to the Company’s routes. When competitors grow their fleets and expand their networks, they are potentially able to better control costs per available seat mile. In addition, like Southwest, some competitors have plans to add a significant number of new aircraft to their fleets, which could potentially decrease their operating costs through better fuel efficiencies and lower maintenance costs. Furthermore, some of the Company’s competitors have taken advantage of reorganization in bankruptcy, and even the threat of bankruptcy, not only to lower employee pay scales, but also to decrease operating costs through renegotiated supply and financing agreements. In addition, some airlines have consolidated and reported significant cost</w:t>
      </w:r>
      <w:r>
        <w:rPr>
          <w:color w:val="231F20"/>
          <w:spacing w:val="-1"/>
        </w:rPr>
        <w:t> </w:t>
      </w:r>
      <w:r>
        <w:rPr>
          <w:color w:val="231F20"/>
        </w:rPr>
        <w:t>synergies.</w:t>
      </w:r>
    </w:p>
    <w:p>
      <w:pPr>
        <w:pStyle w:val="BodyText"/>
        <w:spacing w:before="9"/>
        <w:rPr>
          <w:sz w:val="20"/>
        </w:rPr>
      </w:pPr>
    </w:p>
    <w:p>
      <w:pPr>
        <w:pStyle w:val="Heading2"/>
        <w:spacing w:line="247" w:lineRule="auto"/>
        <w:ind w:right="117"/>
        <w:jc w:val="both"/>
      </w:pPr>
      <w:r>
        <w:rPr>
          <w:i/>
          <w:color w:val="231F20"/>
        </w:rPr>
        <w:t>The Company is increasingly dependent on technology to operate its business and continues to </w:t>
      </w:r>
      <w:r>
        <w:rPr>
          <w:color w:val="231F20"/>
        </w:rPr>
        <w:t>implement substantial changes to its information systems; any failure, disruption, or breach in the Company’s information systems could materially adversely affect its operations.</w:t>
      </w:r>
    </w:p>
    <w:p>
      <w:pPr>
        <w:pStyle w:val="BodyText"/>
        <w:spacing w:before="9"/>
        <w:rPr>
          <w:b/>
          <w:i/>
          <w:sz w:val="20"/>
        </w:rPr>
      </w:pPr>
    </w:p>
    <w:p>
      <w:pPr>
        <w:pStyle w:val="BodyText"/>
        <w:spacing w:line="247" w:lineRule="auto"/>
        <w:ind w:left="100" w:right="118"/>
        <w:jc w:val="both"/>
      </w:pPr>
      <w:r>
        <w:rPr>
          <w:color w:val="231F20"/>
        </w:rPr>
        <w:t>The Company is increasingly dependent on the use of complex technology and systems to run its ongoing operations, and the Company continues to implement technology initiatives to support its ongoing operations and strategies.</w:t>
      </w:r>
    </w:p>
    <w:p>
      <w:pPr>
        <w:pStyle w:val="BodyText"/>
        <w:spacing w:before="9"/>
        <w:rPr>
          <w:sz w:val="20"/>
        </w:rPr>
      </w:pPr>
    </w:p>
    <w:p>
      <w:pPr>
        <w:pStyle w:val="BodyText"/>
        <w:spacing w:line="247" w:lineRule="auto"/>
        <w:ind w:left="100" w:right="117"/>
        <w:jc w:val="both"/>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and/or could negatively impact the Company’s results of operations. The Company is also reliant upon third party performance for timely and effective completion of many of its technology</w:t>
      </w:r>
      <w:r>
        <w:rPr>
          <w:color w:val="231F20"/>
          <w:spacing w:val="-1"/>
        </w:rPr>
        <w:t> </w:t>
      </w:r>
      <w:r>
        <w:rPr>
          <w:color w:val="231F20"/>
        </w:rPr>
        <w:t>initiatives.</w:t>
      </w:r>
    </w:p>
    <w:p>
      <w:pPr>
        <w:pStyle w:val="BodyText"/>
        <w:spacing w:before="9"/>
        <w:rPr>
          <w:sz w:val="20"/>
        </w:rPr>
      </w:pPr>
    </w:p>
    <w:p>
      <w:pPr>
        <w:pStyle w:val="BodyText"/>
        <w:spacing w:line="247" w:lineRule="auto"/>
        <w:ind w:left="100" w:right="117"/>
        <w:jc w:val="both"/>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Modifications and refinements to the Company’s systems have been and are expected to continue to be expensive to implement and may divert management’s attention from other matters. In addition, the Company’s operations could be adversely affected, or it could face imposition of regulatory penalties, if it were unable to timely or effectively modify its systems as necessary.</w:t>
      </w:r>
    </w:p>
    <w:p>
      <w:pPr>
        <w:pStyle w:val="BodyText"/>
        <w:spacing w:before="9"/>
        <w:rPr>
          <w:sz w:val="20"/>
        </w:rPr>
      </w:pPr>
    </w:p>
    <w:p>
      <w:pPr>
        <w:pStyle w:val="BodyText"/>
        <w:spacing w:line="247" w:lineRule="auto"/>
        <w:ind w:left="100" w:right="117"/>
        <w:jc w:val="both"/>
      </w:pPr>
      <w:r>
        <w:rPr>
          <w:color w:val="231F20"/>
        </w:rPr>
        <w:t>The Company has occasionally experienced system interruptions and delays that make its websites and services unavailable or slow to respond, which can prevent the Company from efficiently processing Customer transactions or providing services, and these could continue to occur in the future. These system interruptions and delays can reduce the Company’s operating revenues and the attractiveness of its services as well as increase the Company’s costs.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 remedy.</w:t>
      </w:r>
    </w:p>
    <w:p>
      <w:pPr>
        <w:spacing w:after="0" w:line="247" w:lineRule="auto"/>
        <w:jc w:val="both"/>
        <w:sectPr>
          <w:pgSz w:w="11880" w:h="15480"/>
          <w:pgMar w:header="0" w:footer="1240" w:top="1240" w:bottom="1420" w:left="1280" w:right="1260"/>
        </w:sectPr>
      </w:pPr>
    </w:p>
    <w:p>
      <w:pPr>
        <w:pStyle w:val="Heading2"/>
        <w:spacing w:line="247" w:lineRule="auto" w:before="74"/>
        <w:ind w:left="480" w:right="118"/>
        <w:jc w:val="both"/>
      </w:pPr>
      <w:r>
        <w:rPr>
          <w:i/>
          <w:color w:val="231F20"/>
        </w:rPr>
        <w:t>The Company’s business is labor intensive; therefore, the Company would be adversely affected </w:t>
      </w:r>
      <w:r>
        <w:rPr>
          <w:color w:val="231F20"/>
        </w:rPr>
        <w:t>if it were unable to maintain satisfactory relations with its Employees or its Employees’ Representatives.</w:t>
      </w:r>
    </w:p>
    <w:p>
      <w:pPr>
        <w:pStyle w:val="BodyText"/>
        <w:spacing w:before="5"/>
        <w:rPr>
          <w:b/>
          <w:i/>
        </w:rPr>
      </w:pPr>
    </w:p>
    <w:p>
      <w:pPr>
        <w:pStyle w:val="BodyText"/>
        <w:spacing w:line="247" w:lineRule="auto"/>
        <w:ind w:left="119" w:right="117"/>
        <w:jc w:val="both"/>
      </w:pPr>
      <w:r>
        <w:rPr>
          <w:color w:val="231F20"/>
        </w:rPr>
        <w:t>The airline business  is  labor  intensive.  Salaries,  wages,  and  benefits  represented  approximately  41 percent of the Company’s operating expenses for the year ended December 31, 2016. In addition, as of December 31, 2016, approximately 83 percent of the Company’s Employees were represented for collective bargaining purposes by labor unions, making the Company particularly exposed in the event of labor-related job actions. Employment-related issues that have, and continue to, impact the Company’s results of operations, some of which are negotiated items, include hiring/retention rates, pay rates, outsourcing costs, work rules, health care costs, and retirement benefits.</w:t>
      </w:r>
    </w:p>
    <w:p>
      <w:pPr>
        <w:pStyle w:val="BodyText"/>
        <w:spacing w:before="5"/>
      </w:pPr>
    </w:p>
    <w:p>
      <w:pPr>
        <w:pStyle w:val="Heading2"/>
        <w:spacing w:line="247" w:lineRule="auto"/>
        <w:ind w:left="480" w:right="117"/>
        <w:jc w:val="both"/>
      </w:pPr>
      <w:r>
        <w:rPr>
          <w:i/>
          <w:color w:val="231F20"/>
        </w:rPr>
        <w:t>The Company is currently dependent on single aircraft and engine suppliers, as well as single </w:t>
      </w:r>
      <w:r>
        <w:rPr>
          <w:color w:val="231F20"/>
        </w:rPr>
        <w:t>suppliers of certain other parts; therefore, the Company would be materially adversely affected  if it were unable to obtain additional equipment or support from any of these suppliers or in the event of a mechanical or regulatory issue associated with their</w:t>
      </w:r>
      <w:r>
        <w:rPr>
          <w:color w:val="231F20"/>
          <w:spacing w:val="-2"/>
        </w:rPr>
        <w:t> </w:t>
      </w:r>
      <w:r>
        <w:rPr>
          <w:color w:val="231F20"/>
        </w:rPr>
        <w:t>equipment.</w:t>
      </w:r>
    </w:p>
    <w:p>
      <w:pPr>
        <w:pStyle w:val="BodyText"/>
        <w:spacing w:before="5"/>
        <w:rPr>
          <w:b/>
          <w:i/>
        </w:rPr>
      </w:pPr>
    </w:p>
    <w:p>
      <w:pPr>
        <w:pStyle w:val="BodyText"/>
        <w:spacing w:line="247" w:lineRule="auto"/>
        <w:ind w:left="119" w:right="117"/>
        <w:jc w:val="both"/>
      </w:pPr>
      <w:r>
        <w:rPr>
          <w:color w:val="231F20"/>
        </w:rPr>
        <w:t>The Company is dependent on Boeing as its sole supplier for aircraft and many of its aircraft parts and is dependent on other suppliers for certain other aircraft parts. Although the Company is able to purchase some aircraft from parties other than Boeing, most of its purchases are directly from Boeing. Therefore, if the Company were unable to acquire additional aircraft from Boeing, or if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aircraft type, whether as a result of downtime for part or all of the Company’s fleet, increased maintenance costs, or because of a negative perception by the flying public. The Company believes, however, that its years of experience with the Boeing 737 aircraft type, as well as the efficiencies Southwest has historically achieved by operating with a single aircraft type, outweigh the risks associated with its single aircraft supplier strategy. The Company is also dependent on sole suppliers for aircraft engines and certain other aircraft parts and would therefore also be materially adversely affected in the event of the unavailability of, or a mechanical or regulatory issue associated with, engines and other</w:t>
      </w:r>
      <w:r>
        <w:rPr>
          <w:color w:val="231F20"/>
          <w:spacing w:val="-2"/>
        </w:rPr>
        <w:t> </w:t>
      </w:r>
      <w:r>
        <w:rPr>
          <w:color w:val="231F20"/>
        </w:rPr>
        <w:t>parts.</w:t>
      </w:r>
    </w:p>
    <w:p>
      <w:pPr>
        <w:pStyle w:val="BodyText"/>
        <w:spacing w:before="5"/>
      </w:pPr>
    </w:p>
    <w:p>
      <w:pPr>
        <w:pStyle w:val="Heading2"/>
        <w:spacing w:line="247" w:lineRule="auto"/>
        <w:ind w:left="480" w:right="116"/>
        <w:jc w:val="both"/>
      </w:pPr>
      <w:r>
        <w:rPr>
          <w:i/>
          <w:color w:val="231F20"/>
        </w:rPr>
        <w:t>Any failure of the Company to maintain the security of certain Customer-related information </w:t>
      </w:r>
      <w:r>
        <w:rPr>
          <w:color w:val="231F20"/>
        </w:rPr>
        <w:t>could result in damage to the Company’s reputation and could be costly to remediate.</w:t>
      </w:r>
    </w:p>
    <w:p>
      <w:pPr>
        <w:pStyle w:val="BodyText"/>
        <w:spacing w:before="5"/>
        <w:rPr>
          <w:b/>
          <w:i/>
        </w:rPr>
      </w:pPr>
    </w:p>
    <w:p>
      <w:pPr>
        <w:pStyle w:val="BodyText"/>
        <w:spacing w:line="247" w:lineRule="auto"/>
        <w:ind w:left="119" w:right="117"/>
        <w:jc w:val="both"/>
      </w:pPr>
      <w:r>
        <w:rPr>
          <w:color w:val="231F20"/>
        </w:rPr>
        <w:t>The Company must receive information related to its Customers in order to run its business, and the Company’s operations depend upon secure retention and the secure transmission of information over public networks, including information permitting cashless payments. This information is subject to the risk of intrusion, tampering, and theft. Although the Company maintains systems to defend against this from occurring, these systems require ongoing monitoring and updating as technologies change, and security could be compromised, confidential information could be misappropriated, or system disruptions could occur. In the ordinary course of its business, the Company provides certain confidential, proprietary, and personal information to third parties.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Although the Company has not experienced cyber incidents that are individually, or in the aggregate, material, the Company has experienced cyber-attacks in the past, which have thus far been mitigated  by preventative, detective, and responsive measures put in place by the Company.</w:t>
      </w:r>
    </w:p>
    <w:p>
      <w:pPr>
        <w:pStyle w:val="BodyText"/>
        <w:spacing w:before="9"/>
        <w:rPr>
          <w:sz w:val="20"/>
        </w:rPr>
      </w:pPr>
    </w:p>
    <w:p>
      <w:pPr>
        <w:pStyle w:val="Heading2"/>
        <w:spacing w:line="247" w:lineRule="auto"/>
        <w:ind w:right="117"/>
        <w:jc w:val="both"/>
      </w:pPr>
      <w:r>
        <w:rPr>
          <w:i/>
          <w:color w:val="231F20"/>
        </w:rPr>
        <w:t>The Company’s results of operations could be adversely impacted if it is unable to grow or to </w:t>
      </w:r>
      <w:r>
        <w:rPr>
          <w:color w:val="231F20"/>
        </w:rPr>
        <w:t>effectively execute its strategic plans.</w:t>
      </w:r>
    </w:p>
    <w:p>
      <w:pPr>
        <w:pStyle w:val="BodyText"/>
        <w:spacing w:before="9"/>
        <w:rPr>
          <w:b/>
          <w:i/>
          <w:sz w:val="20"/>
        </w:rPr>
      </w:pPr>
    </w:p>
    <w:p>
      <w:pPr>
        <w:pStyle w:val="BodyText"/>
        <w:spacing w:line="247" w:lineRule="auto"/>
        <w:ind w:left="100" w:right="118"/>
        <w:jc w:val="both"/>
      </w:pPr>
      <w:r>
        <w:rPr>
          <w:color w:val="231F20"/>
        </w:rPr>
        <w:t>Southwest has historically been regarded as a growth airline. However, organic growth remains challenging because (i) the opportunities for domestic expansion are limited; (ii) the Company’s international network is relatively small and international expansion presents unique challenges; and</w:t>
      </w:r>
    </w:p>
    <w:p>
      <w:pPr>
        <w:pStyle w:val="BodyText"/>
        <w:spacing w:line="247" w:lineRule="auto"/>
        <w:ind w:left="100" w:right="117"/>
        <w:jc w:val="both"/>
      </w:pPr>
      <w:r>
        <w:rPr>
          <w:color w:val="231F20"/>
        </w:rPr>
        <w:t>(iii) the Company has faced an increased presence of other low-cost, low-fare carriers. As a result, the Company is reliant on the success of its revenue strategies to help offset certain increasing costs and to continue to improve Customer Service. The timely and effective execution of the Company’s strategic plans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strategies against the need to effectively control costs; and (iii) the Company’s  dependence on third parties with respect to its strategic</w:t>
      </w:r>
      <w:r>
        <w:rPr>
          <w:color w:val="231F20"/>
          <w:spacing w:val="-2"/>
        </w:rPr>
        <w:t> </w:t>
      </w:r>
      <w:r>
        <w:rPr>
          <w:color w:val="231F20"/>
        </w:rPr>
        <w:t>plans.</w:t>
      </w:r>
    </w:p>
    <w:p>
      <w:pPr>
        <w:pStyle w:val="BodyText"/>
        <w:spacing w:before="10"/>
        <w:rPr>
          <w:sz w:val="20"/>
        </w:rPr>
      </w:pPr>
    </w:p>
    <w:p>
      <w:pPr>
        <w:pStyle w:val="Heading2"/>
        <w:spacing w:line="247" w:lineRule="auto"/>
        <w:ind w:right="117"/>
        <w:jc w:val="both"/>
      </w:pPr>
      <w:r>
        <w:rPr>
          <w:i/>
          <w:color w:val="231F20"/>
        </w:rPr>
        <w:t>The airline industry has faced on-going security concerns and related cost burdens; further </w:t>
      </w:r>
      <w:r>
        <w:rPr>
          <w:color w:val="231F20"/>
        </w:rPr>
        <w:t>threatened or actual terrorist attacks, or other hostilities, could significantly harm the airline industry and the Company’s operations.</w:t>
      </w:r>
    </w:p>
    <w:p>
      <w:pPr>
        <w:pStyle w:val="BodyText"/>
        <w:spacing w:before="9"/>
        <w:rPr>
          <w:b/>
          <w:i/>
          <w:sz w:val="20"/>
        </w:rPr>
      </w:pPr>
    </w:p>
    <w:p>
      <w:pPr>
        <w:pStyle w:val="BodyText"/>
        <w:spacing w:line="247" w:lineRule="auto"/>
        <w:ind w:left="100" w:right="117"/>
        <w:jc w:val="both"/>
      </w:pPr>
      <w:r>
        <w:rPr>
          <w:color w:val="231F20"/>
        </w:rPr>
        <w:t>Terrorist attacks or other hostilities, actual and threatened, have from time to time materially adversely affected the demand for air travel and also have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or other hostilities,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w:t>
      </w:r>
      <w:r>
        <w:rPr>
          <w:color w:val="231F20"/>
          <w:spacing w:val="-1"/>
        </w:rPr>
        <w:t> </w:t>
      </w:r>
      <w:r>
        <w:rPr>
          <w:color w:val="231F20"/>
        </w:rPr>
        <w:t>industry.</w:t>
      </w:r>
    </w:p>
    <w:p>
      <w:pPr>
        <w:pStyle w:val="BodyText"/>
        <w:spacing w:before="9"/>
        <w:rPr>
          <w:sz w:val="20"/>
        </w:rPr>
      </w:pPr>
    </w:p>
    <w:p>
      <w:pPr>
        <w:pStyle w:val="Heading2"/>
        <w:spacing w:line="247" w:lineRule="auto"/>
        <w:ind w:right="117"/>
        <w:jc w:val="both"/>
      </w:pPr>
      <w:r>
        <w:rPr>
          <w:i/>
          <w:color w:val="231F20"/>
        </w:rPr>
        <w:t>Airport capacity constraints and air traffic control inefficiencies have limited and could  </w:t>
      </w:r>
      <w:r>
        <w:rPr>
          <w:color w:val="231F20"/>
        </w:rPr>
        <w:t>continue to limit the Company’s growth; changes in or additional governmental regulation  could increase the Company’s operating costs or otherwise limit the Company’s ability to conduct</w:t>
      </w:r>
      <w:r>
        <w:rPr>
          <w:color w:val="231F20"/>
          <w:spacing w:val="-2"/>
        </w:rPr>
        <w:t> </w:t>
      </w:r>
      <w:r>
        <w:rPr>
          <w:color w:val="231F20"/>
        </w:rPr>
        <w:t>business.</w:t>
      </w:r>
    </w:p>
    <w:p>
      <w:pPr>
        <w:pStyle w:val="BodyText"/>
        <w:spacing w:before="9"/>
        <w:rPr>
          <w:b/>
          <w:i/>
          <w:sz w:val="20"/>
        </w:rPr>
      </w:pPr>
    </w:p>
    <w:p>
      <w:pPr>
        <w:pStyle w:val="BodyText"/>
        <w:spacing w:line="247" w:lineRule="auto"/>
        <w:ind w:left="100" w:right="117"/>
        <w:jc w:val="both"/>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w:t>
      </w:r>
    </w:p>
    <w:p>
      <w:pPr>
        <w:pStyle w:val="ListParagraph"/>
        <w:numPr>
          <w:ilvl w:val="1"/>
          <w:numId w:val="4"/>
        </w:numPr>
        <w:tabs>
          <w:tab w:pos="559" w:val="left" w:leader="none"/>
        </w:tabs>
        <w:spacing w:line="247" w:lineRule="auto" w:before="0" w:after="0"/>
        <w:ind w:left="100" w:right="117" w:firstLine="0"/>
        <w:jc w:val="both"/>
        <w:rPr>
          <w:sz w:val="22"/>
        </w:rPr>
      </w:pPr>
      <w:r>
        <w:rPr>
          <w:color w:val="231F20"/>
          <w:sz w:val="22"/>
        </w:rPr>
        <w:t>airspace, and airlines are completely dependent on the FAA operating that airspace in a safe and efficient manner. The current air traffic control system is mainly radar-based and supported in large  part by antiquated equipment and technologies. The FAA’s protracted transition to a satellite-based air traffic control system, as well as the implementation of policies and standards that account for the precision of global positioning system-supported aircraft technologies, could continue to adversely impact airspace capacity and the overall efficiency of the system, resulting in limited opportunities for the Company to grow, longer scheduled flight times, more delays and cancellations, and increased fuel consumption</w:t>
      </w:r>
      <w:r>
        <w:rPr>
          <w:color w:val="231F20"/>
          <w:spacing w:val="29"/>
          <w:sz w:val="22"/>
        </w:rPr>
        <w:t> </w:t>
      </w:r>
      <w:r>
        <w:rPr>
          <w:color w:val="231F20"/>
          <w:sz w:val="22"/>
        </w:rPr>
        <w:t>and</w:t>
      </w:r>
      <w:r>
        <w:rPr>
          <w:color w:val="231F20"/>
          <w:spacing w:val="29"/>
          <w:sz w:val="22"/>
        </w:rPr>
        <w:t> </w:t>
      </w:r>
      <w:r>
        <w:rPr>
          <w:color w:val="231F20"/>
          <w:sz w:val="22"/>
        </w:rPr>
        <w:t>aircraft</w:t>
      </w:r>
      <w:r>
        <w:rPr>
          <w:color w:val="231F20"/>
          <w:spacing w:val="27"/>
          <w:sz w:val="22"/>
        </w:rPr>
        <w:t> </w:t>
      </w:r>
      <w:r>
        <w:rPr>
          <w:color w:val="231F20"/>
          <w:sz w:val="22"/>
        </w:rPr>
        <w:t>emissions.</w:t>
      </w:r>
      <w:r>
        <w:rPr>
          <w:color w:val="231F20"/>
          <w:spacing w:val="29"/>
          <w:sz w:val="22"/>
        </w:rPr>
        <w:t> </w:t>
      </w:r>
      <w:r>
        <w:rPr>
          <w:color w:val="231F20"/>
          <w:sz w:val="22"/>
        </w:rPr>
        <w:t>As</w:t>
      </w:r>
      <w:r>
        <w:rPr>
          <w:color w:val="231F20"/>
          <w:spacing w:val="28"/>
          <w:sz w:val="22"/>
        </w:rPr>
        <w:t> </w:t>
      </w:r>
      <w:r>
        <w:rPr>
          <w:color w:val="231F20"/>
          <w:sz w:val="22"/>
        </w:rPr>
        <w:t>discussed</w:t>
      </w:r>
      <w:r>
        <w:rPr>
          <w:color w:val="231F20"/>
          <w:spacing w:val="29"/>
          <w:sz w:val="22"/>
        </w:rPr>
        <w:t> </w:t>
      </w:r>
      <w:r>
        <w:rPr>
          <w:color w:val="231F20"/>
          <w:sz w:val="22"/>
        </w:rPr>
        <w:t>above</w:t>
      </w:r>
      <w:r>
        <w:rPr>
          <w:color w:val="231F20"/>
          <w:spacing w:val="28"/>
          <w:sz w:val="22"/>
        </w:rPr>
        <w:t> </w:t>
      </w:r>
      <w:r>
        <w:rPr>
          <w:color w:val="231F20"/>
          <w:sz w:val="22"/>
        </w:rPr>
        <w:t>under</w:t>
      </w:r>
      <w:r>
        <w:rPr>
          <w:color w:val="231F20"/>
          <w:spacing w:val="28"/>
          <w:sz w:val="22"/>
        </w:rPr>
        <w:t> </w:t>
      </w:r>
      <w:r>
        <w:rPr>
          <w:color w:val="231F20"/>
          <w:sz w:val="22"/>
        </w:rPr>
        <w:t>“Business</w:t>
      </w:r>
      <w:r>
        <w:rPr>
          <w:color w:val="231F20"/>
          <w:spacing w:val="30"/>
          <w:sz w:val="22"/>
        </w:rPr>
        <w:t> </w:t>
      </w:r>
      <w:r>
        <w:rPr>
          <w:color w:val="231F20"/>
          <w:sz w:val="22"/>
        </w:rPr>
        <w:t>-</w:t>
      </w:r>
      <w:r>
        <w:rPr>
          <w:color w:val="231F20"/>
          <w:spacing w:val="27"/>
          <w:sz w:val="22"/>
        </w:rPr>
        <w:t> </w:t>
      </w:r>
      <w:r>
        <w:rPr>
          <w:color w:val="231F20"/>
          <w:sz w:val="22"/>
        </w:rPr>
        <w:t>Regulation,”</w:t>
      </w:r>
      <w:r>
        <w:rPr>
          <w:color w:val="231F20"/>
          <w:spacing w:val="28"/>
          <w:sz w:val="22"/>
        </w:rPr>
        <w:t> </w:t>
      </w:r>
      <w:r>
        <w:rPr>
          <w:color w:val="231F20"/>
          <w:sz w:val="22"/>
        </w:rPr>
        <w:t>airlines</w:t>
      </w:r>
      <w:r>
        <w:rPr>
          <w:color w:val="231F20"/>
          <w:spacing w:val="28"/>
          <w:sz w:val="22"/>
        </w:rPr>
        <w:t> </w:t>
      </w:r>
      <w:r>
        <w:rPr>
          <w:color w:val="231F20"/>
          <w:sz w:val="22"/>
        </w:rPr>
        <w:t>are</w:t>
      </w:r>
    </w:p>
    <w:p>
      <w:pPr>
        <w:spacing w:after="0" w:line="247" w:lineRule="auto"/>
        <w:jc w:val="both"/>
        <w:rPr>
          <w:sz w:val="22"/>
        </w:rPr>
        <w:sectPr>
          <w:pgSz w:w="11880" w:h="15480"/>
          <w:pgMar w:header="0" w:footer="1240" w:top="1240" w:bottom="1420" w:left="1280" w:right="1260"/>
        </w:sectPr>
      </w:pPr>
    </w:p>
    <w:p>
      <w:pPr>
        <w:pStyle w:val="BodyText"/>
        <w:spacing w:line="247" w:lineRule="auto" w:before="74"/>
        <w:ind w:left="100" w:right="118"/>
        <w:jc w:val="both"/>
      </w:pPr>
      <w:r>
        <w:rPr>
          <w:color w:val="231F20"/>
        </w:rPr>
        <w:t>also subject to other extensive regulatory requirements. These requirements often impose substantial costs on airlines. The Company’s strategic plans and results of operations could be negatively affected by changes in law and future actions taken by domestic and foreign governmental agencies having jurisdiction over its operations, including, but not limited to:</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increases in airport rates and</w:t>
      </w:r>
      <w:r>
        <w:rPr>
          <w:color w:val="231F20"/>
          <w:spacing w:val="-1"/>
          <w:sz w:val="22"/>
        </w:rPr>
        <w:t> </w:t>
      </w:r>
      <w:r>
        <w:rPr>
          <w:color w:val="231F20"/>
          <w:sz w:val="22"/>
        </w:rPr>
        <w:t>charges;</w:t>
      </w:r>
    </w:p>
    <w:p>
      <w:pPr>
        <w:pStyle w:val="BodyText"/>
        <w:spacing w:before="5"/>
        <w:rPr>
          <w:sz w:val="21"/>
        </w:rPr>
      </w:pPr>
    </w:p>
    <w:p>
      <w:pPr>
        <w:pStyle w:val="ListParagraph"/>
        <w:numPr>
          <w:ilvl w:val="2"/>
          <w:numId w:val="4"/>
        </w:numPr>
        <w:tabs>
          <w:tab w:pos="980" w:val="left" w:leader="none"/>
        </w:tabs>
        <w:spacing w:line="247" w:lineRule="auto" w:before="0" w:after="0"/>
        <w:ind w:left="980" w:right="118" w:hanging="440"/>
        <w:jc w:val="both"/>
        <w:rPr>
          <w:sz w:val="22"/>
        </w:rPr>
      </w:pPr>
      <w:r>
        <w:rPr>
          <w:color w:val="231F20"/>
          <w:sz w:val="22"/>
        </w:rPr>
        <w:t>limitations on airport gate capacity or use of other airport facilities such as the 2016 reallocation of slots at John Wayne Airport in Orange County, California, which caused the Company to reduce service at that</w:t>
      </w:r>
      <w:r>
        <w:rPr>
          <w:color w:val="231F20"/>
          <w:spacing w:val="-1"/>
          <w:sz w:val="22"/>
        </w:rPr>
        <w:t> </w:t>
      </w:r>
      <w:r>
        <w:rPr>
          <w:color w:val="231F20"/>
          <w:sz w:val="22"/>
        </w:rPr>
        <w:t>airport;</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limitations on route</w:t>
      </w:r>
      <w:r>
        <w:rPr>
          <w:color w:val="231F20"/>
          <w:spacing w:val="-2"/>
          <w:sz w:val="22"/>
        </w:rPr>
        <w:t> </w:t>
      </w:r>
      <w:r>
        <w:rPr>
          <w:color w:val="231F20"/>
          <w:sz w:val="22"/>
        </w:rPr>
        <w:t>authorities;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access at slot-controlled airports;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actions and decisions that create difficulties in obtaining operating permits and</w:t>
      </w:r>
      <w:r>
        <w:rPr>
          <w:color w:val="231F20"/>
          <w:spacing w:val="-1"/>
          <w:sz w:val="22"/>
        </w:rPr>
        <w:t> </w:t>
      </w:r>
      <w:r>
        <w:rPr>
          <w:color w:val="231F20"/>
          <w:sz w:val="22"/>
        </w:rPr>
        <w:t>approvals;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changes to environmental regulations;</w:t>
      </w:r>
    </w:p>
    <w:p>
      <w:pPr>
        <w:pStyle w:val="BodyText"/>
        <w:spacing w:before="5"/>
        <w:rPr>
          <w:sz w:val="21"/>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new or increased taxes or</w:t>
      </w:r>
      <w:r>
        <w:rPr>
          <w:color w:val="231F20"/>
          <w:spacing w:val="-1"/>
          <w:sz w:val="22"/>
        </w:rPr>
        <w:t> </w:t>
      </w:r>
      <w:r>
        <w:rPr>
          <w:color w:val="231F20"/>
          <w:sz w:val="22"/>
        </w:rPr>
        <w:t>fees;</w:t>
      </w:r>
    </w:p>
    <w:p>
      <w:pPr>
        <w:pStyle w:val="BodyText"/>
        <w:spacing w:before="5"/>
        <w:rPr>
          <w:sz w:val="21"/>
        </w:rPr>
      </w:pPr>
    </w:p>
    <w:p>
      <w:pPr>
        <w:pStyle w:val="ListParagraph"/>
        <w:numPr>
          <w:ilvl w:val="2"/>
          <w:numId w:val="4"/>
        </w:numPr>
        <w:tabs>
          <w:tab w:pos="979" w:val="left" w:leader="none"/>
          <w:tab w:pos="980" w:val="left" w:leader="none"/>
        </w:tabs>
        <w:spacing w:line="247" w:lineRule="auto" w:before="0" w:after="0"/>
        <w:ind w:left="980" w:right="118" w:hanging="440"/>
        <w:jc w:val="left"/>
        <w:rPr>
          <w:sz w:val="22"/>
        </w:rPr>
      </w:pPr>
      <w:r>
        <w:rPr>
          <w:color w:val="231F20"/>
          <w:sz w:val="22"/>
        </w:rPr>
        <w:t>changes to laws that affect the services that can be offered by airlines in particular markets and at particular</w:t>
      </w:r>
      <w:r>
        <w:rPr>
          <w:color w:val="231F20"/>
          <w:spacing w:val="-1"/>
          <w:sz w:val="22"/>
        </w:rPr>
        <w:t> </w:t>
      </w:r>
      <w:r>
        <w:rPr>
          <w:color w:val="231F20"/>
          <w:sz w:val="22"/>
        </w:rPr>
        <w:t>airports;</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restrictions on competitive practices;</w:t>
      </w:r>
    </w:p>
    <w:p>
      <w:pPr>
        <w:pStyle w:val="BodyText"/>
        <w:spacing w:before="5"/>
        <w:rPr>
          <w:sz w:val="21"/>
        </w:rPr>
      </w:pPr>
    </w:p>
    <w:p>
      <w:pPr>
        <w:pStyle w:val="ListParagraph"/>
        <w:numPr>
          <w:ilvl w:val="2"/>
          <w:numId w:val="4"/>
        </w:numPr>
        <w:tabs>
          <w:tab w:pos="979" w:val="left" w:leader="none"/>
          <w:tab w:pos="980" w:val="left" w:leader="none"/>
        </w:tabs>
        <w:spacing w:line="247" w:lineRule="auto" w:before="0" w:after="0"/>
        <w:ind w:left="980" w:right="118" w:hanging="440"/>
        <w:jc w:val="left"/>
        <w:rPr>
          <w:sz w:val="22"/>
        </w:rPr>
      </w:pPr>
      <w:r>
        <w:rPr>
          <w:color w:val="231F20"/>
          <w:sz w:val="22"/>
        </w:rPr>
        <w:t>changes in laws that increase costs for safety, security, compliance, or other Customer Service standards;</w:t>
      </w:r>
    </w:p>
    <w:p>
      <w:pPr>
        <w:pStyle w:val="BodyText"/>
        <w:spacing w:before="9"/>
        <w:rPr>
          <w:sz w:val="20"/>
        </w:rPr>
      </w:pPr>
    </w:p>
    <w:p>
      <w:pPr>
        <w:pStyle w:val="ListParagraph"/>
        <w:numPr>
          <w:ilvl w:val="2"/>
          <w:numId w:val="4"/>
        </w:numPr>
        <w:tabs>
          <w:tab w:pos="979" w:val="left" w:leader="none"/>
          <w:tab w:pos="980" w:val="left" w:leader="none"/>
        </w:tabs>
        <w:spacing w:line="247" w:lineRule="auto" w:before="0" w:after="0"/>
        <w:ind w:left="980" w:right="117" w:hanging="440"/>
        <w:jc w:val="left"/>
        <w:rPr>
          <w:sz w:val="22"/>
        </w:rPr>
      </w:pPr>
      <w:r>
        <w:rPr>
          <w:color w:val="231F20"/>
          <w:sz w:val="22"/>
        </w:rPr>
        <w:t>changes in laws that may limit the Company’s ability to enter into fuel derivative contracts to hedge against increases in fuel</w:t>
      </w:r>
      <w:r>
        <w:rPr>
          <w:color w:val="231F20"/>
          <w:spacing w:val="-1"/>
          <w:sz w:val="22"/>
        </w:rPr>
        <w:t> </w:t>
      </w:r>
      <w:r>
        <w:rPr>
          <w:color w:val="231F20"/>
          <w:sz w:val="22"/>
        </w:rPr>
        <w:t>prices;</w:t>
      </w:r>
    </w:p>
    <w:p>
      <w:pPr>
        <w:pStyle w:val="BodyText"/>
        <w:spacing w:before="9"/>
        <w:rPr>
          <w:sz w:val="20"/>
        </w:rPr>
      </w:pPr>
    </w:p>
    <w:p>
      <w:pPr>
        <w:pStyle w:val="ListParagraph"/>
        <w:numPr>
          <w:ilvl w:val="2"/>
          <w:numId w:val="4"/>
        </w:numPr>
        <w:tabs>
          <w:tab w:pos="979" w:val="left" w:leader="none"/>
          <w:tab w:pos="980" w:val="left" w:leader="none"/>
        </w:tabs>
        <w:spacing w:line="247" w:lineRule="auto" w:before="0" w:after="0"/>
        <w:ind w:left="980" w:right="118" w:hanging="440"/>
        <w:jc w:val="left"/>
        <w:rPr>
          <w:sz w:val="22"/>
        </w:rPr>
      </w:pPr>
      <w:r>
        <w:rPr>
          <w:color w:val="231F20"/>
          <w:sz w:val="22"/>
        </w:rPr>
        <w:t>changes in laws that may limit or regulate the Company’s ability to promote the Company’s business or fares; and</w:t>
      </w:r>
    </w:p>
    <w:p>
      <w:pPr>
        <w:pStyle w:val="BodyText"/>
        <w:spacing w:before="9"/>
        <w:rPr>
          <w:sz w:val="20"/>
        </w:rPr>
      </w:pPr>
    </w:p>
    <w:p>
      <w:pPr>
        <w:pStyle w:val="ListParagraph"/>
        <w:numPr>
          <w:ilvl w:val="2"/>
          <w:numId w:val="4"/>
        </w:numPr>
        <w:tabs>
          <w:tab w:pos="979" w:val="left" w:leader="none"/>
          <w:tab w:pos="980" w:val="left" w:leader="none"/>
        </w:tabs>
        <w:spacing w:line="240" w:lineRule="auto" w:before="0" w:after="0"/>
        <w:ind w:left="980" w:right="0" w:hanging="440"/>
        <w:jc w:val="left"/>
        <w:rPr>
          <w:sz w:val="22"/>
        </w:rPr>
      </w:pPr>
      <w:r>
        <w:rPr>
          <w:color w:val="231F20"/>
          <w:sz w:val="22"/>
        </w:rPr>
        <w:t>the adoption of more restrictive locally-imposed noise</w:t>
      </w:r>
      <w:r>
        <w:rPr>
          <w:color w:val="231F20"/>
          <w:spacing w:val="-2"/>
          <w:sz w:val="22"/>
        </w:rPr>
        <w:t> </w:t>
      </w:r>
      <w:r>
        <w:rPr>
          <w:color w:val="231F20"/>
          <w:sz w:val="22"/>
        </w:rPr>
        <w:t>regulations.</w:t>
      </w:r>
    </w:p>
    <w:p>
      <w:pPr>
        <w:pStyle w:val="BodyText"/>
        <w:spacing w:before="4"/>
        <w:rPr>
          <w:sz w:val="21"/>
        </w:rPr>
      </w:pPr>
    </w:p>
    <w:p>
      <w:pPr>
        <w:pStyle w:val="BodyText"/>
        <w:spacing w:line="247" w:lineRule="auto" w:before="1"/>
        <w:ind w:left="100" w:right="117"/>
        <w:jc w:val="both"/>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spacing w:after="0" w:line="247" w:lineRule="auto"/>
        <w:jc w:val="both"/>
        <w:sectPr>
          <w:pgSz w:w="11880" w:h="15480"/>
          <w:pgMar w:header="0" w:footer="1240" w:top="1240" w:bottom="1420" w:left="1280" w:right="1260"/>
        </w:sectPr>
      </w:pPr>
    </w:p>
    <w:p>
      <w:pPr>
        <w:pStyle w:val="Heading2"/>
        <w:spacing w:line="247" w:lineRule="auto" w:before="74"/>
        <w:ind w:left="480"/>
      </w:pPr>
      <w:r>
        <w:rPr>
          <w:i/>
          <w:color w:val="231F20"/>
        </w:rPr>
        <w:t>The airline industry is affected by many conditions that are beyond its control, which can impact </w:t>
      </w:r>
      <w:r>
        <w:rPr>
          <w:color w:val="231F20"/>
        </w:rPr>
        <w:t>the Company’s business strategies and results of operations.</w:t>
      </w:r>
    </w:p>
    <w:p>
      <w:pPr>
        <w:pStyle w:val="BodyText"/>
        <w:spacing w:before="9"/>
        <w:rPr>
          <w:b/>
          <w:i/>
          <w:sz w:val="20"/>
        </w:rPr>
      </w:pPr>
    </w:p>
    <w:p>
      <w:pPr>
        <w:pStyle w:val="BodyText"/>
        <w:spacing w:line="247" w:lineRule="auto"/>
        <w:ind w:left="119" w:right="118"/>
        <w:jc w:val="both"/>
      </w:pPr>
      <w:r>
        <w:rPr>
          <w:color w:val="231F20"/>
        </w:rPr>
        <w:t>In addition to the unpredictable economic conditions and fuel costs discussed above, the Company,  like the airline industry in general, is affected by conditions that are largely unforeseeable and outside of its control, including, among</w:t>
      </w:r>
      <w:r>
        <w:rPr>
          <w:color w:val="231F20"/>
          <w:spacing w:val="-3"/>
        </w:rPr>
        <w:t> </w:t>
      </w:r>
      <w:r>
        <w:rPr>
          <w:color w:val="231F20"/>
        </w:rPr>
        <w:t>others:</w:t>
      </w:r>
    </w:p>
    <w:p>
      <w:pPr>
        <w:pStyle w:val="BodyText"/>
        <w:spacing w:before="9"/>
        <w:rPr>
          <w:sz w:val="20"/>
        </w:rPr>
      </w:pPr>
    </w:p>
    <w:p>
      <w:pPr>
        <w:pStyle w:val="ListParagraph"/>
        <w:numPr>
          <w:ilvl w:val="2"/>
          <w:numId w:val="4"/>
        </w:numPr>
        <w:tabs>
          <w:tab w:pos="999" w:val="left" w:leader="none"/>
          <w:tab w:pos="1000" w:val="left" w:leader="none"/>
        </w:tabs>
        <w:spacing w:line="240" w:lineRule="auto" w:before="0" w:after="0"/>
        <w:ind w:left="1000" w:right="0" w:hanging="440"/>
        <w:jc w:val="left"/>
        <w:rPr>
          <w:sz w:val="22"/>
        </w:rPr>
      </w:pPr>
      <w:r>
        <w:rPr>
          <w:color w:val="231F20"/>
          <w:sz w:val="22"/>
        </w:rPr>
        <w:t>adverse weather and natural</w:t>
      </w:r>
      <w:r>
        <w:rPr>
          <w:color w:val="231F20"/>
          <w:spacing w:val="1"/>
          <w:sz w:val="22"/>
        </w:rPr>
        <w:t> </w:t>
      </w:r>
      <w:r>
        <w:rPr>
          <w:color w:val="231F20"/>
          <w:sz w:val="22"/>
        </w:rPr>
        <w:t>disasters;</w:t>
      </w:r>
    </w:p>
    <w:p>
      <w:pPr>
        <w:pStyle w:val="BodyText"/>
        <w:spacing w:before="4"/>
        <w:rPr>
          <w:sz w:val="21"/>
        </w:rPr>
      </w:pPr>
    </w:p>
    <w:p>
      <w:pPr>
        <w:pStyle w:val="ListParagraph"/>
        <w:numPr>
          <w:ilvl w:val="2"/>
          <w:numId w:val="4"/>
        </w:numPr>
        <w:tabs>
          <w:tab w:pos="999" w:val="left" w:leader="none"/>
          <w:tab w:pos="1000" w:val="left" w:leader="none"/>
        </w:tabs>
        <w:spacing w:line="240" w:lineRule="auto" w:before="1" w:after="0"/>
        <w:ind w:left="1000" w:right="0" w:hanging="440"/>
        <w:jc w:val="left"/>
        <w:rPr>
          <w:sz w:val="22"/>
        </w:rPr>
      </w:pPr>
      <w:r>
        <w:rPr>
          <w:color w:val="231F20"/>
          <w:sz w:val="22"/>
        </w:rPr>
        <w:t>outbreaks of</w:t>
      </w:r>
      <w:r>
        <w:rPr>
          <w:color w:val="231F20"/>
          <w:spacing w:val="-1"/>
          <w:sz w:val="22"/>
        </w:rPr>
        <w:t> </w:t>
      </w:r>
      <w:r>
        <w:rPr>
          <w:color w:val="231F20"/>
          <w:sz w:val="22"/>
        </w:rPr>
        <w:t>disease;</w:t>
      </w:r>
    </w:p>
    <w:p>
      <w:pPr>
        <w:pStyle w:val="BodyText"/>
        <w:spacing w:before="5"/>
        <w:rPr>
          <w:sz w:val="21"/>
        </w:rPr>
      </w:pPr>
    </w:p>
    <w:p>
      <w:pPr>
        <w:pStyle w:val="ListParagraph"/>
        <w:numPr>
          <w:ilvl w:val="2"/>
          <w:numId w:val="4"/>
        </w:numPr>
        <w:tabs>
          <w:tab w:pos="1000" w:val="left" w:leader="none"/>
        </w:tabs>
        <w:spacing w:line="247" w:lineRule="auto" w:before="0" w:after="0"/>
        <w:ind w:left="1000" w:right="118" w:hanging="440"/>
        <w:jc w:val="both"/>
        <w:rPr>
          <w:sz w:val="22"/>
        </w:rPr>
      </w:pPr>
      <w:r>
        <w:rPr>
          <w:color w:val="231F20"/>
          <w:sz w:val="22"/>
        </w:rPr>
        <w:t>changes in consumer preferences, perceptions, spending patterns, or demographic trends (including, without limitation, changes in government travel patterns due to government shutdowns or</w:t>
      </w:r>
      <w:r>
        <w:rPr>
          <w:color w:val="231F20"/>
          <w:spacing w:val="-1"/>
          <w:sz w:val="22"/>
        </w:rPr>
        <w:t> </w:t>
      </w:r>
      <w:r>
        <w:rPr>
          <w:color w:val="231F20"/>
          <w:sz w:val="22"/>
        </w:rPr>
        <w:t>sequestration);</w:t>
      </w:r>
    </w:p>
    <w:p>
      <w:pPr>
        <w:pStyle w:val="BodyText"/>
        <w:spacing w:before="9"/>
        <w:rPr>
          <w:sz w:val="20"/>
        </w:rPr>
      </w:pPr>
    </w:p>
    <w:p>
      <w:pPr>
        <w:pStyle w:val="ListParagraph"/>
        <w:numPr>
          <w:ilvl w:val="2"/>
          <w:numId w:val="4"/>
        </w:numPr>
        <w:tabs>
          <w:tab w:pos="999" w:val="left" w:leader="none"/>
          <w:tab w:pos="1000" w:val="left" w:leader="none"/>
        </w:tabs>
        <w:spacing w:line="247" w:lineRule="auto" w:before="0" w:after="0"/>
        <w:ind w:left="1000" w:right="117" w:hanging="440"/>
        <w:jc w:val="left"/>
        <w:rPr>
          <w:sz w:val="22"/>
        </w:rPr>
      </w:pPr>
      <w:r>
        <w:rPr>
          <w:color w:val="231F20"/>
          <w:sz w:val="22"/>
        </w:rPr>
        <w:t>actual or potential disruptions in the air traffic control system (including, without limitation, as a result of potential FAA budget cuts due to government shutdowns or</w:t>
      </w:r>
      <w:r>
        <w:rPr>
          <w:color w:val="231F20"/>
          <w:spacing w:val="-3"/>
          <w:sz w:val="22"/>
        </w:rPr>
        <w:t> </w:t>
      </w:r>
      <w:r>
        <w:rPr>
          <w:color w:val="231F20"/>
          <w:sz w:val="22"/>
        </w:rPr>
        <w:t>sequestration);</w:t>
      </w:r>
    </w:p>
    <w:p>
      <w:pPr>
        <w:pStyle w:val="BodyText"/>
        <w:spacing w:before="9"/>
        <w:rPr>
          <w:sz w:val="20"/>
        </w:rPr>
      </w:pPr>
    </w:p>
    <w:p>
      <w:pPr>
        <w:pStyle w:val="ListParagraph"/>
        <w:numPr>
          <w:ilvl w:val="2"/>
          <w:numId w:val="4"/>
        </w:numPr>
        <w:tabs>
          <w:tab w:pos="999" w:val="left" w:leader="none"/>
          <w:tab w:pos="1000" w:val="left" w:leader="none"/>
        </w:tabs>
        <w:spacing w:line="247" w:lineRule="auto" w:before="0" w:after="0"/>
        <w:ind w:left="1000" w:right="118" w:hanging="440"/>
        <w:jc w:val="left"/>
        <w:rPr>
          <w:sz w:val="22"/>
        </w:rPr>
      </w:pPr>
      <w:r>
        <w:rPr>
          <w:color w:val="231F20"/>
          <w:sz w:val="22"/>
        </w:rPr>
        <w:t>changes in the competitive environment due to industry consolidation, industry bankruptcies, and other</w:t>
      </w:r>
      <w:r>
        <w:rPr>
          <w:color w:val="231F20"/>
          <w:spacing w:val="-1"/>
          <w:sz w:val="22"/>
        </w:rPr>
        <w:t> </w:t>
      </w:r>
      <w:r>
        <w:rPr>
          <w:color w:val="231F20"/>
          <w:sz w:val="22"/>
        </w:rPr>
        <w:t>factors;</w:t>
      </w:r>
    </w:p>
    <w:p>
      <w:pPr>
        <w:pStyle w:val="BodyText"/>
        <w:spacing w:before="9"/>
        <w:rPr>
          <w:sz w:val="20"/>
        </w:rPr>
      </w:pPr>
    </w:p>
    <w:p>
      <w:pPr>
        <w:pStyle w:val="ListParagraph"/>
        <w:numPr>
          <w:ilvl w:val="2"/>
          <w:numId w:val="4"/>
        </w:numPr>
        <w:tabs>
          <w:tab w:pos="999" w:val="left" w:leader="none"/>
          <w:tab w:pos="1000" w:val="left" w:leader="none"/>
        </w:tabs>
        <w:spacing w:line="240" w:lineRule="auto" w:before="0" w:after="0"/>
        <w:ind w:left="1000" w:right="0" w:hanging="440"/>
        <w:jc w:val="left"/>
        <w:rPr>
          <w:sz w:val="22"/>
        </w:rPr>
      </w:pPr>
      <w:r>
        <w:rPr>
          <w:color w:val="231F20"/>
          <w:sz w:val="22"/>
        </w:rPr>
        <w:t>air traffic congestion and other air traffic control issues;</w:t>
      </w:r>
      <w:r>
        <w:rPr>
          <w:color w:val="231F20"/>
          <w:spacing w:val="-5"/>
          <w:sz w:val="22"/>
        </w:rPr>
        <w:t> </w:t>
      </w:r>
      <w:r>
        <w:rPr>
          <w:color w:val="231F20"/>
          <w:sz w:val="22"/>
        </w:rPr>
        <w:t>and</w:t>
      </w:r>
    </w:p>
    <w:p>
      <w:pPr>
        <w:pStyle w:val="BodyText"/>
        <w:spacing w:before="5"/>
        <w:rPr>
          <w:sz w:val="21"/>
        </w:rPr>
      </w:pPr>
    </w:p>
    <w:p>
      <w:pPr>
        <w:pStyle w:val="ListParagraph"/>
        <w:numPr>
          <w:ilvl w:val="2"/>
          <w:numId w:val="4"/>
        </w:numPr>
        <w:tabs>
          <w:tab w:pos="999" w:val="left" w:leader="none"/>
          <w:tab w:pos="1000" w:val="left" w:leader="none"/>
        </w:tabs>
        <w:spacing w:line="240" w:lineRule="auto" w:before="0" w:after="0"/>
        <w:ind w:left="1000" w:right="0" w:hanging="440"/>
        <w:jc w:val="left"/>
        <w:rPr>
          <w:sz w:val="22"/>
        </w:rPr>
      </w:pPr>
      <w:r>
        <w:rPr>
          <w:color w:val="231F20"/>
          <w:sz w:val="22"/>
        </w:rPr>
        <w:t>actual or threatened war, terrorist attacks, and political</w:t>
      </w:r>
      <w:r>
        <w:rPr>
          <w:color w:val="231F20"/>
          <w:spacing w:val="-1"/>
          <w:sz w:val="22"/>
        </w:rPr>
        <w:t> </w:t>
      </w:r>
      <w:r>
        <w:rPr>
          <w:color w:val="231F20"/>
          <w:sz w:val="22"/>
        </w:rPr>
        <w:t>instability.</w:t>
      </w:r>
    </w:p>
    <w:p>
      <w:pPr>
        <w:pStyle w:val="BodyText"/>
        <w:spacing w:before="5"/>
        <w:rPr>
          <w:sz w:val="21"/>
        </w:rPr>
      </w:pPr>
    </w:p>
    <w:p>
      <w:pPr>
        <w:pStyle w:val="Heading2"/>
        <w:ind w:left="480"/>
        <w:rPr>
          <w:i/>
        </w:rPr>
      </w:pPr>
      <w:r>
        <w:rPr>
          <w:i/>
          <w:color w:val="231F20"/>
        </w:rPr>
        <w:t>The airline industry is intensely competitive.</w:t>
      </w:r>
    </w:p>
    <w:p>
      <w:pPr>
        <w:pStyle w:val="BodyText"/>
        <w:spacing w:before="5"/>
        <w:rPr>
          <w:b/>
          <w:i/>
          <w:sz w:val="21"/>
        </w:rPr>
      </w:pPr>
    </w:p>
    <w:p>
      <w:pPr>
        <w:pStyle w:val="BodyText"/>
        <w:spacing w:line="247" w:lineRule="auto"/>
        <w:ind w:left="119" w:right="117"/>
        <w:jc w:val="both"/>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w:t>
      </w:r>
      <w:r>
        <w:rPr>
          <w:color w:val="231F20"/>
          <w:spacing w:val="-2"/>
        </w:rPr>
        <w:t> </w:t>
      </w:r>
      <w:r>
        <w:rPr>
          <w:color w:val="231F20"/>
        </w:rPr>
        <w:t>activities.</w:t>
      </w:r>
    </w:p>
    <w:p>
      <w:pPr>
        <w:pStyle w:val="BodyText"/>
        <w:spacing w:before="9"/>
        <w:rPr>
          <w:sz w:val="20"/>
        </w:rPr>
      </w:pPr>
    </w:p>
    <w:p>
      <w:pPr>
        <w:pStyle w:val="Heading2"/>
        <w:spacing w:line="247" w:lineRule="auto"/>
        <w:ind w:left="480"/>
      </w:pPr>
      <w:r>
        <w:rPr>
          <w:i/>
          <w:color w:val="231F20"/>
        </w:rPr>
        <w:t>The Company’s future results will suffer if it does not effectively manage its expanded </w:t>
      </w:r>
      <w:r>
        <w:rPr>
          <w:color w:val="231F20"/>
        </w:rPr>
        <w:t>international operations.</w:t>
      </w:r>
    </w:p>
    <w:p>
      <w:pPr>
        <w:pStyle w:val="BodyText"/>
        <w:spacing w:before="9"/>
        <w:rPr>
          <w:b/>
          <w:i/>
          <w:sz w:val="20"/>
        </w:rPr>
      </w:pPr>
    </w:p>
    <w:p>
      <w:pPr>
        <w:pStyle w:val="BodyText"/>
        <w:spacing w:line="247" w:lineRule="auto"/>
        <w:ind w:left="119" w:right="117"/>
        <w:jc w:val="both"/>
      </w:pPr>
      <w:r>
        <w:rPr>
          <w:color w:val="231F20"/>
        </w:rPr>
        <w:t>As the Company expands its international flight offerings, the U.S. Customs and Border Protection (“CBP”) will become an increasingly important federal agency. CBP personnel and CBP-mandated procedures can affect the Company’s operations, costs, and Customer experience. The Company has made, and is continuing to make, significant investments in facilities, equipment, and technologies at certain airports in order to improve the Customer experience and to assist CBP with its inspection and processing duties; however, the Company is not able to predict the impact, if any, that various CBP measures or the lack of CBP resources will have on Company revenues and costs, either in the short- term or the long-term.</w:t>
      </w:r>
    </w:p>
    <w:p>
      <w:pPr>
        <w:pStyle w:val="BodyText"/>
        <w:spacing w:before="9"/>
        <w:rPr>
          <w:sz w:val="20"/>
        </w:rPr>
      </w:pPr>
    </w:p>
    <w:p>
      <w:pPr>
        <w:pStyle w:val="BodyText"/>
        <w:spacing w:line="247" w:lineRule="auto"/>
        <w:ind w:left="119" w:right="117"/>
        <w:jc w:val="both"/>
      </w:pPr>
      <w:r>
        <w:rPr>
          <w:color w:val="231F20"/>
        </w:rPr>
        <w:t>International flying requires the Company to modify certain processes, as the airport environment is dramatically different in certain international locations with respect to, among other things, common- use ticket counters and gate areas, local operating requirements, and cultural preferences. In addition,</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bookmarkStart w:name="Item 1B. Unresolved Staff Comments " w:id="8"/>
      <w:bookmarkEnd w:id="8"/>
      <w:r>
        <w:rPr/>
      </w:r>
      <w:r>
        <w:rPr>
          <w:color w:val="231F20"/>
        </w:rPr>
        <w:t>international flying exposes the Company to certain foreign currency risks to the extent the Company chooses to, or is required to, transact in currencies other than the U.S. dollar. To the extent the Company seeks to serve additional foreign destinations in the future, or to renew its authority to serve certain routes, it may be required to obtain necessary authority from the DOT and/or approvals from  the FAA, as well as any applicable foreign government</w:t>
      </w:r>
      <w:r>
        <w:rPr>
          <w:color w:val="231F20"/>
          <w:spacing w:val="-1"/>
        </w:rPr>
        <w:t> </w:t>
      </w:r>
      <w:r>
        <w:rPr>
          <w:color w:val="231F20"/>
        </w:rPr>
        <w:t>entity.</w:t>
      </w:r>
    </w:p>
    <w:p>
      <w:pPr>
        <w:pStyle w:val="BodyText"/>
        <w:spacing w:before="9"/>
        <w:rPr>
          <w:sz w:val="20"/>
        </w:rPr>
      </w:pPr>
    </w:p>
    <w:p>
      <w:pPr>
        <w:pStyle w:val="BodyText"/>
        <w:spacing w:line="247" w:lineRule="auto"/>
        <w:ind w:left="100" w:right="117"/>
        <w:jc w:val="both"/>
      </w:pPr>
      <w:r>
        <w:rPr>
          <w:color w:val="231F20"/>
        </w:rPr>
        <w:t>The Company’s expansion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laws. Furthermore,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laws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3"/>
        </w:rPr>
        <w:t> </w:t>
      </w:r>
      <w:r>
        <w:rPr>
          <w:color w:val="231F20"/>
        </w:rPr>
        <w:t>operations.</w:t>
      </w:r>
    </w:p>
    <w:p>
      <w:pPr>
        <w:pStyle w:val="BodyText"/>
        <w:spacing w:before="9"/>
        <w:rPr>
          <w:sz w:val="20"/>
        </w:rPr>
      </w:pPr>
    </w:p>
    <w:p>
      <w:pPr>
        <w:pStyle w:val="Heading2"/>
        <w:spacing w:line="247" w:lineRule="auto"/>
        <w:ind w:right="118"/>
        <w:jc w:val="both"/>
      </w:pPr>
      <w:r>
        <w:rPr>
          <w:i/>
          <w:color w:val="231F20"/>
        </w:rPr>
        <w:t>The Company is currently subject to pending litigation, and if judgment were to be rendered </w:t>
      </w:r>
      <w:r>
        <w:rPr>
          <w:color w:val="231F20"/>
        </w:rPr>
        <w:t>against the Company in the litigation, such judgment could adversely affect the Company’s operating results.</w:t>
      </w:r>
    </w:p>
    <w:p>
      <w:pPr>
        <w:pStyle w:val="BodyText"/>
        <w:spacing w:before="9"/>
        <w:rPr>
          <w:b/>
          <w:i/>
          <w:sz w:val="20"/>
        </w:rPr>
      </w:pPr>
    </w:p>
    <w:p>
      <w:pPr>
        <w:pStyle w:val="BodyText"/>
        <w:ind w:left="100"/>
        <w:jc w:val="both"/>
      </w:pPr>
      <w:r>
        <w:rPr>
          <w:color w:val="231F20"/>
        </w:rPr>
        <w:t>As discussed below under “Legal Proceedings,” the Company is subject to pending litigation.</w:t>
      </w:r>
    </w:p>
    <w:p>
      <w:pPr>
        <w:pStyle w:val="BodyText"/>
        <w:spacing w:before="5"/>
        <w:rPr>
          <w:sz w:val="21"/>
        </w:rPr>
      </w:pPr>
    </w:p>
    <w:p>
      <w:pPr>
        <w:pStyle w:val="BodyText"/>
        <w:spacing w:line="247" w:lineRule="auto"/>
        <w:ind w:left="100" w:right="117"/>
        <w:jc w:val="both"/>
      </w:pPr>
      <w:r>
        <w:rPr>
          <w:color w:val="231F20"/>
        </w:rPr>
        <w:t>Regardless of merit, these litigation matters and any potential future claims against the Company or AirTran may be both time consuming and disruptive to the Company’s operations and cause significant expense and diversion of management attention. Should AirTran and the Company fail to prevail in these or other matters, the Company may be faced with significant monetary damages or injunctive relief that could materially adversely affect its business and might materially affect its financial condition and operating results.</w:t>
      </w:r>
    </w:p>
    <w:p>
      <w:pPr>
        <w:pStyle w:val="BodyText"/>
        <w:spacing w:before="2"/>
        <w:rPr>
          <w:sz w:val="31"/>
        </w:rPr>
      </w:pPr>
    </w:p>
    <w:p>
      <w:pPr>
        <w:tabs>
          <w:tab w:pos="1529" w:val="left" w:leader="none"/>
        </w:tabs>
        <w:spacing w:before="1"/>
        <w:ind w:left="100" w:right="0" w:firstLine="0"/>
        <w:jc w:val="both"/>
        <w:rPr>
          <w:b/>
          <w:i/>
          <w:sz w:val="22"/>
        </w:rPr>
      </w:pPr>
      <w:r>
        <w:rPr>
          <w:b/>
          <w:color w:val="231F20"/>
          <w:sz w:val="22"/>
        </w:rPr>
        <w:t>Item 1B.</w:t>
        <w:tab/>
      </w:r>
      <w:r>
        <w:rPr>
          <w:b/>
          <w:i/>
          <w:color w:val="231F20"/>
          <w:sz w:val="22"/>
        </w:rPr>
        <w:t>Unresolved Staff</w:t>
      </w:r>
      <w:r>
        <w:rPr>
          <w:b/>
          <w:i/>
          <w:color w:val="231F20"/>
          <w:spacing w:val="-1"/>
          <w:sz w:val="22"/>
        </w:rPr>
        <w:t> </w:t>
      </w:r>
      <w:r>
        <w:rPr>
          <w:b/>
          <w:i/>
          <w:color w:val="231F20"/>
          <w:sz w:val="22"/>
        </w:rPr>
        <w:t>Comments</w:t>
      </w:r>
    </w:p>
    <w:p>
      <w:pPr>
        <w:pStyle w:val="BodyText"/>
        <w:spacing w:before="5"/>
        <w:rPr>
          <w:b/>
          <w:i/>
          <w:sz w:val="21"/>
        </w:rPr>
      </w:pPr>
    </w:p>
    <w:p>
      <w:pPr>
        <w:pStyle w:val="BodyText"/>
        <w:ind w:left="100"/>
        <w:jc w:val="both"/>
      </w:pPr>
      <w:r>
        <w:rPr>
          <w:color w:val="231F20"/>
        </w:rPr>
        <w:t>None.</w:t>
      </w:r>
    </w:p>
    <w:p>
      <w:pPr>
        <w:spacing w:after="0"/>
        <w:jc w:val="both"/>
        <w:sectPr>
          <w:pgSz w:w="11880" w:h="15480"/>
          <w:pgMar w:header="0" w:footer="1240" w:top="1240" w:bottom="1420" w:left="1280" w:right="1260"/>
        </w:sectPr>
      </w:pPr>
    </w:p>
    <w:p>
      <w:pPr>
        <w:tabs>
          <w:tab w:pos="1549" w:val="left" w:leader="none"/>
        </w:tabs>
        <w:spacing w:before="74"/>
        <w:ind w:left="120" w:right="0" w:firstLine="0"/>
        <w:jc w:val="both"/>
        <w:rPr>
          <w:b/>
          <w:i/>
          <w:sz w:val="22"/>
        </w:rPr>
      </w:pPr>
      <w:bookmarkStart w:name="Item 2. Properties " w:id="9"/>
      <w:bookmarkEnd w:id="9"/>
      <w:r>
        <w:rPr/>
      </w:r>
      <w:r>
        <w:rPr>
          <w:b/>
          <w:color w:val="231F20"/>
          <w:sz w:val="22"/>
        </w:rPr>
        <w:t>Item 2.</w:t>
        <w:tab/>
      </w:r>
      <w:r>
        <w:rPr>
          <w:b/>
          <w:i/>
          <w:color w:val="231F20"/>
          <w:sz w:val="22"/>
        </w:rPr>
        <w:t>Properties</w:t>
      </w:r>
    </w:p>
    <w:p>
      <w:pPr>
        <w:pStyle w:val="Heading1"/>
        <w:spacing w:before="213"/>
        <w:ind w:left="120"/>
      </w:pPr>
      <w:r>
        <w:rPr>
          <w:color w:val="231F20"/>
        </w:rPr>
        <w:t>Aircraft</w:t>
      </w:r>
    </w:p>
    <w:p>
      <w:pPr>
        <w:pStyle w:val="BodyText"/>
        <w:spacing w:line="247" w:lineRule="auto" w:before="213"/>
        <w:ind w:left="120" w:right="118"/>
        <w:jc w:val="both"/>
      </w:pPr>
      <w:r>
        <w:rPr>
          <w:color w:val="231F20"/>
        </w:rPr>
        <w:t>Southwest operated a total of 723 Boeing 737 aircraft as of December 31, 2016, of which 83 and 51 were under operating and capital leases, respectively. The following table details information on the 723 aircraft as of December 31, 2016:</w:t>
      </w:r>
    </w:p>
    <w:p>
      <w:pPr>
        <w:spacing w:after="0" w:line="247" w:lineRule="auto"/>
        <w:jc w:val="both"/>
        <w:sectPr>
          <w:pgSz w:w="11880" w:h="15480"/>
          <w:pgMar w:header="0" w:footer="1240" w:top="1240" w:bottom="1420" w:left="1260" w:right="1260"/>
        </w:sectPr>
      </w:pPr>
    </w:p>
    <w:p>
      <w:pPr>
        <w:spacing w:line="200" w:lineRule="exact" w:before="191"/>
        <w:ind w:left="4522" w:right="-19" w:hanging="189"/>
        <w:jc w:val="left"/>
        <w:rPr>
          <w:b/>
          <w:sz w:val="20"/>
        </w:rPr>
      </w:pPr>
      <w:r>
        <w:rPr/>
        <w:pict>
          <v:shape style="position:absolute;margin-left:69pt;margin-top:28.250011pt;width:456pt;height:74.55pt;mso-position-horizontal-relative:page;mso-position-vertical-relative:paragraph;z-index:13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00"/>
                    <w:gridCol w:w="100"/>
                    <w:gridCol w:w="1180"/>
                    <w:gridCol w:w="100"/>
                    <w:gridCol w:w="1180"/>
                    <w:gridCol w:w="100"/>
                    <w:gridCol w:w="1400"/>
                    <w:gridCol w:w="1180"/>
                    <w:gridCol w:w="100"/>
                    <w:gridCol w:w="1180"/>
                  </w:tblGrid>
                  <w:tr>
                    <w:trPr>
                      <w:trHeight w:val="256" w:hRule="exact"/>
                    </w:trPr>
                    <w:tc>
                      <w:tcPr>
                        <w:tcW w:w="2600" w:type="dxa"/>
                      </w:tcPr>
                      <w:p>
                        <w:pPr>
                          <w:pStyle w:val="TableParagraph"/>
                          <w:spacing w:line="229" w:lineRule="exact" w:before="0"/>
                          <w:ind w:left="60"/>
                          <w:rPr>
                            <w:b/>
                            <w:sz w:val="20"/>
                          </w:rPr>
                        </w:pPr>
                        <w:r>
                          <w:rPr>
                            <w:b/>
                            <w:color w:val="231F20"/>
                            <w:sz w:val="20"/>
                          </w:rPr>
                          <w:t>Type</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Seats</w:t>
                        </w:r>
                      </w:p>
                    </w:tc>
                    <w:tc>
                      <w:tcPr>
                        <w:tcW w:w="100" w:type="dxa"/>
                      </w:tcPr>
                      <w:p>
                        <w:pPr/>
                      </w:p>
                    </w:tc>
                    <w:tc>
                      <w:tcPr>
                        <w:tcW w:w="1180" w:type="dxa"/>
                        <w:tcBorders>
                          <w:bottom w:val="single" w:sz="8" w:space="0" w:color="231F20"/>
                        </w:tcBorders>
                      </w:tcPr>
                      <w:p>
                        <w:pPr>
                          <w:pStyle w:val="TableParagraph"/>
                          <w:spacing w:line="229" w:lineRule="exact" w:before="0"/>
                          <w:ind w:left="366"/>
                          <w:rPr>
                            <w:b/>
                            <w:sz w:val="20"/>
                          </w:rPr>
                        </w:pPr>
                        <w:r>
                          <w:rPr>
                            <w:b/>
                            <w:color w:val="231F20"/>
                            <w:sz w:val="20"/>
                          </w:rPr>
                          <w:t>(Yrs)</w:t>
                        </w:r>
                      </w:p>
                    </w:tc>
                    <w:tc>
                      <w:tcPr>
                        <w:tcW w:w="100" w:type="dxa"/>
                      </w:tcPr>
                      <w:p>
                        <w:pPr/>
                      </w:p>
                    </w:tc>
                    <w:tc>
                      <w:tcPr>
                        <w:tcW w:w="1400" w:type="dxa"/>
                        <w:tcBorders>
                          <w:bottom w:val="single" w:sz="8" w:space="0" w:color="231F20"/>
                        </w:tcBorders>
                      </w:tcPr>
                      <w:p>
                        <w:pPr>
                          <w:pStyle w:val="TableParagraph"/>
                          <w:spacing w:line="229" w:lineRule="exact" w:before="0"/>
                          <w:ind w:left="238"/>
                          <w:rPr>
                            <w:b/>
                            <w:sz w:val="20"/>
                          </w:rPr>
                        </w:pPr>
                        <w:r>
                          <w:rPr>
                            <w:b/>
                            <w:color w:val="231F20"/>
                            <w:sz w:val="20"/>
                          </w:rPr>
                          <w:t>Aircraft</w:t>
                        </w:r>
                      </w:p>
                    </w:tc>
                    <w:tc>
                      <w:tcPr>
                        <w:tcW w:w="1180" w:type="dxa"/>
                        <w:tcBorders>
                          <w:bottom w:val="single" w:sz="8" w:space="0" w:color="231F20"/>
                        </w:tcBorders>
                      </w:tcPr>
                      <w:p>
                        <w:pPr>
                          <w:pStyle w:val="TableParagraph"/>
                          <w:spacing w:line="229" w:lineRule="exact" w:before="0"/>
                          <w:ind w:left="141"/>
                          <w:rPr>
                            <w:b/>
                            <w:sz w:val="20"/>
                          </w:rPr>
                        </w:pPr>
                        <w:r>
                          <w:rPr>
                            <w:b/>
                            <w:color w:val="231F20"/>
                            <w:sz w:val="20"/>
                          </w:rPr>
                          <w:t>Owned (a)</w:t>
                        </w:r>
                      </w:p>
                    </w:tc>
                    <w:tc>
                      <w:tcPr>
                        <w:tcW w:w="100" w:type="dxa"/>
                      </w:tcPr>
                      <w:p>
                        <w:pPr/>
                      </w:p>
                    </w:tc>
                    <w:tc>
                      <w:tcPr>
                        <w:tcW w:w="1180" w:type="dxa"/>
                        <w:tcBorders>
                          <w:bottom w:val="single" w:sz="8" w:space="0" w:color="231F20"/>
                        </w:tcBorders>
                      </w:tcPr>
                      <w:p>
                        <w:pPr>
                          <w:pStyle w:val="TableParagraph"/>
                          <w:spacing w:line="229" w:lineRule="exact" w:before="0"/>
                          <w:ind w:left="290"/>
                          <w:rPr>
                            <w:b/>
                            <w:sz w:val="20"/>
                          </w:rPr>
                        </w:pPr>
                        <w:r>
                          <w:rPr>
                            <w:b/>
                            <w:color w:val="231F20"/>
                            <w:sz w:val="20"/>
                          </w:rPr>
                          <w:t>Leased</w:t>
                        </w:r>
                      </w:p>
                    </w:tc>
                  </w:tr>
                  <w:tr>
                    <w:trPr>
                      <w:trHeight w:val="290" w:hRule="exact"/>
                    </w:trPr>
                    <w:tc>
                      <w:tcPr>
                        <w:tcW w:w="2600" w:type="dxa"/>
                        <w:shd w:val="clear" w:color="auto" w:fill="D1D3D4"/>
                      </w:tcPr>
                      <w:p>
                        <w:pPr>
                          <w:pStyle w:val="TableParagraph"/>
                          <w:spacing w:before="33"/>
                          <w:ind w:left="60"/>
                          <w:rPr>
                            <w:sz w:val="20"/>
                          </w:rPr>
                        </w:pPr>
                        <w:r>
                          <w:rPr>
                            <w:color w:val="231F20"/>
                            <w:sz w:val="20"/>
                          </w:rPr>
                          <w:t>737-300</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left="313"/>
                          <w:rPr>
                            <w:sz w:val="20"/>
                          </w:rPr>
                        </w:pPr>
                        <w:r>
                          <w:rPr>
                            <w:color w:val="231F20"/>
                            <w:sz w:val="20"/>
                          </w:rPr>
                          <w:t>137 or 143</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22</w:t>
                        </w:r>
                      </w:p>
                    </w:tc>
                    <w:tc>
                      <w:tcPr>
                        <w:tcW w:w="100" w:type="dxa"/>
                        <w:shd w:val="clear" w:color="auto" w:fill="D1D3D4"/>
                      </w:tcPr>
                      <w:p>
                        <w:pPr/>
                      </w:p>
                    </w:tc>
                    <w:tc>
                      <w:tcPr>
                        <w:tcW w:w="1400" w:type="dxa"/>
                        <w:tcBorders>
                          <w:top w:val="single" w:sz="8" w:space="0" w:color="231F20"/>
                        </w:tcBorders>
                        <w:shd w:val="clear" w:color="auto" w:fill="D1D3D4"/>
                      </w:tcPr>
                      <w:p>
                        <w:pPr>
                          <w:pStyle w:val="TableParagraph"/>
                          <w:spacing w:before="33"/>
                          <w:ind w:left="900"/>
                          <w:rPr>
                            <w:sz w:val="20"/>
                          </w:rPr>
                        </w:pPr>
                        <w:r>
                          <w:rPr>
                            <w:color w:val="231F20"/>
                            <w:sz w:val="20"/>
                          </w:rPr>
                          <w:t>87 (b)</w:t>
                        </w: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57</w:t>
                        </w:r>
                      </w:p>
                    </w:tc>
                    <w:tc>
                      <w:tcPr>
                        <w:tcW w:w="100" w:type="dxa"/>
                        <w:shd w:val="clear" w:color="auto" w:fill="D1D3D4"/>
                      </w:tcPr>
                      <w:p>
                        <w:pPr/>
                      </w:p>
                    </w:tc>
                    <w:tc>
                      <w:tcPr>
                        <w:tcW w:w="1180" w:type="dxa"/>
                        <w:tcBorders>
                          <w:top w:val="single" w:sz="8" w:space="0" w:color="231F20"/>
                        </w:tcBorders>
                        <w:shd w:val="clear" w:color="auto" w:fill="D1D3D4"/>
                      </w:tcPr>
                      <w:p>
                        <w:pPr>
                          <w:pStyle w:val="TableParagraph"/>
                          <w:spacing w:before="33"/>
                          <w:ind w:right="79"/>
                          <w:jc w:val="right"/>
                          <w:rPr>
                            <w:sz w:val="20"/>
                          </w:rPr>
                        </w:pPr>
                        <w:r>
                          <w:rPr>
                            <w:color w:val="231F20"/>
                            <w:sz w:val="20"/>
                          </w:rPr>
                          <w:t>30</w:t>
                        </w:r>
                      </w:p>
                    </w:tc>
                  </w:tr>
                  <w:tr>
                    <w:trPr>
                      <w:trHeight w:val="280" w:hRule="exact"/>
                    </w:trPr>
                    <w:tc>
                      <w:tcPr>
                        <w:tcW w:w="2600" w:type="dxa"/>
                      </w:tcPr>
                      <w:p>
                        <w:pPr>
                          <w:pStyle w:val="TableParagraph"/>
                          <w:spacing w:before="33"/>
                          <w:ind w:left="60"/>
                          <w:rPr>
                            <w:sz w:val="20"/>
                          </w:rPr>
                        </w:pPr>
                        <w:r>
                          <w:rPr>
                            <w:color w:val="231F20"/>
                            <w:sz w:val="20"/>
                          </w:rPr>
                          <w:t>737-700</w:t>
                        </w:r>
                      </w:p>
                    </w:tc>
                    <w:tc>
                      <w:tcPr>
                        <w:tcW w:w="100" w:type="dxa"/>
                      </w:tcPr>
                      <w:p>
                        <w:pPr/>
                      </w:p>
                    </w:tc>
                    <w:tc>
                      <w:tcPr>
                        <w:tcW w:w="1180" w:type="dxa"/>
                      </w:tcPr>
                      <w:p>
                        <w:pPr>
                          <w:pStyle w:val="TableParagraph"/>
                          <w:spacing w:before="33"/>
                          <w:ind w:left="596"/>
                          <w:rPr>
                            <w:sz w:val="20"/>
                          </w:rPr>
                        </w:pPr>
                        <w:r>
                          <w:rPr>
                            <w:color w:val="231F20"/>
                            <w:sz w:val="20"/>
                          </w:rPr>
                          <w:t>143</w:t>
                        </w:r>
                      </w:p>
                    </w:tc>
                    <w:tc>
                      <w:tcPr>
                        <w:tcW w:w="100" w:type="dxa"/>
                      </w:tcPr>
                      <w:p>
                        <w:pPr/>
                      </w:p>
                    </w:tc>
                    <w:tc>
                      <w:tcPr>
                        <w:tcW w:w="1180" w:type="dxa"/>
                      </w:tcPr>
                      <w:p>
                        <w:pPr>
                          <w:pStyle w:val="TableParagraph"/>
                          <w:spacing w:before="33"/>
                          <w:ind w:right="79"/>
                          <w:jc w:val="right"/>
                          <w:rPr>
                            <w:sz w:val="20"/>
                          </w:rPr>
                        </w:pPr>
                        <w:r>
                          <w:rPr>
                            <w:color w:val="231F20"/>
                            <w:sz w:val="20"/>
                          </w:rPr>
                          <w:t>13</w:t>
                        </w:r>
                      </w:p>
                    </w:tc>
                    <w:tc>
                      <w:tcPr>
                        <w:tcW w:w="100" w:type="dxa"/>
                      </w:tcPr>
                      <w:p>
                        <w:pPr/>
                      </w:p>
                    </w:tc>
                    <w:tc>
                      <w:tcPr>
                        <w:tcW w:w="1400" w:type="dxa"/>
                      </w:tcPr>
                      <w:p>
                        <w:pPr>
                          <w:pStyle w:val="TableParagraph"/>
                          <w:spacing w:before="33"/>
                          <w:ind w:left="800"/>
                          <w:rPr>
                            <w:sz w:val="20"/>
                          </w:rPr>
                        </w:pPr>
                        <w:r>
                          <w:rPr>
                            <w:color w:val="231F20"/>
                            <w:sz w:val="20"/>
                          </w:rPr>
                          <w:t>494</w:t>
                        </w:r>
                      </w:p>
                    </w:tc>
                    <w:tc>
                      <w:tcPr>
                        <w:tcW w:w="1180" w:type="dxa"/>
                      </w:tcPr>
                      <w:p>
                        <w:pPr>
                          <w:pStyle w:val="TableParagraph"/>
                          <w:spacing w:before="33"/>
                          <w:ind w:right="79"/>
                          <w:jc w:val="right"/>
                          <w:rPr>
                            <w:sz w:val="20"/>
                          </w:rPr>
                        </w:pPr>
                        <w:r>
                          <w:rPr>
                            <w:color w:val="231F20"/>
                            <w:sz w:val="20"/>
                          </w:rPr>
                          <w:t>397</w:t>
                        </w:r>
                      </w:p>
                    </w:tc>
                    <w:tc>
                      <w:tcPr>
                        <w:tcW w:w="100" w:type="dxa"/>
                      </w:tcPr>
                      <w:p>
                        <w:pPr/>
                      </w:p>
                    </w:tc>
                    <w:tc>
                      <w:tcPr>
                        <w:tcW w:w="1180" w:type="dxa"/>
                      </w:tcPr>
                      <w:p>
                        <w:pPr>
                          <w:pStyle w:val="TableParagraph"/>
                          <w:spacing w:before="33"/>
                          <w:ind w:right="79"/>
                          <w:jc w:val="right"/>
                          <w:rPr>
                            <w:sz w:val="20"/>
                          </w:rPr>
                        </w:pPr>
                        <w:r>
                          <w:rPr>
                            <w:color w:val="231F20"/>
                            <w:sz w:val="20"/>
                          </w:rPr>
                          <w:t>97</w:t>
                        </w:r>
                      </w:p>
                    </w:tc>
                  </w:tr>
                  <w:tr>
                    <w:trPr>
                      <w:trHeight w:val="295" w:hRule="exact"/>
                    </w:trPr>
                    <w:tc>
                      <w:tcPr>
                        <w:tcW w:w="2600" w:type="dxa"/>
                        <w:shd w:val="clear" w:color="auto" w:fill="D1D3D4"/>
                      </w:tcPr>
                      <w:p>
                        <w:pPr>
                          <w:pStyle w:val="TableParagraph"/>
                          <w:spacing w:before="33"/>
                          <w:ind w:left="60"/>
                          <w:rPr>
                            <w:sz w:val="20"/>
                          </w:rPr>
                        </w:pPr>
                        <w:r>
                          <w:rPr>
                            <w:color w:val="231F20"/>
                            <w:sz w:val="20"/>
                          </w:rPr>
                          <w:t>737-800</w:t>
                        </w:r>
                      </w:p>
                    </w:tc>
                    <w:tc>
                      <w:tcPr>
                        <w:tcW w:w="100" w:type="dxa"/>
                        <w:shd w:val="clear" w:color="auto" w:fill="D1D3D4"/>
                      </w:tcPr>
                      <w:p>
                        <w:pPr/>
                      </w:p>
                    </w:tc>
                    <w:tc>
                      <w:tcPr>
                        <w:tcW w:w="1180" w:type="dxa"/>
                        <w:shd w:val="clear" w:color="auto" w:fill="D1D3D4"/>
                      </w:tcPr>
                      <w:p>
                        <w:pPr>
                          <w:pStyle w:val="TableParagraph"/>
                          <w:spacing w:before="33"/>
                          <w:ind w:left="596"/>
                          <w:rPr>
                            <w:sz w:val="20"/>
                          </w:rPr>
                        </w:pPr>
                        <w:r>
                          <w:rPr>
                            <w:color w:val="231F20"/>
                            <w:sz w:val="20"/>
                          </w:rPr>
                          <w:t>175</w:t>
                        </w:r>
                      </w:p>
                    </w:tc>
                    <w:tc>
                      <w:tcPr>
                        <w:tcW w:w="100" w:type="dxa"/>
                        <w:shd w:val="clear" w:color="auto" w:fill="D1D3D4"/>
                      </w:tcPr>
                      <w:p>
                        <w:pPr/>
                      </w:p>
                    </w:tc>
                    <w:tc>
                      <w:tcPr>
                        <w:tcW w:w="1180" w:type="dxa"/>
                        <w:shd w:val="clear" w:color="auto" w:fill="D1D3D4"/>
                      </w:tcPr>
                      <w:p>
                        <w:pPr>
                          <w:pStyle w:val="TableParagraph"/>
                          <w:spacing w:before="33"/>
                          <w:ind w:right="79"/>
                          <w:jc w:val="right"/>
                          <w:rPr>
                            <w:sz w:val="20"/>
                          </w:rPr>
                        </w:pPr>
                        <w:r>
                          <w:rPr>
                            <w:color w:val="231F20"/>
                            <w:sz w:val="20"/>
                          </w:rPr>
                          <w:t>2</w:t>
                        </w:r>
                      </w:p>
                    </w:tc>
                    <w:tc>
                      <w:tcPr>
                        <w:tcW w:w="100" w:type="dxa"/>
                        <w:shd w:val="clear" w:color="auto" w:fill="D1D3D4"/>
                      </w:tcPr>
                      <w:p>
                        <w:pPr/>
                      </w:p>
                    </w:tc>
                    <w:tc>
                      <w:tcPr>
                        <w:tcW w:w="1400" w:type="dxa"/>
                        <w:tcBorders>
                          <w:bottom w:val="single" w:sz="4" w:space="0" w:color="231F20"/>
                        </w:tcBorders>
                        <w:shd w:val="clear" w:color="auto" w:fill="D1D3D4"/>
                      </w:tcPr>
                      <w:p>
                        <w:pPr>
                          <w:pStyle w:val="TableParagraph"/>
                          <w:spacing w:before="33"/>
                          <w:ind w:left="800"/>
                          <w:rPr>
                            <w:sz w:val="20"/>
                          </w:rPr>
                        </w:pPr>
                        <w:r>
                          <w:rPr>
                            <w:color w:val="231F20"/>
                            <w:sz w:val="20"/>
                          </w:rPr>
                          <w:t>142</w:t>
                        </w:r>
                      </w:p>
                    </w:tc>
                    <w:tc>
                      <w:tcPr>
                        <w:tcW w:w="1180" w:type="dxa"/>
                        <w:tcBorders>
                          <w:bottom w:val="single" w:sz="4" w:space="0" w:color="231F20"/>
                        </w:tcBorders>
                        <w:shd w:val="clear" w:color="auto" w:fill="D1D3D4"/>
                      </w:tcPr>
                      <w:p>
                        <w:pPr>
                          <w:pStyle w:val="TableParagraph"/>
                          <w:spacing w:before="33"/>
                          <w:ind w:right="79"/>
                          <w:jc w:val="right"/>
                          <w:rPr>
                            <w:sz w:val="20"/>
                          </w:rPr>
                        </w:pPr>
                        <w:r>
                          <w:rPr>
                            <w:color w:val="231F20"/>
                            <w:sz w:val="20"/>
                          </w:rPr>
                          <w:t>135</w:t>
                        </w:r>
                      </w:p>
                    </w:tc>
                    <w:tc>
                      <w:tcPr>
                        <w:tcW w:w="100" w:type="dxa"/>
                        <w:shd w:val="clear" w:color="auto" w:fill="D1D3D4"/>
                      </w:tcPr>
                      <w:p>
                        <w:pPr/>
                      </w:p>
                    </w:tc>
                    <w:tc>
                      <w:tcPr>
                        <w:tcW w:w="1180" w:type="dxa"/>
                        <w:tcBorders>
                          <w:bottom w:val="single" w:sz="4" w:space="0" w:color="231F20"/>
                        </w:tcBorders>
                        <w:shd w:val="clear" w:color="auto" w:fill="D1D3D4"/>
                      </w:tcPr>
                      <w:p>
                        <w:pPr>
                          <w:pStyle w:val="TableParagraph"/>
                          <w:spacing w:before="33"/>
                          <w:ind w:right="79"/>
                          <w:jc w:val="right"/>
                          <w:rPr>
                            <w:sz w:val="20"/>
                          </w:rPr>
                        </w:pPr>
                        <w:r>
                          <w:rPr>
                            <w:color w:val="231F20"/>
                            <w:sz w:val="20"/>
                          </w:rPr>
                          <w:t>7</w:t>
                        </w:r>
                      </w:p>
                    </w:tc>
                  </w:tr>
                  <w:tr>
                    <w:trPr>
                      <w:trHeight w:val="360" w:hRule="exact"/>
                    </w:trPr>
                    <w:tc>
                      <w:tcPr>
                        <w:tcW w:w="2600" w:type="dxa"/>
                      </w:tcPr>
                      <w:p>
                        <w:pPr>
                          <w:pStyle w:val="TableParagraph"/>
                          <w:ind w:left="60"/>
                          <w:rPr>
                            <w:sz w:val="20"/>
                          </w:rPr>
                        </w:pPr>
                        <w:r>
                          <w:rPr>
                            <w:color w:val="231F20"/>
                            <w:sz w:val="20"/>
                          </w:rPr>
                          <w:t>Totals</w:t>
                        </w:r>
                      </w:p>
                    </w:tc>
                    <w:tc>
                      <w:tcPr>
                        <w:tcW w:w="100" w:type="dxa"/>
                      </w:tcPr>
                      <w:p>
                        <w:pPr/>
                      </w:p>
                    </w:tc>
                    <w:tc>
                      <w:tcPr>
                        <w:tcW w:w="1180" w:type="dxa"/>
                      </w:tcPr>
                      <w:p>
                        <w:pPr/>
                      </w:p>
                    </w:tc>
                    <w:tc>
                      <w:tcPr>
                        <w:tcW w:w="100" w:type="dxa"/>
                      </w:tcPr>
                      <w:p>
                        <w:pPr/>
                      </w:p>
                    </w:tc>
                    <w:tc>
                      <w:tcPr>
                        <w:tcW w:w="1180" w:type="dxa"/>
                      </w:tcPr>
                      <w:p>
                        <w:pPr>
                          <w:pStyle w:val="TableParagraph"/>
                          <w:ind w:right="79"/>
                          <w:jc w:val="right"/>
                          <w:rPr>
                            <w:sz w:val="20"/>
                          </w:rPr>
                        </w:pPr>
                        <w:r>
                          <w:rPr>
                            <w:color w:val="231F20"/>
                            <w:sz w:val="20"/>
                          </w:rPr>
                          <w:t>12</w:t>
                        </w:r>
                      </w:p>
                    </w:tc>
                    <w:tc>
                      <w:tcPr>
                        <w:tcW w:w="100" w:type="dxa"/>
                      </w:tcPr>
                      <w:p>
                        <w:pPr/>
                      </w:p>
                    </w:tc>
                    <w:tc>
                      <w:tcPr>
                        <w:tcW w:w="1400" w:type="dxa"/>
                        <w:tcBorders>
                          <w:top w:val="single" w:sz="4" w:space="0" w:color="231F20"/>
                          <w:bottom w:val="single" w:sz="4" w:space="0" w:color="231F20"/>
                        </w:tcBorders>
                      </w:tcPr>
                      <w:p>
                        <w:pPr>
                          <w:pStyle w:val="TableParagraph"/>
                          <w:spacing w:before="33"/>
                          <w:ind w:left="800"/>
                          <w:rPr>
                            <w:sz w:val="20"/>
                          </w:rPr>
                        </w:pPr>
                        <w:r>
                          <w:rPr>
                            <w:color w:val="231F20"/>
                            <w:sz w:val="20"/>
                          </w:rPr>
                          <w:t>723</w:t>
                        </w: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589</w:t>
                        </w:r>
                      </w:p>
                    </w:tc>
                    <w:tc>
                      <w:tcPr>
                        <w:tcW w:w="100" w:type="dxa"/>
                      </w:tcPr>
                      <w:p>
                        <w:pPr/>
                      </w:p>
                    </w:tc>
                    <w:tc>
                      <w:tcPr>
                        <w:tcW w:w="1180" w:type="dxa"/>
                        <w:tcBorders>
                          <w:top w:val="single" w:sz="4" w:space="0" w:color="231F20"/>
                          <w:bottom w:val="single" w:sz="4" w:space="0" w:color="231F20"/>
                        </w:tcBorders>
                      </w:tcPr>
                      <w:p>
                        <w:pPr>
                          <w:pStyle w:val="TableParagraph"/>
                          <w:spacing w:before="33"/>
                          <w:ind w:right="79"/>
                          <w:jc w:val="right"/>
                          <w:rPr>
                            <w:sz w:val="20"/>
                          </w:rPr>
                        </w:pPr>
                        <w:r>
                          <w:rPr>
                            <w:color w:val="231F20"/>
                            <w:sz w:val="20"/>
                          </w:rPr>
                          <w:t>134</w:t>
                        </w:r>
                      </w:p>
                    </w:tc>
                  </w:tr>
                </w:tbl>
                <w:p>
                  <w:pPr>
                    <w:pStyle w:val="BodyText"/>
                  </w:pPr>
                </w:p>
              </w:txbxContent>
            </v:textbox>
            <w10:wrap type="none"/>
          </v:shape>
        </w:pict>
      </w:r>
      <w:r>
        <w:rPr>
          <w:b/>
          <w:color w:val="231F20"/>
          <w:sz w:val="20"/>
        </w:rPr>
        <w:t>Average</w:t>
      </w:r>
      <w:r>
        <w:rPr>
          <w:b/>
          <w:color w:val="231F20"/>
          <w:w w:val="100"/>
          <w:sz w:val="20"/>
        </w:rPr>
        <w:t> </w:t>
      </w:r>
      <w:r>
        <w:rPr>
          <w:b/>
          <w:color w:val="231F20"/>
          <w:sz w:val="20"/>
        </w:rPr>
        <w:t>Age</w:t>
      </w:r>
    </w:p>
    <w:p>
      <w:pPr>
        <w:pStyle w:val="BodyText"/>
        <w:spacing w:before="8"/>
        <w:rPr>
          <w:b/>
          <w:sz w:val="31"/>
        </w:rPr>
      </w:pPr>
      <w:r>
        <w:rPr/>
        <w:br w:type="column"/>
      </w:r>
      <w:r>
        <w:rPr>
          <w:b/>
          <w:sz w:val="31"/>
        </w:rPr>
      </w:r>
    </w:p>
    <w:p>
      <w:pPr>
        <w:spacing w:before="0"/>
        <w:ind w:left="421" w:right="0" w:firstLine="0"/>
        <w:jc w:val="left"/>
        <w:rPr>
          <w:b/>
          <w:sz w:val="20"/>
        </w:rPr>
      </w:pPr>
      <w:r>
        <w:rPr>
          <w:b/>
          <w:color w:val="231F20"/>
          <w:sz w:val="20"/>
        </w:rPr>
        <w:t>Number of</w:t>
      </w:r>
    </w:p>
    <w:p>
      <w:pPr>
        <w:pStyle w:val="BodyText"/>
        <w:spacing w:before="8"/>
        <w:rPr>
          <w:b/>
          <w:sz w:val="31"/>
        </w:rPr>
      </w:pPr>
      <w:r>
        <w:rPr/>
        <w:br w:type="column"/>
      </w:r>
      <w:r>
        <w:rPr>
          <w:b/>
          <w:sz w:val="31"/>
        </w:rPr>
      </w:r>
    </w:p>
    <w:p>
      <w:pPr>
        <w:spacing w:before="0"/>
        <w:ind w:left="540" w:right="0" w:firstLine="0"/>
        <w:jc w:val="left"/>
        <w:rPr>
          <w:b/>
          <w:sz w:val="20"/>
        </w:rPr>
      </w:pPr>
      <w:r>
        <w:rPr>
          <w:b/>
          <w:color w:val="231F20"/>
          <w:sz w:val="20"/>
        </w:rPr>
        <w:t>Number</w:t>
      </w:r>
    </w:p>
    <w:p>
      <w:pPr>
        <w:pStyle w:val="BodyText"/>
        <w:spacing w:before="8"/>
        <w:rPr>
          <w:b/>
          <w:sz w:val="31"/>
        </w:rPr>
      </w:pPr>
      <w:r>
        <w:rPr/>
        <w:br w:type="column"/>
      </w:r>
      <w:r>
        <w:rPr>
          <w:b/>
          <w:sz w:val="31"/>
        </w:rPr>
      </w:r>
    </w:p>
    <w:p>
      <w:pPr>
        <w:spacing w:before="0"/>
        <w:ind w:left="528" w:right="0" w:firstLine="0"/>
        <w:jc w:val="left"/>
        <w:rPr>
          <w:b/>
          <w:sz w:val="20"/>
        </w:rPr>
      </w:pPr>
      <w:r>
        <w:rPr>
          <w:b/>
          <w:color w:val="231F20"/>
          <w:sz w:val="20"/>
        </w:rPr>
        <w:t>Number</w:t>
      </w:r>
    </w:p>
    <w:p>
      <w:pPr>
        <w:spacing w:after="0"/>
        <w:jc w:val="left"/>
        <w:rPr>
          <w:sz w:val="20"/>
        </w:rPr>
        <w:sectPr>
          <w:type w:val="continuous"/>
          <w:pgSz w:w="11880" w:h="15480"/>
          <w:pgMar w:top="1260" w:bottom="280" w:left="1260" w:right="1260"/>
          <w:cols w:num="4" w:equalWidth="0">
            <w:col w:w="5045" w:space="40"/>
            <w:col w:w="1349" w:space="40"/>
            <w:col w:w="1252" w:space="40"/>
            <w:col w:w="1594"/>
          </w:cols>
        </w:sectPr>
      </w:pPr>
    </w:p>
    <w:p>
      <w:pPr>
        <w:pStyle w:val="BodyText"/>
        <w:spacing w:before="9"/>
        <w:rPr>
          <w:b/>
          <w:sz w:val="18"/>
        </w:rPr>
      </w:pPr>
    </w:p>
    <w:p>
      <w:pPr>
        <w:pStyle w:val="BodyText"/>
        <w:spacing w:line="20" w:lineRule="exact"/>
        <w:ind w:left="110"/>
        <w:rPr>
          <w:sz w:val="2"/>
        </w:rPr>
      </w:pPr>
      <w:r>
        <w:rPr>
          <w:sz w:val="2"/>
        </w:rPr>
        <w:pict>
          <v:group style="width:131pt;height:1pt;mso-position-horizontal-relative:char;mso-position-vertical-relative:line" coordorigin="0,0" coordsize="2620,20">
            <v:line style="position:absolute" from="10,10" to="261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r>
        <w:rPr/>
        <w:pict>
          <v:line style="position:absolute;mso-position-horizontal-relative:page;mso-position-vertical-relative:paragraph;z-index:1264;mso-wrap-distance-left:0;mso-wrap-distance-right:0" from="332pt,12.753906pt" to="391pt,12.753906pt" stroked="true" strokeweight=".5pt" strokecolor="#231f20">
            <v:stroke dashstyle="solid"/>
            <w10:wrap type="topAndBottom"/>
          </v:line>
        </w:pict>
      </w:r>
      <w:r>
        <w:rPr/>
        <w:pict>
          <v:line style="position:absolute;mso-position-horizontal-relative:page;mso-position-vertical-relative:paragraph;z-index:1288;mso-wrap-distance-left:0;mso-wrap-distance-right:0" from="402pt,12.753906pt" to="461pt,12.753906pt" stroked="true" strokeweight=".5pt" strokecolor="#231f20">
            <v:stroke dashstyle="solid"/>
            <w10:wrap type="topAndBottom"/>
          </v:line>
        </w:pict>
      </w:r>
      <w:r>
        <w:rPr/>
        <w:pict>
          <v:line style="position:absolute;mso-position-horizontal-relative:page;mso-position-vertical-relative:paragraph;z-index:1312;mso-wrap-distance-left:0;mso-wrap-distance-right:0" from="466pt,12.753906pt" to="525pt,12.753906pt" stroked="true" strokeweight=".5pt" strokecolor="#231f20">
            <v:stroke dashstyle="solid"/>
            <w10:wrap type="topAndBottom"/>
          </v:line>
        </w:pict>
      </w:r>
    </w:p>
    <w:p>
      <w:pPr>
        <w:pStyle w:val="BodyText"/>
        <w:spacing w:before="5"/>
        <w:rPr>
          <w:b/>
          <w:sz w:val="6"/>
        </w:rPr>
      </w:pPr>
    </w:p>
    <w:p>
      <w:pPr>
        <w:pStyle w:val="ListParagraph"/>
        <w:numPr>
          <w:ilvl w:val="0"/>
          <w:numId w:val="5"/>
        </w:numPr>
        <w:tabs>
          <w:tab w:pos="520" w:val="left" w:leader="none"/>
        </w:tabs>
        <w:spacing w:line="249" w:lineRule="auto" w:before="93" w:after="0"/>
        <w:ind w:left="520" w:right="118" w:hanging="400"/>
        <w:jc w:val="both"/>
        <w:rPr>
          <w:sz w:val="20"/>
        </w:rPr>
      </w:pPr>
      <w:r>
        <w:rPr>
          <w:color w:val="231F20"/>
          <w:sz w:val="20"/>
        </w:rPr>
        <w:t>As discussed further in Note 6 to the Consolidated Financial Statements, 202 of the Company’s aircraft were pledged as collateral as of December 31, 2016, for secured borrowings and/or in the case that the Company has obligations related to its fuel derivative instruments with counterparties that exceed certain</w:t>
      </w:r>
      <w:r>
        <w:rPr>
          <w:color w:val="231F20"/>
          <w:spacing w:val="15"/>
          <w:sz w:val="20"/>
        </w:rPr>
        <w:t> </w:t>
      </w:r>
      <w:r>
        <w:rPr>
          <w:color w:val="231F20"/>
          <w:sz w:val="20"/>
        </w:rPr>
        <w:t>thresholds.</w:t>
      </w:r>
    </w:p>
    <w:p>
      <w:pPr>
        <w:pStyle w:val="ListParagraph"/>
        <w:numPr>
          <w:ilvl w:val="0"/>
          <w:numId w:val="5"/>
        </w:numPr>
        <w:tabs>
          <w:tab w:pos="520" w:val="left" w:leader="none"/>
        </w:tabs>
        <w:spacing w:line="240" w:lineRule="auto" w:before="1" w:after="0"/>
        <w:ind w:left="520" w:right="0" w:hanging="400"/>
        <w:jc w:val="left"/>
        <w:rPr>
          <w:sz w:val="20"/>
        </w:rPr>
      </w:pPr>
      <w:r>
        <w:rPr>
          <w:color w:val="231F20"/>
          <w:sz w:val="20"/>
        </w:rPr>
        <w:t>Of the total, 77 737-300 aircraft have 143 seats and 10 have 137</w:t>
      </w:r>
      <w:r>
        <w:rPr>
          <w:color w:val="231F20"/>
          <w:spacing w:val="4"/>
          <w:sz w:val="20"/>
        </w:rPr>
        <w:t> </w:t>
      </w:r>
      <w:r>
        <w:rPr>
          <w:color w:val="231F20"/>
          <w:sz w:val="20"/>
        </w:rPr>
        <w:t>seats.</w:t>
      </w:r>
    </w:p>
    <w:p>
      <w:pPr>
        <w:pStyle w:val="BodyText"/>
        <w:spacing w:before="11"/>
        <w:rPr>
          <w:sz w:val="18"/>
        </w:rPr>
      </w:pPr>
    </w:p>
    <w:p>
      <w:pPr>
        <w:pStyle w:val="BodyText"/>
        <w:spacing w:line="247" w:lineRule="auto"/>
        <w:ind w:left="120" w:right="117"/>
      </w:pPr>
      <w:r>
        <w:rPr>
          <w:color w:val="231F20"/>
        </w:rPr>
        <w:t>As of December 31, 2016, the Company had firm deliveries and options for Boeing 737-700, 737-800, 737-7, and 737-8 aircraft as follows:</w:t>
      </w:r>
    </w:p>
    <w:p>
      <w:pPr>
        <w:spacing w:before="165"/>
        <w:ind w:left="199" w:right="80" w:firstLine="0"/>
        <w:jc w:val="center"/>
        <w:rPr>
          <w:b/>
          <w:sz w:val="20"/>
        </w:rPr>
      </w:pPr>
      <w:r>
        <w:rPr/>
        <w:pict>
          <v:line style="position:absolute;mso-position-horizontal-relative:page;mso-position-vertical-relative:paragraph;z-index:1336" from="186.399994pt,21.085943pt" to="413.599994pt,21.085943pt" stroked="true" strokeweight="1pt" strokecolor="#231f20">
            <v:stroke dashstyle="solid"/>
            <w10:wrap type="none"/>
          </v:line>
        </w:pict>
      </w:r>
      <w:r>
        <w:rPr>
          <w:b/>
          <w:color w:val="231F20"/>
          <w:sz w:val="20"/>
        </w:rPr>
        <w:t>The Boeing Company</w:t>
      </w:r>
    </w:p>
    <w:p>
      <w:pPr>
        <w:spacing w:after="0"/>
        <w:jc w:val="center"/>
        <w:rPr>
          <w:sz w:val="20"/>
        </w:rPr>
        <w:sectPr>
          <w:type w:val="continuous"/>
          <w:pgSz w:w="11880" w:h="15480"/>
          <w:pgMar w:top="1260" w:bottom="280" w:left="1260" w:right="1260"/>
        </w:sectPr>
      </w:pPr>
    </w:p>
    <w:p>
      <w:pPr>
        <w:spacing w:line="215" w:lineRule="exact" w:before="50"/>
        <w:ind w:left="0" w:right="120" w:firstLine="0"/>
        <w:jc w:val="right"/>
        <w:rPr>
          <w:b/>
          <w:sz w:val="20"/>
        </w:rPr>
      </w:pPr>
      <w:r>
        <w:rPr>
          <w:b/>
          <w:color w:val="231F20"/>
          <w:sz w:val="20"/>
        </w:rPr>
        <w:t>-800</w:t>
      </w:r>
    </w:p>
    <w:p>
      <w:pPr>
        <w:spacing w:line="200" w:lineRule="exact" w:before="11"/>
        <w:ind w:left="2468" w:right="-19" w:firstLine="89"/>
        <w:jc w:val="left"/>
        <w:rPr>
          <w:b/>
          <w:sz w:val="20"/>
        </w:rPr>
      </w:pPr>
      <w:r>
        <w:rPr>
          <w:b/>
          <w:color w:val="231F20"/>
          <w:sz w:val="20"/>
        </w:rPr>
        <w:t>Firm Orders</w:t>
      </w:r>
    </w:p>
    <w:p>
      <w:pPr>
        <w:pStyle w:val="BodyText"/>
        <w:spacing w:before="8"/>
        <w:rPr>
          <w:b/>
          <w:sz w:val="21"/>
        </w:rPr>
      </w:pPr>
      <w:r>
        <w:rPr/>
        <w:br w:type="column"/>
      </w:r>
      <w:r>
        <w:rPr>
          <w:b/>
          <w:sz w:val="21"/>
        </w:rPr>
      </w:r>
    </w:p>
    <w:p>
      <w:pPr>
        <w:spacing w:line="215" w:lineRule="exact" w:before="0"/>
        <w:ind w:left="261" w:right="0" w:firstLine="0"/>
        <w:jc w:val="center"/>
        <w:rPr>
          <w:b/>
          <w:sz w:val="20"/>
        </w:rPr>
      </w:pPr>
      <w:r>
        <w:rPr>
          <w:b/>
          <w:color w:val="231F20"/>
          <w:sz w:val="20"/>
        </w:rPr>
        <w:t>-800</w:t>
      </w:r>
    </w:p>
    <w:p>
      <w:pPr>
        <w:spacing w:line="215" w:lineRule="exact" w:before="0"/>
        <w:ind w:left="260" w:right="0" w:firstLine="0"/>
        <w:jc w:val="center"/>
        <w:rPr>
          <w:b/>
          <w:sz w:val="20"/>
        </w:rPr>
      </w:pPr>
      <w:r>
        <w:rPr>
          <w:b/>
          <w:color w:val="231F20"/>
          <w:sz w:val="20"/>
        </w:rPr>
        <w:t>Options</w:t>
      </w:r>
    </w:p>
    <w:p>
      <w:pPr>
        <w:spacing w:line="215" w:lineRule="exact" w:before="50"/>
        <w:ind w:left="487" w:right="202" w:firstLine="0"/>
        <w:jc w:val="center"/>
        <w:rPr>
          <w:b/>
          <w:sz w:val="20"/>
        </w:rPr>
      </w:pPr>
      <w:r>
        <w:rPr/>
        <w:br w:type="column"/>
      </w:r>
      <w:r>
        <w:rPr>
          <w:b/>
          <w:color w:val="231F20"/>
          <w:sz w:val="20"/>
        </w:rPr>
        <w:t>-7</w:t>
      </w:r>
    </w:p>
    <w:p>
      <w:pPr>
        <w:spacing w:line="200" w:lineRule="exact" w:before="11"/>
        <w:ind w:left="285" w:right="0" w:hanging="50"/>
        <w:jc w:val="center"/>
        <w:rPr>
          <w:b/>
          <w:sz w:val="20"/>
        </w:rPr>
      </w:pPr>
      <w:r>
        <w:rPr>
          <w:b/>
          <w:color w:val="231F20"/>
          <w:sz w:val="20"/>
        </w:rPr>
        <w:t>Firm Orders</w:t>
      </w:r>
    </w:p>
    <w:p>
      <w:pPr>
        <w:spacing w:line="215" w:lineRule="exact" w:before="50"/>
        <w:ind w:left="513" w:right="203" w:firstLine="0"/>
        <w:jc w:val="center"/>
        <w:rPr>
          <w:b/>
          <w:sz w:val="20"/>
        </w:rPr>
      </w:pPr>
      <w:r>
        <w:rPr/>
        <w:br w:type="column"/>
      </w:r>
      <w:r>
        <w:rPr>
          <w:b/>
          <w:color w:val="231F20"/>
          <w:sz w:val="20"/>
        </w:rPr>
        <w:t>-8</w:t>
      </w:r>
    </w:p>
    <w:p>
      <w:pPr>
        <w:spacing w:line="200" w:lineRule="exact" w:before="11"/>
        <w:ind w:left="310" w:right="0" w:hanging="50"/>
        <w:jc w:val="center"/>
        <w:rPr>
          <w:b/>
          <w:sz w:val="20"/>
        </w:rPr>
      </w:pPr>
      <w:r>
        <w:rPr>
          <w:b/>
          <w:color w:val="231F20"/>
          <w:sz w:val="20"/>
        </w:rPr>
        <w:t>Firm Orders</w:t>
      </w:r>
    </w:p>
    <w:p>
      <w:pPr>
        <w:pStyle w:val="BodyText"/>
        <w:spacing w:before="8"/>
        <w:rPr>
          <w:b/>
          <w:sz w:val="21"/>
        </w:rPr>
      </w:pPr>
      <w:r>
        <w:rPr/>
        <w:br w:type="column"/>
      </w:r>
      <w:r>
        <w:rPr>
          <w:b/>
          <w:sz w:val="21"/>
        </w:rPr>
      </w:r>
    </w:p>
    <w:p>
      <w:pPr>
        <w:spacing w:line="215" w:lineRule="exact" w:before="0"/>
        <w:ind w:left="311" w:right="0" w:firstLine="0"/>
        <w:jc w:val="center"/>
        <w:rPr>
          <w:b/>
          <w:sz w:val="20"/>
        </w:rPr>
      </w:pPr>
      <w:r>
        <w:rPr>
          <w:b/>
          <w:color w:val="231F20"/>
          <w:sz w:val="20"/>
        </w:rPr>
        <w:t>-8</w:t>
      </w:r>
    </w:p>
    <w:p>
      <w:pPr>
        <w:spacing w:line="215" w:lineRule="exact" w:before="0"/>
        <w:ind w:left="310" w:right="0" w:firstLine="0"/>
        <w:jc w:val="center"/>
        <w:rPr>
          <w:b/>
          <w:sz w:val="20"/>
        </w:rPr>
      </w:pPr>
      <w:r>
        <w:rPr>
          <w:b/>
          <w:color w:val="231F20"/>
          <w:sz w:val="20"/>
        </w:rPr>
        <w:t>Options</w:t>
      </w:r>
    </w:p>
    <w:p>
      <w:pPr>
        <w:pStyle w:val="BodyText"/>
        <w:spacing w:before="8"/>
        <w:rPr>
          <w:b/>
          <w:sz w:val="21"/>
        </w:rPr>
      </w:pPr>
      <w:r>
        <w:rPr/>
        <w:br w:type="column"/>
      </w:r>
      <w:r>
        <w:rPr>
          <w:b/>
          <w:sz w:val="21"/>
        </w:rPr>
      </w:r>
    </w:p>
    <w:p>
      <w:pPr>
        <w:spacing w:line="215" w:lineRule="exact" w:before="0"/>
        <w:ind w:left="285" w:right="0" w:firstLine="0"/>
        <w:jc w:val="left"/>
        <w:rPr>
          <w:b/>
          <w:sz w:val="20"/>
        </w:rPr>
      </w:pPr>
      <w:r>
        <w:rPr>
          <w:b/>
          <w:color w:val="231F20"/>
          <w:sz w:val="20"/>
        </w:rPr>
        <w:t>Additional</w:t>
      </w:r>
    </w:p>
    <w:p>
      <w:pPr>
        <w:tabs>
          <w:tab w:pos="1697" w:val="left" w:leader="none"/>
        </w:tabs>
        <w:spacing w:line="215" w:lineRule="exact" w:before="0"/>
        <w:ind w:left="518" w:right="0" w:firstLine="0"/>
        <w:jc w:val="left"/>
        <w:rPr>
          <w:b/>
          <w:sz w:val="20"/>
        </w:rPr>
      </w:pPr>
      <w:r>
        <w:rPr>
          <w:b/>
          <w:color w:val="231F20"/>
          <w:sz w:val="20"/>
        </w:rPr>
        <w:t>-700s</w:t>
        <w:tab/>
        <w:t>Total</w:t>
      </w:r>
    </w:p>
    <w:p>
      <w:pPr>
        <w:spacing w:after="0" w:line="215" w:lineRule="exact"/>
        <w:jc w:val="left"/>
        <w:rPr>
          <w:sz w:val="20"/>
        </w:rPr>
        <w:sectPr>
          <w:type w:val="continuous"/>
          <w:pgSz w:w="11880" w:h="15480"/>
          <w:pgMar w:top="1260" w:bottom="280" w:left="1260" w:right="1260"/>
          <w:cols w:num="6" w:equalWidth="0">
            <w:col w:w="3080" w:space="40"/>
            <w:col w:w="940" w:space="40"/>
            <w:col w:w="897" w:space="40"/>
            <w:col w:w="923" w:space="40"/>
            <w:col w:w="990" w:space="40"/>
            <w:col w:w="2330"/>
          </w:cols>
        </w:sectPr>
      </w:pPr>
    </w:p>
    <w:p>
      <w:pPr>
        <w:pStyle w:val="BodyText"/>
        <w:spacing w:before="2"/>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58"/>
        <w:gridCol w:w="290"/>
        <w:gridCol w:w="1002"/>
        <w:gridCol w:w="1137"/>
        <w:gridCol w:w="745"/>
        <w:gridCol w:w="1168"/>
        <w:gridCol w:w="998"/>
        <w:gridCol w:w="756"/>
        <w:gridCol w:w="966"/>
      </w:tblGrid>
      <w:tr>
        <w:trPr>
          <w:trHeight w:val="300" w:hRule="exact"/>
        </w:trPr>
        <w:tc>
          <w:tcPr>
            <w:tcW w:w="2058" w:type="dxa"/>
            <w:shd w:val="clear" w:color="auto" w:fill="D1D3D4"/>
          </w:tcPr>
          <w:p>
            <w:pPr>
              <w:pStyle w:val="TableParagraph"/>
              <w:ind w:left="60"/>
              <w:rPr>
                <w:sz w:val="20"/>
              </w:rPr>
            </w:pPr>
            <w:r>
              <w:rPr>
                <w:color w:val="231F20"/>
                <w:sz w:val="20"/>
              </w:rPr>
              <w:t>2017</w:t>
            </w:r>
          </w:p>
        </w:tc>
        <w:tc>
          <w:tcPr>
            <w:tcW w:w="290" w:type="dxa"/>
            <w:tcBorders>
              <w:top w:val="single" w:sz="8" w:space="0" w:color="231F20"/>
            </w:tcBorders>
            <w:shd w:val="clear" w:color="auto" w:fill="D1D3D4"/>
          </w:tcPr>
          <w:p>
            <w:pPr/>
          </w:p>
        </w:tc>
        <w:tc>
          <w:tcPr>
            <w:tcW w:w="1002" w:type="dxa"/>
            <w:tcBorders>
              <w:top w:val="single" w:sz="8" w:space="0" w:color="231F20"/>
            </w:tcBorders>
            <w:shd w:val="clear" w:color="auto" w:fill="D1D3D4"/>
          </w:tcPr>
          <w:p>
            <w:pPr>
              <w:pStyle w:val="TableParagraph"/>
              <w:spacing w:before="43"/>
              <w:ind w:left="391" w:right="369"/>
              <w:jc w:val="center"/>
              <w:rPr>
                <w:sz w:val="20"/>
              </w:rPr>
            </w:pPr>
            <w:r>
              <w:rPr>
                <w:color w:val="231F20"/>
                <w:sz w:val="20"/>
              </w:rPr>
              <w:t>39</w:t>
            </w:r>
          </w:p>
        </w:tc>
        <w:tc>
          <w:tcPr>
            <w:tcW w:w="1137" w:type="dxa"/>
            <w:tcBorders>
              <w:top w:val="single" w:sz="8" w:space="0" w:color="231F20"/>
            </w:tcBorders>
            <w:shd w:val="clear" w:color="auto" w:fill="D1D3D4"/>
          </w:tcPr>
          <w:p>
            <w:pPr>
              <w:pStyle w:val="TableParagraph"/>
              <w:spacing w:before="43"/>
              <w:ind w:left="389"/>
              <w:rPr>
                <w:sz w:val="20"/>
              </w:rPr>
            </w:pPr>
            <w:r>
              <w:rPr>
                <w:color w:val="231F20"/>
                <w:sz w:val="20"/>
              </w:rPr>
              <w:t>—</w:t>
            </w:r>
          </w:p>
        </w:tc>
        <w:tc>
          <w:tcPr>
            <w:tcW w:w="745" w:type="dxa"/>
            <w:tcBorders>
              <w:top w:val="single" w:sz="8" w:space="0" w:color="231F20"/>
            </w:tcBorders>
            <w:shd w:val="clear" w:color="auto" w:fill="D1D3D4"/>
          </w:tcPr>
          <w:p>
            <w:pPr>
              <w:pStyle w:val="TableParagraph"/>
              <w:spacing w:before="43"/>
              <w:ind w:right="330"/>
              <w:jc w:val="right"/>
              <w:rPr>
                <w:sz w:val="20"/>
              </w:rPr>
            </w:pPr>
            <w:r>
              <w:rPr>
                <w:color w:val="231F20"/>
                <w:sz w:val="20"/>
              </w:rPr>
              <w:t>—</w:t>
            </w:r>
          </w:p>
        </w:tc>
        <w:tc>
          <w:tcPr>
            <w:tcW w:w="1168" w:type="dxa"/>
            <w:tcBorders>
              <w:top w:val="single" w:sz="8" w:space="0" w:color="231F20"/>
            </w:tcBorders>
            <w:shd w:val="clear" w:color="auto" w:fill="D1D3D4"/>
          </w:tcPr>
          <w:p>
            <w:pPr>
              <w:pStyle w:val="TableParagraph"/>
              <w:spacing w:before="43"/>
              <w:ind w:left="381"/>
              <w:rPr>
                <w:sz w:val="20"/>
              </w:rPr>
            </w:pPr>
            <w:r>
              <w:rPr>
                <w:color w:val="231F20"/>
                <w:sz w:val="20"/>
              </w:rPr>
              <w:t>14</w:t>
            </w:r>
          </w:p>
        </w:tc>
        <w:tc>
          <w:tcPr>
            <w:tcW w:w="998" w:type="dxa"/>
            <w:tcBorders>
              <w:top w:val="single" w:sz="8" w:space="0" w:color="231F20"/>
            </w:tcBorders>
            <w:shd w:val="clear" w:color="auto" w:fill="D1D3D4"/>
          </w:tcPr>
          <w:p>
            <w:pPr>
              <w:pStyle w:val="TableParagraph"/>
              <w:spacing w:before="43"/>
              <w:ind w:right="505"/>
              <w:jc w:val="right"/>
              <w:rPr>
                <w:sz w:val="20"/>
              </w:rPr>
            </w:pPr>
            <w:r>
              <w:rPr>
                <w:color w:val="231F20"/>
                <w:sz w:val="20"/>
              </w:rPr>
              <w:t>—</w:t>
            </w:r>
          </w:p>
        </w:tc>
        <w:tc>
          <w:tcPr>
            <w:tcW w:w="756" w:type="dxa"/>
            <w:tcBorders>
              <w:top w:val="single" w:sz="8" w:space="0" w:color="231F20"/>
            </w:tcBorders>
            <w:shd w:val="clear" w:color="auto" w:fill="D1D3D4"/>
          </w:tcPr>
          <w:p>
            <w:pPr>
              <w:pStyle w:val="TableParagraph"/>
              <w:spacing w:before="43"/>
              <w:ind w:right="49"/>
              <w:jc w:val="right"/>
              <w:rPr>
                <w:sz w:val="20"/>
              </w:rPr>
            </w:pPr>
            <w:r>
              <w:rPr>
                <w:color w:val="231F20"/>
                <w:sz w:val="20"/>
              </w:rPr>
              <w:t>14</w:t>
            </w:r>
          </w:p>
        </w:tc>
        <w:tc>
          <w:tcPr>
            <w:tcW w:w="966" w:type="dxa"/>
            <w:tcBorders>
              <w:top w:val="single" w:sz="8" w:space="0" w:color="231F20"/>
            </w:tcBorders>
            <w:shd w:val="clear" w:color="auto" w:fill="D1D3D4"/>
          </w:tcPr>
          <w:p>
            <w:pPr>
              <w:pStyle w:val="TableParagraph"/>
              <w:spacing w:before="43"/>
              <w:ind w:right="59"/>
              <w:jc w:val="right"/>
              <w:rPr>
                <w:sz w:val="20"/>
              </w:rPr>
            </w:pPr>
            <w:r>
              <w:rPr>
                <w:color w:val="231F20"/>
                <w:sz w:val="20"/>
              </w:rPr>
              <w:t>67</w:t>
            </w:r>
          </w:p>
        </w:tc>
      </w:tr>
      <w:tr>
        <w:trPr>
          <w:trHeight w:val="300" w:hRule="exact"/>
        </w:trPr>
        <w:tc>
          <w:tcPr>
            <w:tcW w:w="2058" w:type="dxa"/>
          </w:tcPr>
          <w:p>
            <w:pPr>
              <w:pStyle w:val="TableParagraph"/>
              <w:ind w:left="60"/>
              <w:rPr>
                <w:sz w:val="20"/>
              </w:rPr>
            </w:pPr>
            <w:r>
              <w:rPr>
                <w:color w:val="231F20"/>
                <w:sz w:val="20"/>
              </w:rPr>
              <w:t>2018</w:t>
            </w:r>
          </w:p>
        </w:tc>
        <w:tc>
          <w:tcPr>
            <w:tcW w:w="290" w:type="dxa"/>
          </w:tcPr>
          <w:p>
            <w:pPr/>
          </w:p>
        </w:tc>
        <w:tc>
          <w:tcPr>
            <w:tcW w:w="1002" w:type="dxa"/>
          </w:tcPr>
          <w:p>
            <w:pPr>
              <w:pStyle w:val="TableParagraph"/>
              <w:ind w:left="391" w:right="369"/>
              <w:jc w:val="center"/>
              <w:rPr>
                <w:sz w:val="20"/>
              </w:rPr>
            </w:pPr>
            <w:r>
              <w:rPr>
                <w:color w:val="231F20"/>
                <w:sz w:val="20"/>
              </w:rPr>
              <w:t>21</w:t>
            </w:r>
          </w:p>
        </w:tc>
        <w:tc>
          <w:tcPr>
            <w:tcW w:w="1137" w:type="dxa"/>
          </w:tcPr>
          <w:p>
            <w:pPr>
              <w:pStyle w:val="TableParagraph"/>
              <w:ind w:right="156"/>
              <w:jc w:val="center"/>
              <w:rPr>
                <w:sz w:val="20"/>
              </w:rPr>
            </w:pPr>
            <w:r>
              <w:rPr>
                <w:color w:val="231F20"/>
                <w:sz w:val="20"/>
              </w:rPr>
              <w:t>9</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13</w:t>
            </w:r>
          </w:p>
        </w:tc>
        <w:tc>
          <w:tcPr>
            <w:tcW w:w="998" w:type="dxa"/>
          </w:tcPr>
          <w:p>
            <w:pPr>
              <w:pStyle w:val="TableParagraph"/>
              <w:ind w:right="505"/>
              <w:jc w:val="right"/>
              <w:rPr>
                <w:sz w:val="20"/>
              </w:rPr>
            </w:pPr>
            <w:r>
              <w:rPr>
                <w:color w:val="231F20"/>
                <w:sz w:val="20"/>
              </w:rPr>
              <w:t>—</w:t>
            </w:r>
          </w:p>
        </w:tc>
        <w:tc>
          <w:tcPr>
            <w:tcW w:w="756" w:type="dxa"/>
          </w:tcPr>
          <w:p>
            <w:pPr>
              <w:pStyle w:val="TableParagraph"/>
              <w:ind w:right="99"/>
              <w:jc w:val="right"/>
              <w:rPr>
                <w:sz w:val="20"/>
              </w:rPr>
            </w:pPr>
            <w:r>
              <w:rPr>
                <w:color w:val="231F20"/>
                <w:sz w:val="20"/>
              </w:rPr>
              <w:t>4</w:t>
            </w:r>
          </w:p>
        </w:tc>
        <w:tc>
          <w:tcPr>
            <w:tcW w:w="966" w:type="dxa"/>
          </w:tcPr>
          <w:p>
            <w:pPr>
              <w:pStyle w:val="TableParagraph"/>
              <w:ind w:right="59"/>
              <w:jc w:val="right"/>
              <w:rPr>
                <w:sz w:val="20"/>
              </w:rPr>
            </w:pPr>
            <w:r>
              <w:rPr>
                <w:color w:val="231F20"/>
                <w:sz w:val="20"/>
              </w:rPr>
              <w:t>47</w:t>
            </w:r>
          </w:p>
        </w:tc>
      </w:tr>
      <w:tr>
        <w:trPr>
          <w:trHeight w:val="300" w:hRule="exact"/>
        </w:trPr>
        <w:tc>
          <w:tcPr>
            <w:tcW w:w="2058" w:type="dxa"/>
            <w:shd w:val="clear" w:color="auto" w:fill="D1D3D4"/>
          </w:tcPr>
          <w:p>
            <w:pPr>
              <w:pStyle w:val="TableParagraph"/>
              <w:ind w:left="60"/>
              <w:rPr>
                <w:sz w:val="20"/>
              </w:rPr>
            </w:pPr>
            <w:r>
              <w:rPr>
                <w:color w:val="231F20"/>
                <w:sz w:val="20"/>
              </w:rPr>
              <w:t>2019</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15</w:t>
            </w:r>
          </w:p>
        </w:tc>
        <w:tc>
          <w:tcPr>
            <w:tcW w:w="1168" w:type="dxa"/>
            <w:shd w:val="clear" w:color="auto" w:fill="D1D3D4"/>
          </w:tcPr>
          <w:p>
            <w:pPr>
              <w:pStyle w:val="TableParagraph"/>
              <w:ind w:left="381"/>
              <w:rPr>
                <w:sz w:val="20"/>
              </w:rPr>
            </w:pPr>
            <w:r>
              <w:rPr>
                <w:color w:val="231F20"/>
                <w:sz w:val="20"/>
              </w:rPr>
              <w:t>—</w:t>
            </w:r>
          </w:p>
        </w:tc>
        <w:tc>
          <w:tcPr>
            <w:tcW w:w="998" w:type="dxa"/>
            <w:shd w:val="clear" w:color="auto" w:fill="D1D3D4"/>
          </w:tcPr>
          <w:p>
            <w:pPr>
              <w:pStyle w:val="TableParagraph"/>
              <w:ind w:right="505"/>
              <w:jc w:val="right"/>
              <w:rPr>
                <w:sz w:val="20"/>
              </w:rPr>
            </w:pPr>
            <w:r>
              <w:rPr>
                <w:color w:val="231F20"/>
                <w:sz w:val="20"/>
              </w:rPr>
              <w:t>5</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20</w:t>
            </w:r>
          </w:p>
        </w:tc>
      </w:tr>
      <w:tr>
        <w:trPr>
          <w:trHeight w:val="300" w:hRule="exact"/>
        </w:trPr>
        <w:tc>
          <w:tcPr>
            <w:tcW w:w="2058" w:type="dxa"/>
          </w:tcPr>
          <w:p>
            <w:pPr>
              <w:pStyle w:val="TableParagraph"/>
              <w:ind w:left="60"/>
              <w:rPr>
                <w:sz w:val="20"/>
              </w:rPr>
            </w:pPr>
            <w:r>
              <w:rPr>
                <w:color w:val="231F20"/>
                <w:sz w:val="20"/>
              </w:rPr>
              <w:t>2020</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14</w:t>
            </w:r>
          </w:p>
        </w:tc>
        <w:tc>
          <w:tcPr>
            <w:tcW w:w="1168" w:type="dxa"/>
          </w:tcPr>
          <w:p>
            <w:pPr>
              <w:pStyle w:val="TableParagraph"/>
              <w:ind w:left="381"/>
              <w:rPr>
                <w:sz w:val="20"/>
              </w:rPr>
            </w:pPr>
            <w:r>
              <w:rPr>
                <w:color w:val="231F20"/>
                <w:sz w:val="20"/>
              </w:rPr>
              <w:t>—</w:t>
            </w:r>
          </w:p>
        </w:tc>
        <w:tc>
          <w:tcPr>
            <w:tcW w:w="998" w:type="dxa"/>
          </w:tcPr>
          <w:p>
            <w:pPr>
              <w:pStyle w:val="TableParagraph"/>
              <w:ind w:right="505"/>
              <w:jc w:val="right"/>
              <w:rPr>
                <w:sz w:val="20"/>
              </w:rPr>
            </w:pPr>
            <w:r>
              <w:rPr>
                <w:color w:val="231F20"/>
                <w:sz w:val="20"/>
              </w:rPr>
              <w:t>8</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22</w:t>
            </w:r>
          </w:p>
        </w:tc>
      </w:tr>
      <w:tr>
        <w:trPr>
          <w:trHeight w:val="300" w:hRule="exact"/>
        </w:trPr>
        <w:tc>
          <w:tcPr>
            <w:tcW w:w="2058" w:type="dxa"/>
            <w:shd w:val="clear" w:color="auto" w:fill="D1D3D4"/>
          </w:tcPr>
          <w:p>
            <w:pPr>
              <w:pStyle w:val="TableParagraph"/>
              <w:ind w:left="60"/>
              <w:rPr>
                <w:sz w:val="20"/>
              </w:rPr>
            </w:pPr>
            <w:r>
              <w:rPr>
                <w:color w:val="231F20"/>
                <w:sz w:val="20"/>
              </w:rPr>
              <w:t>2021</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1</w:t>
            </w:r>
          </w:p>
        </w:tc>
        <w:tc>
          <w:tcPr>
            <w:tcW w:w="1168" w:type="dxa"/>
            <w:shd w:val="clear" w:color="auto" w:fill="D1D3D4"/>
          </w:tcPr>
          <w:p>
            <w:pPr>
              <w:pStyle w:val="TableParagraph"/>
              <w:ind w:left="381"/>
              <w:rPr>
                <w:sz w:val="20"/>
              </w:rPr>
            </w:pPr>
            <w:r>
              <w:rPr>
                <w:color w:val="231F20"/>
                <w:sz w:val="20"/>
              </w:rPr>
              <w:t>13</w:t>
            </w:r>
          </w:p>
        </w:tc>
        <w:tc>
          <w:tcPr>
            <w:tcW w:w="998" w:type="dxa"/>
            <w:shd w:val="clear" w:color="auto" w:fill="D1D3D4"/>
          </w:tcPr>
          <w:p>
            <w:pPr>
              <w:pStyle w:val="TableParagraph"/>
              <w:ind w:right="505"/>
              <w:jc w:val="right"/>
              <w:rPr>
                <w:sz w:val="20"/>
              </w:rPr>
            </w:pPr>
            <w:r>
              <w:rPr>
                <w:color w:val="231F20"/>
                <w:sz w:val="20"/>
              </w:rPr>
              <w:t>18</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32</w:t>
            </w:r>
          </w:p>
        </w:tc>
      </w:tr>
      <w:tr>
        <w:trPr>
          <w:trHeight w:val="300" w:hRule="exact"/>
        </w:trPr>
        <w:tc>
          <w:tcPr>
            <w:tcW w:w="2058" w:type="dxa"/>
          </w:tcPr>
          <w:p>
            <w:pPr>
              <w:pStyle w:val="TableParagraph"/>
              <w:ind w:left="60"/>
              <w:rPr>
                <w:sz w:val="20"/>
              </w:rPr>
            </w:pPr>
            <w:r>
              <w:rPr>
                <w:color w:val="231F20"/>
                <w:sz w:val="20"/>
              </w:rPr>
              <w:t>2022</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15</w:t>
            </w:r>
          </w:p>
        </w:tc>
        <w:tc>
          <w:tcPr>
            <w:tcW w:w="998" w:type="dxa"/>
          </w:tcPr>
          <w:p>
            <w:pPr>
              <w:pStyle w:val="TableParagraph"/>
              <w:ind w:right="505"/>
              <w:jc w:val="right"/>
              <w:rPr>
                <w:sz w:val="20"/>
              </w:rPr>
            </w:pPr>
            <w:r>
              <w:rPr>
                <w:color w:val="231F20"/>
                <w:sz w:val="20"/>
              </w:rPr>
              <w:t>19</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34</w:t>
            </w:r>
          </w:p>
        </w:tc>
      </w:tr>
      <w:tr>
        <w:trPr>
          <w:trHeight w:val="300" w:hRule="exact"/>
        </w:trPr>
        <w:tc>
          <w:tcPr>
            <w:tcW w:w="2058" w:type="dxa"/>
            <w:shd w:val="clear" w:color="auto" w:fill="D1D3D4"/>
          </w:tcPr>
          <w:p>
            <w:pPr>
              <w:pStyle w:val="TableParagraph"/>
              <w:ind w:left="60"/>
              <w:rPr>
                <w:sz w:val="20"/>
              </w:rPr>
            </w:pPr>
            <w:r>
              <w:rPr>
                <w:color w:val="231F20"/>
                <w:sz w:val="20"/>
              </w:rPr>
              <w:t>2023</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w:t>
            </w:r>
          </w:p>
        </w:tc>
        <w:tc>
          <w:tcPr>
            <w:tcW w:w="1168" w:type="dxa"/>
            <w:shd w:val="clear" w:color="auto" w:fill="D1D3D4"/>
          </w:tcPr>
          <w:p>
            <w:pPr>
              <w:pStyle w:val="TableParagraph"/>
              <w:ind w:left="381"/>
              <w:rPr>
                <w:sz w:val="20"/>
              </w:rPr>
            </w:pPr>
            <w:r>
              <w:rPr>
                <w:color w:val="231F20"/>
                <w:sz w:val="20"/>
              </w:rPr>
              <w:t>34</w:t>
            </w:r>
          </w:p>
        </w:tc>
        <w:tc>
          <w:tcPr>
            <w:tcW w:w="998" w:type="dxa"/>
            <w:shd w:val="clear" w:color="auto" w:fill="D1D3D4"/>
          </w:tcPr>
          <w:p>
            <w:pPr>
              <w:pStyle w:val="TableParagraph"/>
              <w:ind w:right="505"/>
              <w:jc w:val="right"/>
              <w:rPr>
                <w:sz w:val="20"/>
              </w:rPr>
            </w:pPr>
            <w:r>
              <w:rPr>
                <w:color w:val="231F20"/>
                <w:sz w:val="20"/>
              </w:rPr>
              <w:t>23</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57</w:t>
            </w:r>
          </w:p>
        </w:tc>
      </w:tr>
      <w:tr>
        <w:trPr>
          <w:trHeight w:val="300" w:hRule="exact"/>
        </w:trPr>
        <w:tc>
          <w:tcPr>
            <w:tcW w:w="2058" w:type="dxa"/>
          </w:tcPr>
          <w:p>
            <w:pPr>
              <w:pStyle w:val="TableParagraph"/>
              <w:ind w:left="60"/>
              <w:rPr>
                <w:sz w:val="20"/>
              </w:rPr>
            </w:pPr>
            <w:r>
              <w:rPr>
                <w:color w:val="231F20"/>
                <w:sz w:val="20"/>
              </w:rPr>
              <w:t>2024</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41</w:t>
            </w:r>
          </w:p>
        </w:tc>
        <w:tc>
          <w:tcPr>
            <w:tcW w:w="998" w:type="dxa"/>
          </w:tcPr>
          <w:p>
            <w:pPr>
              <w:pStyle w:val="TableParagraph"/>
              <w:ind w:right="505"/>
              <w:jc w:val="right"/>
              <w:rPr>
                <w:sz w:val="20"/>
              </w:rPr>
            </w:pPr>
            <w:r>
              <w:rPr>
                <w:color w:val="231F20"/>
                <w:sz w:val="20"/>
              </w:rPr>
              <w:t>23</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64</w:t>
            </w:r>
          </w:p>
        </w:tc>
      </w:tr>
      <w:tr>
        <w:trPr>
          <w:trHeight w:val="300" w:hRule="exact"/>
        </w:trPr>
        <w:tc>
          <w:tcPr>
            <w:tcW w:w="2058" w:type="dxa"/>
            <w:shd w:val="clear" w:color="auto" w:fill="D1D3D4"/>
          </w:tcPr>
          <w:p>
            <w:pPr>
              <w:pStyle w:val="TableParagraph"/>
              <w:ind w:left="60"/>
              <w:rPr>
                <w:sz w:val="20"/>
              </w:rPr>
            </w:pPr>
            <w:r>
              <w:rPr>
                <w:color w:val="231F20"/>
                <w:sz w:val="20"/>
              </w:rPr>
              <w:t>2025</w:t>
            </w:r>
          </w:p>
        </w:tc>
        <w:tc>
          <w:tcPr>
            <w:tcW w:w="290" w:type="dxa"/>
            <w:shd w:val="clear" w:color="auto" w:fill="D1D3D4"/>
          </w:tcPr>
          <w:p>
            <w:pPr/>
          </w:p>
        </w:tc>
        <w:tc>
          <w:tcPr>
            <w:tcW w:w="1002" w:type="dxa"/>
            <w:shd w:val="clear" w:color="auto" w:fill="D1D3D4"/>
          </w:tcPr>
          <w:p>
            <w:pPr>
              <w:pStyle w:val="TableParagraph"/>
              <w:ind w:left="22"/>
              <w:jc w:val="center"/>
              <w:rPr>
                <w:sz w:val="20"/>
              </w:rPr>
            </w:pPr>
            <w:r>
              <w:rPr>
                <w:color w:val="231F20"/>
                <w:sz w:val="20"/>
              </w:rPr>
              <w:t>—</w:t>
            </w:r>
          </w:p>
        </w:tc>
        <w:tc>
          <w:tcPr>
            <w:tcW w:w="1137" w:type="dxa"/>
            <w:shd w:val="clear" w:color="auto" w:fill="D1D3D4"/>
          </w:tcPr>
          <w:p>
            <w:pPr>
              <w:pStyle w:val="TableParagraph"/>
              <w:ind w:left="389"/>
              <w:rPr>
                <w:sz w:val="20"/>
              </w:rPr>
            </w:pPr>
            <w:r>
              <w:rPr>
                <w:color w:val="231F20"/>
                <w:sz w:val="20"/>
              </w:rPr>
              <w:t>—</w:t>
            </w:r>
          </w:p>
        </w:tc>
        <w:tc>
          <w:tcPr>
            <w:tcW w:w="745" w:type="dxa"/>
            <w:shd w:val="clear" w:color="auto" w:fill="D1D3D4"/>
          </w:tcPr>
          <w:p>
            <w:pPr>
              <w:pStyle w:val="TableParagraph"/>
              <w:ind w:right="330"/>
              <w:jc w:val="right"/>
              <w:rPr>
                <w:sz w:val="20"/>
              </w:rPr>
            </w:pPr>
            <w:r>
              <w:rPr>
                <w:color w:val="231F20"/>
                <w:sz w:val="20"/>
              </w:rPr>
              <w:t>—</w:t>
            </w:r>
          </w:p>
        </w:tc>
        <w:tc>
          <w:tcPr>
            <w:tcW w:w="1168" w:type="dxa"/>
            <w:shd w:val="clear" w:color="auto" w:fill="D1D3D4"/>
          </w:tcPr>
          <w:p>
            <w:pPr>
              <w:pStyle w:val="TableParagraph"/>
              <w:ind w:left="381"/>
              <w:rPr>
                <w:sz w:val="20"/>
              </w:rPr>
            </w:pPr>
            <w:r>
              <w:rPr>
                <w:color w:val="231F20"/>
                <w:sz w:val="20"/>
              </w:rPr>
              <w:t>40</w:t>
            </w:r>
          </w:p>
        </w:tc>
        <w:tc>
          <w:tcPr>
            <w:tcW w:w="998" w:type="dxa"/>
            <w:shd w:val="clear" w:color="auto" w:fill="D1D3D4"/>
          </w:tcPr>
          <w:p>
            <w:pPr>
              <w:pStyle w:val="TableParagraph"/>
              <w:ind w:right="505"/>
              <w:jc w:val="right"/>
              <w:rPr>
                <w:sz w:val="20"/>
              </w:rPr>
            </w:pPr>
            <w:r>
              <w:rPr>
                <w:color w:val="231F20"/>
                <w:sz w:val="20"/>
              </w:rPr>
              <w:t>36</w:t>
            </w:r>
          </w:p>
        </w:tc>
        <w:tc>
          <w:tcPr>
            <w:tcW w:w="756" w:type="dxa"/>
            <w:shd w:val="clear" w:color="auto" w:fill="D1D3D4"/>
          </w:tcPr>
          <w:p>
            <w:pPr>
              <w:pStyle w:val="TableParagraph"/>
              <w:ind w:right="49"/>
              <w:jc w:val="right"/>
              <w:rPr>
                <w:sz w:val="20"/>
              </w:rPr>
            </w:pPr>
            <w:r>
              <w:rPr>
                <w:color w:val="231F20"/>
                <w:sz w:val="20"/>
              </w:rPr>
              <w:t>—</w:t>
            </w:r>
          </w:p>
        </w:tc>
        <w:tc>
          <w:tcPr>
            <w:tcW w:w="966" w:type="dxa"/>
            <w:shd w:val="clear" w:color="auto" w:fill="D1D3D4"/>
          </w:tcPr>
          <w:p>
            <w:pPr>
              <w:pStyle w:val="TableParagraph"/>
              <w:ind w:right="59"/>
              <w:jc w:val="right"/>
              <w:rPr>
                <w:sz w:val="20"/>
              </w:rPr>
            </w:pPr>
            <w:r>
              <w:rPr>
                <w:color w:val="231F20"/>
                <w:sz w:val="20"/>
              </w:rPr>
              <w:t>76</w:t>
            </w:r>
          </w:p>
        </w:tc>
      </w:tr>
      <w:tr>
        <w:trPr>
          <w:trHeight w:val="300" w:hRule="exact"/>
        </w:trPr>
        <w:tc>
          <w:tcPr>
            <w:tcW w:w="2058" w:type="dxa"/>
          </w:tcPr>
          <w:p>
            <w:pPr>
              <w:pStyle w:val="TableParagraph"/>
              <w:ind w:left="60"/>
              <w:rPr>
                <w:sz w:val="20"/>
              </w:rPr>
            </w:pPr>
            <w:r>
              <w:rPr>
                <w:color w:val="231F20"/>
                <w:sz w:val="20"/>
              </w:rPr>
              <w:t>2026</w:t>
            </w:r>
          </w:p>
        </w:tc>
        <w:tc>
          <w:tcPr>
            <w:tcW w:w="290" w:type="dxa"/>
          </w:tcPr>
          <w:p>
            <w:pPr/>
          </w:p>
        </w:tc>
        <w:tc>
          <w:tcPr>
            <w:tcW w:w="1002" w:type="dxa"/>
          </w:tcPr>
          <w:p>
            <w:pPr>
              <w:pStyle w:val="TableParagraph"/>
              <w:ind w:left="22"/>
              <w:jc w:val="center"/>
              <w:rPr>
                <w:sz w:val="20"/>
              </w:rPr>
            </w:pPr>
            <w:r>
              <w:rPr>
                <w:color w:val="231F20"/>
                <w:sz w:val="20"/>
              </w:rPr>
              <w:t>—</w:t>
            </w:r>
          </w:p>
        </w:tc>
        <w:tc>
          <w:tcPr>
            <w:tcW w:w="1137" w:type="dxa"/>
          </w:tcPr>
          <w:p>
            <w:pPr>
              <w:pStyle w:val="TableParagraph"/>
              <w:ind w:left="389"/>
              <w:rPr>
                <w:sz w:val="20"/>
              </w:rPr>
            </w:pPr>
            <w:r>
              <w:rPr>
                <w:color w:val="231F20"/>
                <w:sz w:val="20"/>
              </w:rPr>
              <w:t>—</w:t>
            </w:r>
          </w:p>
        </w:tc>
        <w:tc>
          <w:tcPr>
            <w:tcW w:w="745" w:type="dxa"/>
          </w:tcPr>
          <w:p>
            <w:pPr>
              <w:pStyle w:val="TableParagraph"/>
              <w:ind w:right="330"/>
              <w:jc w:val="right"/>
              <w:rPr>
                <w:sz w:val="20"/>
              </w:rPr>
            </w:pPr>
            <w:r>
              <w:rPr>
                <w:color w:val="231F20"/>
                <w:sz w:val="20"/>
              </w:rPr>
              <w:t>—</w:t>
            </w:r>
          </w:p>
        </w:tc>
        <w:tc>
          <w:tcPr>
            <w:tcW w:w="1168" w:type="dxa"/>
          </w:tcPr>
          <w:p>
            <w:pPr>
              <w:pStyle w:val="TableParagraph"/>
              <w:ind w:left="381"/>
              <w:rPr>
                <w:sz w:val="20"/>
              </w:rPr>
            </w:pPr>
            <w:r>
              <w:rPr>
                <w:color w:val="231F20"/>
                <w:sz w:val="20"/>
              </w:rPr>
              <w:t>—</w:t>
            </w:r>
          </w:p>
        </w:tc>
        <w:tc>
          <w:tcPr>
            <w:tcW w:w="998" w:type="dxa"/>
          </w:tcPr>
          <w:p>
            <w:pPr>
              <w:pStyle w:val="TableParagraph"/>
              <w:ind w:right="505"/>
              <w:jc w:val="right"/>
              <w:rPr>
                <w:sz w:val="20"/>
              </w:rPr>
            </w:pPr>
            <w:r>
              <w:rPr>
                <w:color w:val="231F20"/>
                <w:sz w:val="20"/>
              </w:rPr>
              <w:t>36</w:t>
            </w:r>
          </w:p>
        </w:tc>
        <w:tc>
          <w:tcPr>
            <w:tcW w:w="756" w:type="dxa"/>
          </w:tcPr>
          <w:p>
            <w:pPr>
              <w:pStyle w:val="TableParagraph"/>
              <w:ind w:right="49"/>
              <w:jc w:val="right"/>
              <w:rPr>
                <w:sz w:val="20"/>
              </w:rPr>
            </w:pPr>
            <w:r>
              <w:rPr>
                <w:color w:val="231F20"/>
                <w:sz w:val="20"/>
              </w:rPr>
              <w:t>—</w:t>
            </w:r>
          </w:p>
        </w:tc>
        <w:tc>
          <w:tcPr>
            <w:tcW w:w="966" w:type="dxa"/>
          </w:tcPr>
          <w:p>
            <w:pPr>
              <w:pStyle w:val="TableParagraph"/>
              <w:ind w:right="59"/>
              <w:jc w:val="right"/>
              <w:rPr>
                <w:sz w:val="20"/>
              </w:rPr>
            </w:pPr>
            <w:r>
              <w:rPr>
                <w:color w:val="231F20"/>
                <w:sz w:val="20"/>
              </w:rPr>
              <w:t>36</w:t>
            </w:r>
          </w:p>
        </w:tc>
      </w:tr>
      <w:tr>
        <w:trPr>
          <w:trHeight w:val="315" w:hRule="exact"/>
        </w:trPr>
        <w:tc>
          <w:tcPr>
            <w:tcW w:w="2058" w:type="dxa"/>
            <w:shd w:val="clear" w:color="auto" w:fill="D1D3D4"/>
          </w:tcPr>
          <w:p>
            <w:pPr>
              <w:pStyle w:val="TableParagraph"/>
              <w:ind w:left="60"/>
              <w:rPr>
                <w:sz w:val="20"/>
              </w:rPr>
            </w:pPr>
            <w:r>
              <w:rPr>
                <w:color w:val="231F20"/>
                <w:sz w:val="20"/>
              </w:rPr>
              <w:t>2027</w:t>
            </w:r>
          </w:p>
        </w:tc>
        <w:tc>
          <w:tcPr>
            <w:tcW w:w="290" w:type="dxa"/>
            <w:shd w:val="clear" w:color="auto" w:fill="D1D3D4"/>
          </w:tcPr>
          <w:p>
            <w:pPr/>
          </w:p>
        </w:tc>
        <w:tc>
          <w:tcPr>
            <w:tcW w:w="1002" w:type="dxa"/>
            <w:tcBorders>
              <w:bottom w:val="single" w:sz="4" w:space="0" w:color="231F20"/>
            </w:tcBorders>
            <w:shd w:val="clear" w:color="auto" w:fill="D1D3D4"/>
          </w:tcPr>
          <w:p>
            <w:pPr>
              <w:pStyle w:val="TableParagraph"/>
              <w:ind w:left="22"/>
              <w:jc w:val="center"/>
              <w:rPr>
                <w:sz w:val="20"/>
              </w:rPr>
            </w:pPr>
            <w:r>
              <w:rPr>
                <w:color w:val="231F20"/>
                <w:sz w:val="20"/>
              </w:rPr>
              <w:t>—</w:t>
            </w:r>
          </w:p>
        </w:tc>
        <w:tc>
          <w:tcPr>
            <w:tcW w:w="1137" w:type="dxa"/>
            <w:tcBorders>
              <w:bottom w:val="single" w:sz="4" w:space="0" w:color="231F20"/>
            </w:tcBorders>
            <w:shd w:val="clear" w:color="auto" w:fill="D1D3D4"/>
          </w:tcPr>
          <w:p>
            <w:pPr>
              <w:pStyle w:val="TableParagraph"/>
              <w:ind w:left="389"/>
              <w:rPr>
                <w:sz w:val="20"/>
              </w:rPr>
            </w:pPr>
            <w:r>
              <w:rPr>
                <w:color w:val="231F20"/>
                <w:sz w:val="20"/>
              </w:rPr>
              <w:t>—</w:t>
            </w:r>
          </w:p>
        </w:tc>
        <w:tc>
          <w:tcPr>
            <w:tcW w:w="745" w:type="dxa"/>
            <w:tcBorders>
              <w:bottom w:val="single" w:sz="4" w:space="0" w:color="231F20"/>
            </w:tcBorders>
            <w:shd w:val="clear" w:color="auto" w:fill="D1D3D4"/>
          </w:tcPr>
          <w:p>
            <w:pPr>
              <w:pStyle w:val="TableParagraph"/>
              <w:ind w:right="330"/>
              <w:jc w:val="right"/>
              <w:rPr>
                <w:sz w:val="20"/>
              </w:rPr>
            </w:pPr>
            <w:r>
              <w:rPr>
                <w:color w:val="231F20"/>
                <w:sz w:val="20"/>
              </w:rPr>
              <w:t>—</w:t>
            </w:r>
          </w:p>
        </w:tc>
        <w:tc>
          <w:tcPr>
            <w:tcW w:w="1168" w:type="dxa"/>
            <w:tcBorders>
              <w:bottom w:val="single" w:sz="4" w:space="0" w:color="231F20"/>
            </w:tcBorders>
            <w:shd w:val="clear" w:color="auto" w:fill="D1D3D4"/>
          </w:tcPr>
          <w:p>
            <w:pPr>
              <w:pStyle w:val="TableParagraph"/>
              <w:ind w:left="381"/>
              <w:rPr>
                <w:sz w:val="20"/>
              </w:rPr>
            </w:pPr>
            <w:r>
              <w:rPr>
                <w:color w:val="231F20"/>
                <w:sz w:val="20"/>
              </w:rPr>
              <w:t>—</w:t>
            </w:r>
          </w:p>
        </w:tc>
        <w:tc>
          <w:tcPr>
            <w:tcW w:w="998" w:type="dxa"/>
            <w:tcBorders>
              <w:bottom w:val="single" w:sz="4" w:space="0" w:color="231F20"/>
            </w:tcBorders>
            <w:shd w:val="clear" w:color="auto" w:fill="D1D3D4"/>
          </w:tcPr>
          <w:p>
            <w:pPr>
              <w:pStyle w:val="TableParagraph"/>
              <w:ind w:right="505"/>
              <w:jc w:val="right"/>
              <w:rPr>
                <w:sz w:val="20"/>
              </w:rPr>
            </w:pPr>
            <w:r>
              <w:rPr>
                <w:color w:val="231F20"/>
                <w:sz w:val="20"/>
              </w:rPr>
              <w:t>23</w:t>
            </w:r>
          </w:p>
        </w:tc>
        <w:tc>
          <w:tcPr>
            <w:tcW w:w="756" w:type="dxa"/>
            <w:tcBorders>
              <w:bottom w:val="single" w:sz="4" w:space="0" w:color="231F20"/>
            </w:tcBorders>
            <w:shd w:val="clear" w:color="auto" w:fill="D1D3D4"/>
          </w:tcPr>
          <w:p>
            <w:pPr>
              <w:pStyle w:val="TableParagraph"/>
              <w:ind w:right="49"/>
              <w:jc w:val="right"/>
              <w:rPr>
                <w:sz w:val="20"/>
              </w:rPr>
            </w:pPr>
            <w:r>
              <w:rPr>
                <w:color w:val="231F20"/>
                <w:sz w:val="20"/>
              </w:rPr>
              <w:t>—</w:t>
            </w:r>
          </w:p>
        </w:tc>
        <w:tc>
          <w:tcPr>
            <w:tcW w:w="966" w:type="dxa"/>
            <w:tcBorders>
              <w:bottom w:val="single" w:sz="4" w:space="0" w:color="231F20"/>
            </w:tcBorders>
            <w:shd w:val="clear" w:color="auto" w:fill="D1D3D4"/>
          </w:tcPr>
          <w:p>
            <w:pPr>
              <w:pStyle w:val="TableParagraph"/>
              <w:ind w:right="59"/>
              <w:jc w:val="right"/>
              <w:rPr>
                <w:sz w:val="20"/>
              </w:rPr>
            </w:pPr>
            <w:r>
              <w:rPr>
                <w:color w:val="231F20"/>
                <w:sz w:val="20"/>
              </w:rPr>
              <w:t>23</w:t>
            </w:r>
          </w:p>
        </w:tc>
      </w:tr>
      <w:tr>
        <w:trPr>
          <w:trHeight w:val="340" w:hRule="exact"/>
        </w:trPr>
        <w:tc>
          <w:tcPr>
            <w:tcW w:w="2058" w:type="dxa"/>
          </w:tcPr>
          <w:p>
            <w:pPr/>
          </w:p>
        </w:tc>
        <w:tc>
          <w:tcPr>
            <w:tcW w:w="290" w:type="dxa"/>
          </w:tcPr>
          <w:p>
            <w:pPr/>
          </w:p>
        </w:tc>
        <w:tc>
          <w:tcPr>
            <w:tcW w:w="1002" w:type="dxa"/>
            <w:tcBorders>
              <w:top w:val="single" w:sz="4" w:space="0" w:color="231F20"/>
              <w:bottom w:val="double" w:sz="7" w:space="0" w:color="231F20"/>
            </w:tcBorders>
          </w:tcPr>
          <w:p>
            <w:pPr>
              <w:pStyle w:val="TableParagraph"/>
              <w:ind w:left="391" w:right="369"/>
              <w:jc w:val="center"/>
              <w:rPr>
                <w:sz w:val="20"/>
              </w:rPr>
            </w:pPr>
            <w:r>
              <w:rPr>
                <w:color w:val="231F20"/>
                <w:sz w:val="20"/>
              </w:rPr>
              <w:t>60</w:t>
            </w:r>
          </w:p>
        </w:tc>
        <w:tc>
          <w:tcPr>
            <w:tcW w:w="1137" w:type="dxa"/>
            <w:tcBorders>
              <w:top w:val="single" w:sz="4" w:space="0" w:color="231F20"/>
              <w:bottom w:val="double" w:sz="7" w:space="0" w:color="231F20"/>
            </w:tcBorders>
          </w:tcPr>
          <w:p>
            <w:pPr>
              <w:pStyle w:val="TableParagraph"/>
              <w:ind w:left="489"/>
              <w:rPr>
                <w:b/>
                <w:sz w:val="20"/>
              </w:rPr>
            </w:pPr>
            <w:r>
              <w:rPr>
                <w:color w:val="231F20"/>
                <w:sz w:val="20"/>
              </w:rPr>
              <w:t>9  </w:t>
            </w:r>
            <w:r>
              <w:rPr>
                <w:b/>
                <w:color w:val="231F20"/>
                <w:sz w:val="20"/>
              </w:rPr>
              <w:t>(a)</w:t>
            </w:r>
          </w:p>
        </w:tc>
        <w:tc>
          <w:tcPr>
            <w:tcW w:w="745" w:type="dxa"/>
            <w:tcBorders>
              <w:top w:val="single" w:sz="4" w:space="0" w:color="231F20"/>
              <w:bottom w:val="double" w:sz="7" w:space="0" w:color="231F20"/>
            </w:tcBorders>
          </w:tcPr>
          <w:p>
            <w:pPr>
              <w:pStyle w:val="TableParagraph"/>
              <w:ind w:right="329"/>
              <w:jc w:val="right"/>
              <w:rPr>
                <w:sz w:val="20"/>
              </w:rPr>
            </w:pPr>
            <w:r>
              <w:rPr>
                <w:color w:val="231F20"/>
                <w:sz w:val="20"/>
              </w:rPr>
              <w:t>30</w:t>
            </w:r>
          </w:p>
        </w:tc>
        <w:tc>
          <w:tcPr>
            <w:tcW w:w="1168" w:type="dxa"/>
            <w:tcBorders>
              <w:top w:val="single" w:sz="4" w:space="0" w:color="231F20"/>
              <w:bottom w:val="double" w:sz="7" w:space="0" w:color="231F20"/>
            </w:tcBorders>
          </w:tcPr>
          <w:p>
            <w:pPr>
              <w:pStyle w:val="TableParagraph"/>
              <w:ind w:left="330"/>
              <w:rPr>
                <w:b/>
                <w:sz w:val="20"/>
              </w:rPr>
            </w:pPr>
            <w:r>
              <w:rPr>
                <w:color w:val="231F20"/>
                <w:sz w:val="20"/>
              </w:rPr>
              <w:t>170 </w:t>
            </w:r>
            <w:r>
              <w:rPr>
                <w:b/>
                <w:color w:val="231F20"/>
                <w:sz w:val="20"/>
              </w:rPr>
              <w:t>(b)</w:t>
            </w:r>
          </w:p>
        </w:tc>
        <w:tc>
          <w:tcPr>
            <w:tcW w:w="998" w:type="dxa"/>
            <w:tcBorders>
              <w:top w:val="single" w:sz="4" w:space="0" w:color="231F20"/>
              <w:bottom w:val="double" w:sz="7" w:space="0" w:color="231F20"/>
            </w:tcBorders>
          </w:tcPr>
          <w:p>
            <w:pPr>
              <w:pStyle w:val="TableParagraph"/>
              <w:ind w:right="504"/>
              <w:jc w:val="right"/>
              <w:rPr>
                <w:sz w:val="20"/>
              </w:rPr>
            </w:pPr>
            <w:r>
              <w:rPr>
                <w:color w:val="231F20"/>
                <w:sz w:val="20"/>
              </w:rPr>
              <w:t>191</w:t>
            </w:r>
          </w:p>
        </w:tc>
        <w:tc>
          <w:tcPr>
            <w:tcW w:w="756" w:type="dxa"/>
            <w:tcBorders>
              <w:top w:val="single" w:sz="4" w:space="0" w:color="231F20"/>
              <w:bottom w:val="double" w:sz="7" w:space="0" w:color="231F20"/>
            </w:tcBorders>
          </w:tcPr>
          <w:p>
            <w:pPr>
              <w:pStyle w:val="TableParagraph"/>
              <w:ind w:right="48"/>
              <w:jc w:val="right"/>
              <w:rPr>
                <w:sz w:val="20"/>
              </w:rPr>
            </w:pPr>
            <w:r>
              <w:rPr>
                <w:color w:val="231F20"/>
                <w:sz w:val="20"/>
              </w:rPr>
              <w:t>18</w:t>
            </w:r>
          </w:p>
        </w:tc>
        <w:tc>
          <w:tcPr>
            <w:tcW w:w="966" w:type="dxa"/>
            <w:tcBorders>
              <w:top w:val="single" w:sz="4" w:space="0" w:color="231F20"/>
              <w:bottom w:val="double" w:sz="7" w:space="0" w:color="231F20"/>
            </w:tcBorders>
          </w:tcPr>
          <w:p>
            <w:pPr>
              <w:pStyle w:val="TableParagraph"/>
              <w:tabs>
                <w:tab w:pos="555" w:val="left" w:leader="none"/>
              </w:tabs>
              <w:ind w:right="59"/>
              <w:jc w:val="right"/>
              <w:rPr>
                <w:sz w:val="20"/>
              </w:rPr>
            </w:pPr>
            <w:r>
              <w:rPr>
                <w:b/>
                <w:color w:val="231F20"/>
                <w:sz w:val="20"/>
              </w:rPr>
              <w:t>(c)</w:t>
              <w:tab/>
            </w:r>
            <w:r>
              <w:rPr>
                <w:color w:val="231F20"/>
                <w:sz w:val="20"/>
              </w:rPr>
              <w:t>478</w:t>
            </w:r>
          </w:p>
        </w:tc>
      </w:tr>
    </w:tbl>
    <w:p>
      <w:pPr>
        <w:pStyle w:val="ListParagraph"/>
        <w:numPr>
          <w:ilvl w:val="0"/>
          <w:numId w:val="6"/>
        </w:numPr>
        <w:tabs>
          <w:tab w:pos="520" w:val="left" w:leader="none"/>
        </w:tabs>
        <w:spacing w:line="240" w:lineRule="auto" w:before="132" w:after="0"/>
        <w:ind w:left="520" w:right="0" w:hanging="400"/>
        <w:jc w:val="left"/>
        <w:rPr>
          <w:sz w:val="20"/>
        </w:rPr>
      </w:pPr>
      <w:r>
        <w:rPr>
          <w:color w:val="231F20"/>
          <w:sz w:val="20"/>
        </w:rPr>
        <w:t>Includes two -800 options exercised in January</w:t>
      </w:r>
      <w:r>
        <w:rPr>
          <w:color w:val="231F20"/>
          <w:spacing w:val="4"/>
          <w:sz w:val="20"/>
        </w:rPr>
        <w:t> </w:t>
      </w:r>
      <w:r>
        <w:rPr>
          <w:color w:val="231F20"/>
          <w:sz w:val="20"/>
        </w:rPr>
        <w:t>2017.</w:t>
      </w:r>
    </w:p>
    <w:p>
      <w:pPr>
        <w:pStyle w:val="ListParagraph"/>
        <w:numPr>
          <w:ilvl w:val="0"/>
          <w:numId w:val="6"/>
        </w:numPr>
        <w:tabs>
          <w:tab w:pos="520" w:val="left" w:leader="none"/>
        </w:tabs>
        <w:spacing w:line="240" w:lineRule="auto" w:before="10" w:after="0"/>
        <w:ind w:left="520" w:right="0" w:hanging="400"/>
        <w:jc w:val="left"/>
        <w:rPr>
          <w:sz w:val="20"/>
        </w:rPr>
      </w:pPr>
      <w:r>
        <w:rPr>
          <w:color w:val="231F20"/>
          <w:sz w:val="20"/>
        </w:rPr>
        <w:t>The Company has flexibility to substitute 737-7 in lieu of 737-8 firm orders beginning in</w:t>
      </w:r>
      <w:r>
        <w:rPr>
          <w:color w:val="231F20"/>
          <w:spacing w:val="9"/>
          <w:sz w:val="20"/>
        </w:rPr>
        <w:t> </w:t>
      </w:r>
      <w:r>
        <w:rPr>
          <w:color w:val="231F20"/>
          <w:sz w:val="20"/>
        </w:rPr>
        <w:t>2019.</w:t>
      </w:r>
    </w:p>
    <w:p>
      <w:pPr>
        <w:pStyle w:val="ListParagraph"/>
        <w:numPr>
          <w:ilvl w:val="0"/>
          <w:numId w:val="6"/>
        </w:numPr>
        <w:tabs>
          <w:tab w:pos="520" w:val="left" w:leader="none"/>
        </w:tabs>
        <w:spacing w:line="240" w:lineRule="auto" w:before="10" w:after="0"/>
        <w:ind w:left="520" w:right="0" w:hanging="400"/>
        <w:jc w:val="left"/>
        <w:rPr>
          <w:sz w:val="20"/>
        </w:rPr>
      </w:pPr>
      <w:r>
        <w:rPr>
          <w:color w:val="231F20"/>
          <w:sz w:val="20"/>
        </w:rPr>
        <w:t>To be acquired in leases from various third</w:t>
      </w:r>
      <w:r>
        <w:rPr>
          <w:color w:val="231F20"/>
          <w:spacing w:val="4"/>
          <w:sz w:val="20"/>
        </w:rPr>
        <w:t> </w:t>
      </w:r>
      <w:r>
        <w:rPr>
          <w:color w:val="231F20"/>
          <w:sz w:val="20"/>
        </w:rPr>
        <w:t>parties.</w:t>
      </w:r>
    </w:p>
    <w:p>
      <w:pPr>
        <w:pStyle w:val="BodyText"/>
        <w:spacing w:before="11"/>
        <w:rPr>
          <w:sz w:val="18"/>
        </w:rPr>
      </w:pPr>
    </w:p>
    <w:p>
      <w:pPr>
        <w:pStyle w:val="Heading1"/>
        <w:ind w:left="120"/>
        <w:jc w:val="left"/>
      </w:pPr>
      <w:r>
        <w:rPr>
          <w:color w:val="231F20"/>
        </w:rPr>
        <w:t>Ground Facilities and Services</w:t>
      </w:r>
    </w:p>
    <w:p>
      <w:pPr>
        <w:pStyle w:val="BodyText"/>
        <w:spacing w:line="247" w:lineRule="auto" w:before="214"/>
        <w:ind w:left="120" w:right="117"/>
      </w:pPr>
      <w:r>
        <w:rPr>
          <w:color w:val="231F20"/>
        </w:rPr>
        <w:t>Southwest either leases or pays a usage fee for terminal passenger service facilities at each of the airports it serves, to which various leasehold improvements have been made. The Company leases   the</w:t>
      </w:r>
    </w:p>
    <w:p>
      <w:pPr>
        <w:spacing w:after="0" w:line="247" w:lineRule="auto"/>
        <w:sectPr>
          <w:type w:val="continuous"/>
          <w:pgSz w:w="11880" w:h="15480"/>
          <w:pgMar w:top="1260" w:bottom="280" w:left="1260" w:right="1260"/>
        </w:sectPr>
      </w:pPr>
    </w:p>
    <w:p>
      <w:pPr>
        <w:pStyle w:val="BodyText"/>
        <w:spacing w:line="247" w:lineRule="auto" w:before="74"/>
        <w:ind w:left="100" w:right="117"/>
        <w:jc w:val="both"/>
      </w:pPr>
      <w:bookmarkStart w:name="Item 3. Legal Proceedings " w:id="10"/>
      <w:bookmarkEnd w:id="10"/>
      <w:r>
        <w:rPr/>
      </w:r>
      <w:r>
        <w:rPr>
          <w:color w:val="231F20"/>
        </w:rPr>
        <w:t>land and/or structures on a long-term basis for its aircraft maintenance centers (located at Dallas Love Field, Houston Hobby, Phoenix Sky Harbor, Chicago Midway, Hartsfield-Jackson Atlanta International Airport, and Orlando International Airport), its current flight training center at Dallas Love Field (which currently houses Boeing 737 flight simulators), and its main corporate headquarters building, also located at Dallas Love Field. The Company also leases a warehouse and engine repair facility in</w:t>
      </w:r>
      <w:r>
        <w:rPr>
          <w:color w:val="231F20"/>
          <w:spacing w:val="-2"/>
        </w:rPr>
        <w:t> </w:t>
      </w:r>
      <w:r>
        <w:rPr>
          <w:color w:val="231F20"/>
        </w:rPr>
        <w:t>Atlanta.</w:t>
      </w:r>
    </w:p>
    <w:p>
      <w:pPr>
        <w:pStyle w:val="BodyText"/>
        <w:spacing w:before="9"/>
        <w:rPr>
          <w:sz w:val="20"/>
        </w:rPr>
      </w:pPr>
    </w:p>
    <w:p>
      <w:pPr>
        <w:pStyle w:val="BodyText"/>
        <w:spacing w:line="247" w:lineRule="auto"/>
        <w:ind w:left="100" w:right="117"/>
        <w:jc w:val="both"/>
      </w:pPr>
      <w:r>
        <w:rPr>
          <w:color w:val="231F20"/>
        </w:rPr>
        <w:t>The Company has commitments associated with various airport improvement projects, including ongoing construction at Fort Lauderdale-Hollywood International Airport and Los Angeles International Airport. These projects include the construction of new facilities and the rebuilding or modernization of existing facilities. Additional information regarding these projects is provided below under “Management’s Discussion and Analysis of Financial Condition and Results of Operations” and in Note 4 to the Consolidated Financial Statements.</w:t>
      </w:r>
    </w:p>
    <w:p>
      <w:pPr>
        <w:pStyle w:val="BodyText"/>
        <w:spacing w:before="9"/>
        <w:rPr>
          <w:sz w:val="20"/>
        </w:rPr>
      </w:pPr>
    </w:p>
    <w:p>
      <w:pPr>
        <w:pStyle w:val="BodyText"/>
        <w:spacing w:line="247" w:lineRule="auto"/>
        <w:ind w:left="100" w:right="117"/>
        <w:jc w:val="both"/>
      </w:pPr>
      <w:r>
        <w:rPr>
          <w:color w:val="231F20"/>
        </w:rPr>
        <w:t>The Company owns an additional headquarters building, located across the street from the Company’s main headquarters building, on land owned by the Company. This energy-efficient, modern building, called TOPS, houses certain operational and training functions, including its 24-hour operations. In 2016, the Company broke ground on an additional headquarters building, called Wings, designed to house flight simulators, classroom space for Pilot training, and additional work areas. The Wings building is scheduled to be completed in 2018 and is also located across the street from the Company’s main headquarters building on land owned by the Company. The Company expects to begin moving its 12 737 flight simulators to the Wings building during 2017 and expects to have all of its flight simulators in the Wings building by mid-2018. In 2017, the Company expects to add a pedestrian safety bridge to its corporate campus in order to connect the main headquarters building, the TOPS building, and the Wings building. As of December 31, 2016, the Company operated seven Customer Support and Services call centers. The centers located in Atlanta, San Antonio, Chicago, Albuquerque, and Oklahoma City occupy leased space. The Company owns its Houston and Phoenix</w:t>
      </w:r>
      <w:r>
        <w:rPr>
          <w:color w:val="231F20"/>
          <w:spacing w:val="-1"/>
        </w:rPr>
        <w:t> </w:t>
      </w:r>
      <w:r>
        <w:rPr>
          <w:color w:val="231F20"/>
        </w:rPr>
        <w:t>centers.</w:t>
      </w:r>
    </w:p>
    <w:p>
      <w:pPr>
        <w:pStyle w:val="BodyText"/>
        <w:spacing w:before="9"/>
        <w:rPr>
          <w:sz w:val="20"/>
        </w:rPr>
      </w:pPr>
    </w:p>
    <w:p>
      <w:pPr>
        <w:pStyle w:val="BodyText"/>
        <w:spacing w:line="247" w:lineRule="auto"/>
        <w:ind w:left="100" w:right="117"/>
        <w:jc w:val="both"/>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9"/>
        <w:rPr>
          <w:sz w:val="20"/>
        </w:rPr>
      </w:pPr>
    </w:p>
    <w:p>
      <w:pPr>
        <w:spacing w:before="0"/>
        <w:ind w:left="100" w:right="0" w:firstLine="0"/>
        <w:jc w:val="both"/>
        <w:rPr>
          <w:b/>
          <w:i/>
          <w:sz w:val="22"/>
        </w:rPr>
      </w:pPr>
      <w:r>
        <w:rPr>
          <w:b/>
          <w:color w:val="231F20"/>
          <w:sz w:val="22"/>
        </w:rPr>
        <w:t>Item 3.        </w:t>
      </w:r>
      <w:r>
        <w:rPr>
          <w:b/>
          <w:i/>
          <w:color w:val="231F20"/>
          <w:sz w:val="22"/>
        </w:rPr>
        <w:t>Legal Proceedings</w:t>
      </w:r>
    </w:p>
    <w:p>
      <w:pPr>
        <w:pStyle w:val="BodyText"/>
        <w:spacing w:before="4"/>
        <w:rPr>
          <w:b/>
          <w:i/>
          <w:sz w:val="21"/>
        </w:rPr>
      </w:pPr>
    </w:p>
    <w:p>
      <w:pPr>
        <w:pStyle w:val="BodyText"/>
        <w:spacing w:line="247" w:lineRule="auto" w:before="1"/>
        <w:ind w:left="100" w:right="117"/>
        <w:jc w:val="both"/>
      </w:pPr>
      <w:r>
        <w:rPr>
          <w:color w:val="231F20"/>
        </w:rPr>
        <w:t>A complaint alleging violations of federal antitrust laws and seeking certification as a class action was filed against Delta Air Lines, Inc.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 $15-per-bag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 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w:t>
      </w:r>
      <w:r>
        <w:rPr>
          <w:color w:val="231F20"/>
          <w:spacing w:val="45"/>
        </w:rPr>
        <w:t> </w:t>
      </w:r>
      <w:r>
        <w:rPr>
          <w:color w:val="231F20"/>
        </w:rPr>
        <w:t>1</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opposed. The parties engaged in extensive discovery, and discovery has now closed. On June 18, 2012, the parties filed a Stipulation and Order that plaintiffs have abandoned their claim that AirTran and Delta conspired to reduce capacity. On August 31, 2012, AirTran and Delta moved for summary judgment on all of plaintiffs’ remaining claims. The parties filed motions to exclude the opinions of the other parties’ experts on class certification and on the merits. On January 8, 2016, the parties  completed briefing on defendants’ motions for summary judgment, plaintiffs’ motion for class certification, and the motions to exclude the opinions of experts. On July 12, 2016, the Court granted plaintiffs’ motion to certify a class of all persons who paid first bag fees to AirTran or Delta from December 8, 2008 to November 1, 2014 (the date on which AirTran stopped charging first bag fees). Defendants submitted a petition to appeal the class certification decision, which the Court of Appeals for the Eleventh Circuit granted on October 7, 2016, and the appeal is ongoing. Defendants’ motions for summary judgment have been submitted for decision and are still pending. AirTran denies all allegations of wrongdoing, including those in the Consolidated Amended Complaint, and intends to defend vigorously any and all such</w:t>
      </w:r>
      <w:r>
        <w:rPr>
          <w:color w:val="231F20"/>
          <w:spacing w:val="-1"/>
        </w:rPr>
        <w:t> </w:t>
      </w:r>
      <w:r>
        <w:rPr>
          <w:color w:val="231F20"/>
        </w:rPr>
        <w:t>allegations.</w:t>
      </w:r>
    </w:p>
    <w:p>
      <w:pPr>
        <w:pStyle w:val="BodyText"/>
        <w:spacing w:before="9"/>
        <w:rPr>
          <w:sz w:val="20"/>
        </w:rPr>
      </w:pPr>
    </w:p>
    <w:p>
      <w:pPr>
        <w:pStyle w:val="BodyText"/>
        <w:spacing w:line="247" w:lineRule="auto"/>
        <w:ind w:left="100" w:right="117"/>
        <w:jc w:val="both"/>
      </w:pPr>
      <w:r>
        <w:rPr>
          <w:color w:val="231F20"/>
        </w:rPr>
        <w:t>Also, on June 30, 2015, the U.S. Department of Justice (“DOJ”) issued a Civil Investigative Demand (“CID”) to the Company. The CID seeks information and documents about the Company’s capacity from January 2010 to the present including public statements and communications with third parties about capacity. In June 2015, the Company also received a letter from the Connecticut Attorney General requesting information about capacity; and on August 21, 2015, the Attorney General of the State of Ohio issued an investigative demand seeking information and documents about the Company’s capacity from December 2013 to the present. The Company is cooperating fully with the DOJ CID and these two state inquiries.</w:t>
      </w:r>
    </w:p>
    <w:p>
      <w:pPr>
        <w:pStyle w:val="BodyText"/>
        <w:spacing w:before="9"/>
        <w:rPr>
          <w:sz w:val="20"/>
        </w:rPr>
      </w:pPr>
    </w:p>
    <w:p>
      <w:pPr>
        <w:pStyle w:val="BodyText"/>
        <w:spacing w:line="247" w:lineRule="auto"/>
        <w:ind w:left="100" w:right="117"/>
        <w:jc w:val="both"/>
      </w:pPr>
      <w:r>
        <w:rPr>
          <w:color w:val="231F20"/>
        </w:rPr>
        <w:t>Further, on July 1, 2015, a complaint was filed in the United States District Court for the Southern District of New York on behalf of putative classes of consumers alleging collusion among the Company, American Airlines, Delta Air Lines, and United Airlines to limit capacity and maintain higher fares in violation of Section 1 of the Sherman Act. Since then, a number of similar class action complaints were filed in the United States District Courts for the Central District of California, the Northern District of California, the District of Columbia, the Middle District of Florida, the Southern District of Florida, the Northern District of Georgia, the Northern District of Illinois, the Southern District of Indiana, the Eastern District of  Louisiana,  the  District  of  Minnesota,  the  District  of  New Jersey, the Eastern District of New York, the Southern District of New York, the Middle District of North Carolina, the District of Oklahoma, the Eastern District of Pennsylvania, the Northern District of Texas, the District of Vermont, and the Eastern District of Wisconsin. On October 13, 2015, the Judicial Panel on Multi-District Litigation centralized the cases to the United States District Court in the District of Columbia. On March 25, 2016, the plaintiffs filed a Consolidated Amended Complaint  in the consolidated cases alleging that the defendants conspired to restrict capacity from 2009 to present. The plaintiffs seek to bring their claims on behalf of a class of persons who purchased tickets for domestic airline travel on the defendants’ airlines from July 1, 2011 to present. They seek treble damages, injunctive relief, and attorneys’ fees and expenses. On May 11, 2016, the defendants moved to</w:t>
      </w:r>
      <w:r>
        <w:rPr>
          <w:color w:val="231F20"/>
          <w:spacing w:val="39"/>
        </w:rPr>
        <w:t> </w:t>
      </w:r>
      <w:r>
        <w:rPr>
          <w:color w:val="231F20"/>
        </w:rPr>
        <w:t>dismiss</w:t>
      </w:r>
      <w:r>
        <w:rPr>
          <w:color w:val="231F20"/>
          <w:spacing w:val="40"/>
        </w:rPr>
        <w:t> </w:t>
      </w:r>
      <w:r>
        <w:rPr>
          <w:color w:val="231F20"/>
        </w:rPr>
        <w:t>the</w:t>
      </w:r>
      <w:r>
        <w:rPr>
          <w:color w:val="231F20"/>
          <w:spacing w:val="40"/>
        </w:rPr>
        <w:t> </w:t>
      </w:r>
      <w:r>
        <w:rPr>
          <w:color w:val="231F20"/>
        </w:rPr>
        <w:t>Consolidated</w:t>
      </w:r>
      <w:r>
        <w:rPr>
          <w:color w:val="231F20"/>
          <w:spacing w:val="40"/>
        </w:rPr>
        <w:t> </w:t>
      </w:r>
      <w:r>
        <w:rPr>
          <w:color w:val="231F20"/>
        </w:rPr>
        <w:t>Amended</w:t>
      </w:r>
      <w:r>
        <w:rPr>
          <w:color w:val="231F20"/>
          <w:spacing w:val="40"/>
        </w:rPr>
        <w:t> </w:t>
      </w:r>
      <w:r>
        <w:rPr>
          <w:color w:val="231F20"/>
        </w:rPr>
        <w:t>Complaint,</w:t>
      </w:r>
      <w:r>
        <w:rPr>
          <w:color w:val="231F20"/>
          <w:spacing w:val="39"/>
        </w:rPr>
        <w:t> </w:t>
      </w:r>
      <w:r>
        <w:rPr>
          <w:color w:val="231F20"/>
        </w:rPr>
        <w:t>and</w:t>
      </w:r>
      <w:r>
        <w:rPr>
          <w:color w:val="231F20"/>
          <w:spacing w:val="40"/>
        </w:rPr>
        <w:t> </w:t>
      </w:r>
      <w:r>
        <w:rPr>
          <w:color w:val="231F20"/>
        </w:rPr>
        <w:t>on</w:t>
      </w:r>
      <w:r>
        <w:rPr>
          <w:color w:val="231F20"/>
          <w:spacing w:val="40"/>
        </w:rPr>
        <w:t> </w:t>
      </w:r>
      <w:r>
        <w:rPr>
          <w:color w:val="231F20"/>
        </w:rPr>
        <w:t>October</w:t>
      </w:r>
      <w:r>
        <w:rPr>
          <w:color w:val="231F20"/>
          <w:spacing w:val="40"/>
        </w:rPr>
        <w:t> </w:t>
      </w:r>
      <w:r>
        <w:rPr>
          <w:color w:val="231F20"/>
        </w:rPr>
        <w:t>28,</w:t>
      </w:r>
      <w:r>
        <w:rPr>
          <w:color w:val="231F20"/>
          <w:spacing w:val="39"/>
        </w:rPr>
        <w:t> </w:t>
      </w:r>
      <w:r>
        <w:rPr>
          <w:color w:val="231F20"/>
        </w:rPr>
        <w:t>2016,</w:t>
      </w:r>
      <w:r>
        <w:rPr>
          <w:color w:val="231F20"/>
          <w:spacing w:val="39"/>
        </w:rPr>
        <w:t> </w:t>
      </w:r>
      <w:r>
        <w:rPr>
          <w:color w:val="231F20"/>
        </w:rPr>
        <w:t>the</w:t>
      </w:r>
      <w:r>
        <w:rPr>
          <w:color w:val="231F20"/>
          <w:spacing w:val="39"/>
        </w:rPr>
        <w:t> </w:t>
      </w:r>
      <w:r>
        <w:rPr>
          <w:color w:val="231F20"/>
        </w:rPr>
        <w:t>Court</w:t>
      </w:r>
      <w:r>
        <w:rPr>
          <w:color w:val="231F20"/>
          <w:spacing w:val="38"/>
        </w:rPr>
        <w:t> </w:t>
      </w:r>
      <w:r>
        <w:rPr>
          <w:color w:val="231F20"/>
        </w:rPr>
        <w:t>denied</w:t>
      </w:r>
      <w:r>
        <w:rPr>
          <w:color w:val="231F20"/>
          <w:spacing w:val="39"/>
        </w:rPr>
        <w:t> </w:t>
      </w:r>
      <w:r>
        <w:rPr>
          <w:color w:val="231F20"/>
        </w:rPr>
        <w:t>this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bookmarkStart w:name="Item 4. Mine Safety Disclosures " w:id="11"/>
      <w:bookmarkEnd w:id="11"/>
      <w:r>
        <w:rPr/>
      </w:r>
      <w:r>
        <w:rPr>
          <w:color w:val="231F20"/>
        </w:rPr>
        <w:t>motion. On January 31, 2017, the Court entered a case management schedule that calls for discovery to be completed, and for plaintiffs to file a motion for class certification, by April 27, 2018.  The Company denies all allegations of wrongdoing and intends to vigorously defend these civil</w:t>
      </w:r>
      <w:r>
        <w:rPr>
          <w:color w:val="231F20"/>
          <w:spacing w:val="-5"/>
        </w:rPr>
        <w:t> </w:t>
      </w:r>
      <w:r>
        <w:rPr>
          <w:color w:val="231F20"/>
        </w:rPr>
        <w:t>cases.</w:t>
      </w:r>
    </w:p>
    <w:p>
      <w:pPr>
        <w:pStyle w:val="BodyText"/>
        <w:spacing w:before="9"/>
        <w:rPr>
          <w:sz w:val="20"/>
        </w:rPr>
      </w:pPr>
    </w:p>
    <w:p>
      <w:pPr>
        <w:pStyle w:val="BodyText"/>
        <w:spacing w:line="247" w:lineRule="auto"/>
        <w:ind w:left="100" w:right="117"/>
        <w:jc w:val="both"/>
      </w:pPr>
      <w:r>
        <w:rPr>
          <w:color w:val="231F20"/>
        </w:rPr>
        <w:t>In addition, on July 8, 2015, the Company was named as a defendant in a putative class action filed in the Federal Court in Canada alleging that the Company, Air Canada, American Airlines, Delta Air Lines, and United Airlines colluded to restrict capacity and maintain higher fares for Canadian residents traveling in the United States and for travel between the United States and Canada. Similar lawsuits were filed in the Supreme Court of British Columbia on July 15, 2015, Court of Queen’s Bench for Saskatchewan on August 4, 2015, Superior Court of the  Province  of  Quebec  on  September 21, 2015, and Ontario Superior Court of Justice on October 6, 2015. In December 2015, the Company entered into Tolling and Discontinuance agreements with putative class counsel in the Federal Court and British Columbia and Ontario proceedings and a discontinuance agreement with putative class counsel in the Quebec proceeding. The other defendants entered into an agreement with the same putative class counsel to stay the Federal Court, British Columbia, and Quebec proceedings and to proceed in Ontario. On June 10, 2016, the Federal Court granted plaintiffs’ motion to discontinue that action against the Company without prejudice and stayed the action against the other defendants. On July 13, 2016, the plaintiff unilaterally discontinued the action against the Company in British Columbia. On September 28, 2016, the plaintiff filed a motion to discontinue the Quebec proceeding against the Company and to stay that proceeding against the other defendants. An initial case conference in the Ontario litigation was held on January 27, 2017, and the case managing judge scheduled a motion to discontinue that proceeding as to the Company for March 10, 2017. The time for the Company to respond to the remaining complaints has not yet expired. The plaintiffs in the remaining complaints generally seek damages (including punitive damages in certain cases), prejudgment interest, disgorgement of any benefits accrued by the defendants as a result of the allegations, injunctive relief, and attorneys’ fees and other costs. The Company denies all allegations of wrongdoing and intends to vigorously defend these civil cases in</w:t>
      </w:r>
      <w:r>
        <w:rPr>
          <w:color w:val="231F20"/>
          <w:spacing w:val="-4"/>
        </w:rPr>
        <w:t> </w:t>
      </w:r>
      <w:r>
        <w:rPr>
          <w:color w:val="231F20"/>
        </w:rPr>
        <w:t>Canada.</w:t>
      </w:r>
    </w:p>
    <w:p>
      <w:pPr>
        <w:pStyle w:val="BodyText"/>
        <w:spacing w:before="9"/>
        <w:rPr>
          <w:sz w:val="20"/>
        </w:rPr>
      </w:pPr>
    </w:p>
    <w:p>
      <w:pPr>
        <w:pStyle w:val="BodyText"/>
        <w:spacing w:line="247" w:lineRule="auto"/>
        <w:ind w:left="100" w:right="118"/>
        <w:jc w:val="both"/>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before="9"/>
        <w:rPr>
          <w:sz w:val="20"/>
        </w:rPr>
      </w:pPr>
    </w:p>
    <w:p>
      <w:pPr>
        <w:pStyle w:val="BodyText"/>
        <w:spacing w:line="247" w:lineRule="auto"/>
        <w:ind w:left="100" w:right="118"/>
        <w:jc w:val="both"/>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pStyle w:val="BodyText"/>
        <w:spacing w:before="9"/>
        <w:rPr>
          <w:sz w:val="20"/>
        </w:rPr>
      </w:pPr>
    </w:p>
    <w:p>
      <w:pPr>
        <w:spacing w:before="0"/>
        <w:ind w:left="100" w:right="0" w:firstLine="0"/>
        <w:jc w:val="both"/>
        <w:rPr>
          <w:b/>
          <w:i/>
          <w:sz w:val="22"/>
        </w:rPr>
      </w:pPr>
      <w:r>
        <w:rPr>
          <w:b/>
          <w:color w:val="231F20"/>
          <w:sz w:val="22"/>
        </w:rPr>
        <w:t>Item 4.        </w:t>
      </w:r>
      <w:r>
        <w:rPr>
          <w:b/>
          <w:i/>
          <w:color w:val="231F20"/>
          <w:sz w:val="22"/>
        </w:rPr>
        <w:t>Mine Safety Disclosures</w:t>
      </w:r>
    </w:p>
    <w:p>
      <w:pPr>
        <w:pStyle w:val="BodyText"/>
        <w:spacing w:before="4"/>
        <w:rPr>
          <w:b/>
          <w:i/>
          <w:sz w:val="21"/>
        </w:rPr>
      </w:pPr>
    </w:p>
    <w:p>
      <w:pPr>
        <w:pStyle w:val="BodyText"/>
        <w:spacing w:before="1"/>
        <w:ind w:left="100"/>
        <w:jc w:val="both"/>
      </w:pPr>
      <w:r>
        <w:rPr>
          <w:color w:val="231F20"/>
        </w:rPr>
        <w:t>Not applicable.</w:t>
      </w:r>
    </w:p>
    <w:p>
      <w:pPr>
        <w:spacing w:after="0"/>
        <w:jc w:val="both"/>
        <w:sectPr>
          <w:pgSz w:w="11880" w:h="15480"/>
          <w:pgMar w:header="0" w:footer="1240" w:top="1240" w:bottom="1420" w:left="1280" w:right="1260"/>
        </w:sectPr>
      </w:pPr>
    </w:p>
    <w:p>
      <w:pPr>
        <w:pStyle w:val="Heading1"/>
        <w:spacing w:before="74"/>
        <w:ind w:left="94" w:right="95"/>
        <w:jc w:val="center"/>
      </w:pPr>
      <w:r>
        <w:rPr>
          <w:color w:val="231F20"/>
        </w:rPr>
        <w:t>EXECUTIVE OFFICERS OF THE REGISTRANT</w:t>
      </w:r>
    </w:p>
    <w:p>
      <w:pPr>
        <w:pStyle w:val="BodyText"/>
        <w:spacing w:before="1"/>
        <w:rPr>
          <w:b/>
          <w:sz w:val="20"/>
        </w:rPr>
      </w:pPr>
    </w:p>
    <w:p>
      <w:pPr>
        <w:pStyle w:val="BodyText"/>
        <w:ind w:left="120"/>
        <w:jc w:val="both"/>
      </w:pPr>
      <w:r>
        <w:rPr>
          <w:color w:val="231F20"/>
        </w:rPr>
        <w:t>The following information regarding the Company’s executive officers is as of February 1, 2017.</w:t>
      </w:r>
    </w:p>
    <w:p>
      <w:pPr>
        <w:pStyle w:val="BodyText"/>
        <w:spacing w:before="7"/>
        <w:rPr>
          <w:sz w:val="16"/>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66"/>
        <w:gridCol w:w="5823"/>
        <w:gridCol w:w="1131"/>
      </w:tblGrid>
      <w:tr>
        <w:trPr>
          <w:trHeight w:val="256" w:hRule="exact"/>
        </w:trPr>
        <w:tc>
          <w:tcPr>
            <w:tcW w:w="2166" w:type="dxa"/>
            <w:tcBorders>
              <w:bottom w:val="single" w:sz="8" w:space="0" w:color="231F20"/>
            </w:tcBorders>
          </w:tcPr>
          <w:p>
            <w:pPr>
              <w:pStyle w:val="TableParagraph"/>
              <w:spacing w:line="229" w:lineRule="exact" w:before="0"/>
              <w:ind w:left="60"/>
              <w:rPr>
                <w:b/>
                <w:sz w:val="20"/>
              </w:rPr>
            </w:pPr>
            <w:r>
              <w:rPr>
                <w:b/>
                <w:color w:val="231F20"/>
                <w:sz w:val="20"/>
              </w:rPr>
              <w:t>Name</w:t>
            </w:r>
          </w:p>
        </w:tc>
        <w:tc>
          <w:tcPr>
            <w:tcW w:w="5823" w:type="dxa"/>
            <w:tcBorders>
              <w:bottom w:val="single" w:sz="8" w:space="0" w:color="231F20"/>
            </w:tcBorders>
          </w:tcPr>
          <w:p>
            <w:pPr>
              <w:pStyle w:val="TableParagraph"/>
              <w:spacing w:line="229" w:lineRule="exact" w:before="0"/>
              <w:ind w:left="199"/>
              <w:rPr>
                <w:b/>
                <w:sz w:val="20"/>
              </w:rPr>
            </w:pPr>
            <w:r>
              <w:rPr>
                <w:b/>
                <w:color w:val="231F20"/>
                <w:sz w:val="20"/>
              </w:rPr>
              <w:t>Position</w:t>
            </w:r>
          </w:p>
        </w:tc>
        <w:tc>
          <w:tcPr>
            <w:tcW w:w="1131" w:type="dxa"/>
            <w:tcBorders>
              <w:bottom w:val="single" w:sz="8" w:space="0" w:color="231F20"/>
            </w:tcBorders>
          </w:tcPr>
          <w:p>
            <w:pPr>
              <w:pStyle w:val="TableParagraph"/>
              <w:spacing w:line="229" w:lineRule="exact" w:before="0"/>
              <w:ind w:right="271"/>
              <w:jc w:val="right"/>
              <w:rPr>
                <w:b/>
                <w:sz w:val="20"/>
              </w:rPr>
            </w:pPr>
            <w:r>
              <w:rPr>
                <w:b/>
                <w:color w:val="231F20"/>
                <w:sz w:val="20"/>
              </w:rPr>
              <w:t>Age</w:t>
            </w:r>
          </w:p>
        </w:tc>
      </w:tr>
      <w:tr>
        <w:trPr>
          <w:trHeight w:val="330" w:hRule="exact"/>
        </w:trPr>
        <w:tc>
          <w:tcPr>
            <w:tcW w:w="2166" w:type="dxa"/>
            <w:tcBorders>
              <w:top w:val="single" w:sz="8" w:space="0" w:color="231F20"/>
            </w:tcBorders>
            <w:shd w:val="clear" w:color="auto" w:fill="D1D3D4"/>
          </w:tcPr>
          <w:p>
            <w:pPr>
              <w:pStyle w:val="TableParagraph"/>
              <w:ind w:left="60"/>
              <w:rPr>
                <w:sz w:val="20"/>
              </w:rPr>
            </w:pPr>
            <w:r>
              <w:rPr>
                <w:color w:val="231F20"/>
                <w:sz w:val="20"/>
              </w:rPr>
              <w:t>Gary C. Kelly</w:t>
            </w:r>
          </w:p>
        </w:tc>
        <w:tc>
          <w:tcPr>
            <w:tcW w:w="5823" w:type="dxa"/>
            <w:tcBorders>
              <w:top w:val="single" w:sz="8" w:space="0" w:color="231F20"/>
            </w:tcBorders>
            <w:shd w:val="clear" w:color="auto" w:fill="D1D3D4"/>
          </w:tcPr>
          <w:p>
            <w:pPr>
              <w:pStyle w:val="TableParagraph"/>
              <w:ind w:left="199"/>
              <w:rPr>
                <w:sz w:val="20"/>
              </w:rPr>
            </w:pPr>
            <w:r>
              <w:rPr>
                <w:color w:val="231F20"/>
                <w:sz w:val="20"/>
              </w:rPr>
              <w:t>Chairman of the Board &amp; Chief Executive Officer</w:t>
            </w:r>
          </w:p>
        </w:tc>
        <w:tc>
          <w:tcPr>
            <w:tcW w:w="1131" w:type="dxa"/>
            <w:tcBorders>
              <w:top w:val="single" w:sz="8" w:space="0" w:color="231F20"/>
            </w:tcBorders>
            <w:shd w:val="clear" w:color="auto" w:fill="D1D3D4"/>
          </w:tcPr>
          <w:p>
            <w:pPr>
              <w:pStyle w:val="TableParagraph"/>
              <w:ind w:right="337"/>
              <w:jc w:val="right"/>
              <w:rPr>
                <w:sz w:val="20"/>
              </w:rPr>
            </w:pPr>
            <w:r>
              <w:rPr>
                <w:color w:val="231F20"/>
                <w:sz w:val="20"/>
              </w:rPr>
              <w:t>61</w:t>
            </w:r>
          </w:p>
        </w:tc>
      </w:tr>
      <w:tr>
        <w:trPr>
          <w:trHeight w:val="320" w:hRule="exact"/>
        </w:trPr>
        <w:tc>
          <w:tcPr>
            <w:tcW w:w="2166" w:type="dxa"/>
          </w:tcPr>
          <w:p>
            <w:pPr>
              <w:pStyle w:val="TableParagraph"/>
              <w:ind w:left="60"/>
              <w:rPr>
                <w:sz w:val="20"/>
              </w:rPr>
            </w:pPr>
            <w:r>
              <w:rPr>
                <w:color w:val="231F20"/>
                <w:sz w:val="20"/>
              </w:rPr>
              <w:t>Thomas M. Nealon</w:t>
            </w:r>
          </w:p>
        </w:tc>
        <w:tc>
          <w:tcPr>
            <w:tcW w:w="5823" w:type="dxa"/>
          </w:tcPr>
          <w:p>
            <w:pPr>
              <w:pStyle w:val="TableParagraph"/>
              <w:ind w:left="199"/>
              <w:rPr>
                <w:sz w:val="20"/>
              </w:rPr>
            </w:pPr>
            <w:r>
              <w:rPr>
                <w:color w:val="231F20"/>
                <w:sz w:val="20"/>
              </w:rPr>
              <w:t>President</w:t>
            </w:r>
          </w:p>
        </w:tc>
        <w:tc>
          <w:tcPr>
            <w:tcW w:w="1131" w:type="dxa"/>
          </w:tcPr>
          <w:p>
            <w:pPr>
              <w:pStyle w:val="TableParagraph"/>
              <w:ind w:right="337"/>
              <w:jc w:val="right"/>
              <w:rPr>
                <w:sz w:val="20"/>
              </w:rPr>
            </w:pPr>
            <w:r>
              <w:rPr>
                <w:color w:val="231F20"/>
                <w:sz w:val="20"/>
              </w:rPr>
              <w:t>55</w:t>
            </w:r>
          </w:p>
        </w:tc>
      </w:tr>
      <w:tr>
        <w:trPr>
          <w:trHeight w:val="320" w:hRule="exact"/>
        </w:trPr>
        <w:tc>
          <w:tcPr>
            <w:tcW w:w="2166" w:type="dxa"/>
            <w:shd w:val="clear" w:color="auto" w:fill="D1D3D4"/>
          </w:tcPr>
          <w:p>
            <w:pPr>
              <w:pStyle w:val="TableParagraph"/>
              <w:ind w:left="60"/>
              <w:rPr>
                <w:sz w:val="20"/>
              </w:rPr>
            </w:pPr>
            <w:r>
              <w:rPr>
                <w:color w:val="231F20"/>
                <w:sz w:val="20"/>
              </w:rPr>
              <w:t>Michael G. Van de Ven</w:t>
            </w:r>
          </w:p>
        </w:tc>
        <w:tc>
          <w:tcPr>
            <w:tcW w:w="5823" w:type="dxa"/>
            <w:shd w:val="clear" w:color="auto" w:fill="D1D3D4"/>
          </w:tcPr>
          <w:p>
            <w:pPr>
              <w:pStyle w:val="TableParagraph"/>
              <w:ind w:left="199"/>
              <w:rPr>
                <w:sz w:val="20"/>
              </w:rPr>
            </w:pPr>
            <w:r>
              <w:rPr>
                <w:color w:val="231F20"/>
                <w:sz w:val="20"/>
              </w:rPr>
              <w:t>Chief Operating Officer</w:t>
            </w:r>
          </w:p>
        </w:tc>
        <w:tc>
          <w:tcPr>
            <w:tcW w:w="1131" w:type="dxa"/>
            <w:shd w:val="clear" w:color="auto" w:fill="D1D3D4"/>
          </w:tcPr>
          <w:p>
            <w:pPr>
              <w:pStyle w:val="TableParagraph"/>
              <w:ind w:right="337"/>
              <w:jc w:val="right"/>
              <w:rPr>
                <w:sz w:val="20"/>
              </w:rPr>
            </w:pPr>
            <w:r>
              <w:rPr>
                <w:color w:val="231F20"/>
                <w:sz w:val="20"/>
              </w:rPr>
              <w:t>55</w:t>
            </w:r>
          </w:p>
        </w:tc>
      </w:tr>
      <w:tr>
        <w:trPr>
          <w:trHeight w:val="320" w:hRule="exact"/>
        </w:trPr>
        <w:tc>
          <w:tcPr>
            <w:tcW w:w="2166" w:type="dxa"/>
          </w:tcPr>
          <w:p>
            <w:pPr>
              <w:pStyle w:val="TableParagraph"/>
              <w:ind w:left="60"/>
              <w:rPr>
                <w:sz w:val="20"/>
              </w:rPr>
            </w:pPr>
            <w:r>
              <w:rPr>
                <w:color w:val="231F20"/>
                <w:sz w:val="20"/>
              </w:rPr>
              <w:t>Robert E. Jordan</w:t>
            </w:r>
          </w:p>
        </w:tc>
        <w:tc>
          <w:tcPr>
            <w:tcW w:w="5823" w:type="dxa"/>
          </w:tcPr>
          <w:p>
            <w:pPr>
              <w:pStyle w:val="TableParagraph"/>
              <w:ind w:left="199"/>
              <w:rPr>
                <w:sz w:val="20"/>
              </w:rPr>
            </w:pPr>
            <w:r>
              <w:rPr>
                <w:color w:val="231F20"/>
                <w:sz w:val="20"/>
              </w:rPr>
              <w:t>Executive Vice President &amp; Chief Commercial Officer</w:t>
            </w:r>
          </w:p>
        </w:tc>
        <w:tc>
          <w:tcPr>
            <w:tcW w:w="1131" w:type="dxa"/>
          </w:tcPr>
          <w:p>
            <w:pPr>
              <w:pStyle w:val="TableParagraph"/>
              <w:ind w:right="337"/>
              <w:jc w:val="right"/>
              <w:rPr>
                <w:sz w:val="20"/>
              </w:rPr>
            </w:pPr>
            <w:r>
              <w:rPr>
                <w:color w:val="231F20"/>
                <w:sz w:val="20"/>
              </w:rPr>
              <w:t>56</w:t>
            </w:r>
          </w:p>
        </w:tc>
      </w:tr>
      <w:tr>
        <w:trPr>
          <w:trHeight w:val="320" w:hRule="exact"/>
        </w:trPr>
        <w:tc>
          <w:tcPr>
            <w:tcW w:w="2166" w:type="dxa"/>
            <w:shd w:val="clear" w:color="auto" w:fill="D1D3D4"/>
          </w:tcPr>
          <w:p>
            <w:pPr>
              <w:pStyle w:val="TableParagraph"/>
              <w:ind w:left="60"/>
              <w:rPr>
                <w:sz w:val="20"/>
              </w:rPr>
            </w:pPr>
            <w:r>
              <w:rPr>
                <w:color w:val="231F20"/>
                <w:sz w:val="20"/>
              </w:rPr>
              <w:t>Jeff Lamb</w:t>
            </w:r>
          </w:p>
        </w:tc>
        <w:tc>
          <w:tcPr>
            <w:tcW w:w="5823" w:type="dxa"/>
            <w:shd w:val="clear" w:color="auto" w:fill="D1D3D4"/>
          </w:tcPr>
          <w:p>
            <w:pPr>
              <w:pStyle w:val="TableParagraph"/>
              <w:ind w:left="199"/>
              <w:rPr>
                <w:sz w:val="20"/>
              </w:rPr>
            </w:pPr>
            <w:r>
              <w:rPr>
                <w:color w:val="231F20"/>
                <w:sz w:val="20"/>
              </w:rPr>
              <w:t>Executive Vice President Corporate Services</w:t>
            </w:r>
          </w:p>
        </w:tc>
        <w:tc>
          <w:tcPr>
            <w:tcW w:w="1131" w:type="dxa"/>
            <w:shd w:val="clear" w:color="auto" w:fill="D1D3D4"/>
          </w:tcPr>
          <w:p>
            <w:pPr>
              <w:pStyle w:val="TableParagraph"/>
              <w:ind w:right="337"/>
              <w:jc w:val="right"/>
              <w:rPr>
                <w:sz w:val="20"/>
              </w:rPr>
            </w:pPr>
            <w:r>
              <w:rPr>
                <w:color w:val="231F20"/>
                <w:sz w:val="20"/>
              </w:rPr>
              <w:t>54</w:t>
            </w:r>
          </w:p>
        </w:tc>
      </w:tr>
      <w:tr>
        <w:trPr>
          <w:trHeight w:val="320" w:hRule="exact"/>
        </w:trPr>
        <w:tc>
          <w:tcPr>
            <w:tcW w:w="2166" w:type="dxa"/>
          </w:tcPr>
          <w:p>
            <w:pPr>
              <w:pStyle w:val="TableParagraph"/>
              <w:ind w:left="60"/>
              <w:rPr>
                <w:sz w:val="20"/>
              </w:rPr>
            </w:pPr>
            <w:r>
              <w:rPr>
                <w:color w:val="231F20"/>
                <w:sz w:val="20"/>
              </w:rPr>
              <w:t>Tammy Romo</w:t>
            </w:r>
          </w:p>
        </w:tc>
        <w:tc>
          <w:tcPr>
            <w:tcW w:w="5823" w:type="dxa"/>
          </w:tcPr>
          <w:p>
            <w:pPr>
              <w:pStyle w:val="TableParagraph"/>
              <w:ind w:left="199"/>
              <w:rPr>
                <w:sz w:val="20"/>
              </w:rPr>
            </w:pPr>
            <w:r>
              <w:rPr>
                <w:color w:val="231F20"/>
                <w:sz w:val="20"/>
              </w:rPr>
              <w:t>Executive Vice President &amp; Chief Financial Officer</w:t>
            </w:r>
          </w:p>
        </w:tc>
        <w:tc>
          <w:tcPr>
            <w:tcW w:w="1131" w:type="dxa"/>
          </w:tcPr>
          <w:p>
            <w:pPr>
              <w:pStyle w:val="TableParagraph"/>
              <w:ind w:right="337"/>
              <w:jc w:val="right"/>
              <w:rPr>
                <w:sz w:val="20"/>
              </w:rPr>
            </w:pPr>
            <w:r>
              <w:rPr>
                <w:color w:val="231F20"/>
                <w:sz w:val="20"/>
              </w:rPr>
              <w:t>54</w:t>
            </w:r>
          </w:p>
        </w:tc>
      </w:tr>
      <w:tr>
        <w:trPr>
          <w:trHeight w:val="320" w:hRule="exact"/>
        </w:trPr>
        <w:tc>
          <w:tcPr>
            <w:tcW w:w="2166" w:type="dxa"/>
            <w:shd w:val="clear" w:color="auto" w:fill="D1D3D4"/>
          </w:tcPr>
          <w:p>
            <w:pPr>
              <w:pStyle w:val="TableParagraph"/>
              <w:ind w:left="60"/>
              <w:rPr>
                <w:sz w:val="20"/>
              </w:rPr>
            </w:pPr>
            <w:r>
              <w:rPr>
                <w:color w:val="231F20"/>
                <w:sz w:val="20"/>
              </w:rPr>
              <w:t>Gregory D. Wells</w:t>
            </w:r>
          </w:p>
        </w:tc>
        <w:tc>
          <w:tcPr>
            <w:tcW w:w="5823" w:type="dxa"/>
            <w:shd w:val="clear" w:color="auto" w:fill="D1D3D4"/>
          </w:tcPr>
          <w:p>
            <w:pPr>
              <w:pStyle w:val="TableParagraph"/>
              <w:ind w:left="199"/>
              <w:rPr>
                <w:sz w:val="20"/>
              </w:rPr>
            </w:pPr>
            <w:r>
              <w:rPr>
                <w:color w:val="231F20"/>
                <w:sz w:val="20"/>
              </w:rPr>
              <w:t>Executive Vice President Daily Operations</w:t>
            </w:r>
          </w:p>
        </w:tc>
        <w:tc>
          <w:tcPr>
            <w:tcW w:w="1131" w:type="dxa"/>
            <w:shd w:val="clear" w:color="auto" w:fill="D1D3D4"/>
          </w:tcPr>
          <w:p>
            <w:pPr>
              <w:pStyle w:val="TableParagraph"/>
              <w:ind w:right="337"/>
              <w:jc w:val="right"/>
              <w:rPr>
                <w:sz w:val="20"/>
              </w:rPr>
            </w:pPr>
            <w:r>
              <w:rPr>
                <w:color w:val="231F20"/>
                <w:sz w:val="20"/>
              </w:rPr>
              <w:t>58</w:t>
            </w:r>
          </w:p>
        </w:tc>
      </w:tr>
      <w:tr>
        <w:trPr>
          <w:trHeight w:val="284" w:hRule="exact"/>
        </w:trPr>
        <w:tc>
          <w:tcPr>
            <w:tcW w:w="2166" w:type="dxa"/>
          </w:tcPr>
          <w:p>
            <w:pPr>
              <w:pStyle w:val="TableParagraph"/>
              <w:ind w:left="60"/>
              <w:rPr>
                <w:sz w:val="20"/>
              </w:rPr>
            </w:pPr>
            <w:r>
              <w:rPr>
                <w:color w:val="231F20"/>
                <w:sz w:val="20"/>
              </w:rPr>
              <w:t>Mark R. Shaw</w:t>
            </w:r>
          </w:p>
        </w:tc>
        <w:tc>
          <w:tcPr>
            <w:tcW w:w="5823" w:type="dxa"/>
          </w:tcPr>
          <w:p>
            <w:pPr>
              <w:pStyle w:val="TableParagraph"/>
              <w:ind w:left="199"/>
              <w:rPr>
                <w:sz w:val="20"/>
              </w:rPr>
            </w:pPr>
            <w:r>
              <w:rPr>
                <w:color w:val="231F20"/>
                <w:sz w:val="20"/>
              </w:rPr>
              <w:t>Senior Vice President, General Counsel, &amp; Corporate Secretary</w:t>
            </w:r>
          </w:p>
        </w:tc>
        <w:tc>
          <w:tcPr>
            <w:tcW w:w="1131" w:type="dxa"/>
          </w:tcPr>
          <w:p>
            <w:pPr>
              <w:pStyle w:val="TableParagraph"/>
              <w:ind w:right="337"/>
              <w:jc w:val="right"/>
              <w:rPr>
                <w:sz w:val="20"/>
              </w:rPr>
            </w:pPr>
            <w:r>
              <w:rPr>
                <w:color w:val="231F20"/>
                <w:sz w:val="20"/>
              </w:rPr>
              <w:t>54</w:t>
            </w:r>
          </w:p>
        </w:tc>
      </w:tr>
    </w:tbl>
    <w:p>
      <w:pPr>
        <w:pStyle w:val="BodyText"/>
        <w:spacing w:before="5"/>
        <w:rPr>
          <w:sz w:val="27"/>
        </w:rPr>
      </w:pPr>
    </w:p>
    <w:p>
      <w:pPr>
        <w:pStyle w:val="BodyText"/>
        <w:ind w:left="120"/>
        <w:jc w:val="both"/>
      </w:pPr>
      <w:r>
        <w:rPr>
          <w:color w:val="231F20"/>
        </w:rPr>
        <w:t>Set forth below is a description of the background of each of the Company’s executive officers.</w:t>
      </w:r>
    </w:p>
    <w:p>
      <w:pPr>
        <w:pStyle w:val="BodyText"/>
        <w:spacing w:before="1"/>
        <w:rPr>
          <w:sz w:val="20"/>
        </w:rPr>
      </w:pPr>
    </w:p>
    <w:p>
      <w:pPr>
        <w:pStyle w:val="BodyText"/>
        <w:spacing w:line="247" w:lineRule="auto"/>
        <w:ind w:left="120" w:right="117"/>
        <w:jc w:val="both"/>
      </w:pPr>
      <w:r>
        <w:rPr>
          <w:i/>
          <w:color w:val="231F20"/>
        </w:rPr>
        <w:t>Gary C. Kelly </w:t>
      </w:r>
      <w:r>
        <w:rPr>
          <w:color w:val="231F20"/>
        </w:rPr>
        <w:t>has served as the Company’s Chairman of the Board since May 2008 and as its Chief Executive Officer since July 2004. Mr. Kelly also served as President from July 2008 to January 2017, Executive Vice President &amp; Chief Financial Officer from June 2001 to  July  2004,  and  Vice  President Finance &amp; Chief Financial Officer from 1989 to 2001. Mr. Kelly joined the Company in  1986 as its Controller.</w:t>
      </w:r>
    </w:p>
    <w:p>
      <w:pPr>
        <w:pStyle w:val="BodyText"/>
        <w:spacing w:before="5"/>
        <w:rPr>
          <w:sz w:val="19"/>
        </w:rPr>
      </w:pPr>
    </w:p>
    <w:p>
      <w:pPr>
        <w:pStyle w:val="BodyText"/>
        <w:spacing w:line="247" w:lineRule="auto"/>
        <w:ind w:left="120" w:right="117"/>
        <w:jc w:val="both"/>
      </w:pPr>
      <w:r>
        <w:rPr>
          <w:i/>
          <w:color w:val="231F20"/>
        </w:rPr>
        <w:t>Thomas M. Nealon </w:t>
      </w:r>
      <w:r>
        <w:rPr>
          <w:color w:val="231F20"/>
        </w:rPr>
        <w:t>has served as the Company’s President since January 2017. Mr. Nealon also served as Executive Vice President Strategy &amp; Innovation from January 2016 to January 2017. Prior to becoming an executive officer of the Company, Mr. Nealon served on the Company’s Board of Directors from December 2010 until November 2015. Mr. Nealon has also served as Group Executive Vice President of J.C. Penney Company, Inc., a retail company, from August 2010 until December 2011. In this role Mr. Nealon was responsible for Strategy, jcp.com, Information Technology, Customer Insights, and Digital Ventures. Mr. Nealon also served as J.C. Penney’s Executive Vice President  &amp;  Chief  Information  Officer  from  September  2006  until  August  2010.  Prior  to</w:t>
      </w:r>
      <w:r>
        <w:rPr>
          <w:color w:val="231F20"/>
          <w:spacing w:val="-1"/>
        </w:rPr>
        <w:t> </w:t>
      </w:r>
      <w:r>
        <w:rPr>
          <w:color w:val="231F20"/>
        </w:rPr>
        <w:t>joining</w:t>
      </w:r>
    </w:p>
    <w:p>
      <w:pPr>
        <w:pStyle w:val="BodyText"/>
        <w:spacing w:line="247" w:lineRule="auto"/>
        <w:ind w:left="120" w:right="117"/>
        <w:jc w:val="both"/>
      </w:pPr>
      <w:r>
        <w:rPr>
          <w:color w:val="231F20"/>
        </w:rPr>
        <w:t>J.C. Penney, Mr. Nealon was a partner with The Feld Group, a provider of information technology consulting services, where he served in a consultant capacity as Senior Vice President &amp; Chief Information Officer for the Company from 2002 to 2006. Mr. Nealon also served as Chief Information Officer for Frito-Lay, a division of PepsiCo, Inc., from 1996 to 2000, and in various software engineering, systems engineering, and management positions for Frito-Lay from 1983 to 1996.</w:t>
      </w:r>
    </w:p>
    <w:p>
      <w:pPr>
        <w:pStyle w:val="BodyText"/>
        <w:spacing w:before="7"/>
        <w:rPr>
          <w:sz w:val="19"/>
        </w:rPr>
      </w:pPr>
    </w:p>
    <w:p>
      <w:pPr>
        <w:pStyle w:val="BodyText"/>
        <w:spacing w:line="247" w:lineRule="auto"/>
        <w:ind w:left="120" w:right="117"/>
        <w:jc w:val="both"/>
      </w:pPr>
      <w:r>
        <w:rPr>
          <w:i/>
          <w:color w:val="231F20"/>
        </w:rPr>
        <w:t>Michael G. Van de Ven </w:t>
      </w:r>
      <w:r>
        <w:rPr>
          <w:color w:val="231F20"/>
        </w:rPr>
        <w:t>has served as the Company’s Chief Operating Officer since May 2008.         Mr. Van de Ven also served as Executive Vice President &amp; Chief Operating Officer from May 2008 to January 2017,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w:t>
      </w:r>
      <w:r>
        <w:rPr>
          <w:color w:val="231F20"/>
          <w:spacing w:val="-2"/>
        </w:rPr>
        <w:t> </w:t>
      </w:r>
      <w:r>
        <w:rPr>
          <w:color w:val="231F20"/>
        </w:rPr>
        <w:t>Audit.</w:t>
      </w:r>
    </w:p>
    <w:p>
      <w:pPr>
        <w:pStyle w:val="BodyText"/>
        <w:spacing w:before="6"/>
        <w:rPr>
          <w:sz w:val="19"/>
        </w:rPr>
      </w:pPr>
    </w:p>
    <w:p>
      <w:pPr>
        <w:pStyle w:val="BodyText"/>
        <w:spacing w:line="247" w:lineRule="auto"/>
        <w:ind w:left="119" w:right="117"/>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served as Executive Vice President Strategy &amp; Planning from May 2008 to September 2011, Executive Vice 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w:t>
      </w:r>
      <w:r>
        <w:rPr>
          <w:color w:val="231F20"/>
          <w:spacing w:val="-3"/>
        </w:rPr>
        <w:t> </w:t>
      </w:r>
      <w:r>
        <w:rPr>
          <w:color w:val="231F20"/>
        </w:rPr>
        <w:t>programmer.</w:t>
      </w:r>
    </w:p>
    <w:p>
      <w:pPr>
        <w:pStyle w:val="BodyText"/>
        <w:spacing w:before="9"/>
        <w:rPr>
          <w:sz w:val="20"/>
        </w:rPr>
      </w:pPr>
    </w:p>
    <w:p>
      <w:pPr>
        <w:pStyle w:val="BodyText"/>
        <w:spacing w:line="247" w:lineRule="auto"/>
        <w:ind w:left="100" w:right="117"/>
        <w:jc w:val="both"/>
      </w:pPr>
      <w:r>
        <w:rPr>
          <w:i/>
          <w:color w:val="231F20"/>
        </w:rPr>
        <w:t>Jeff Lamb </w:t>
      </w:r>
      <w:r>
        <w:rPr>
          <w:color w:val="231F20"/>
        </w:rPr>
        <w:t>has served as the Company’s Executive Vice President Corporate Services since July 2015. Mr. Lamb also served as Executive Vice President &amp; Chief People &amp; Administrative Officer from September 2011 to July 2015, Senior Vice President Administration &amp; Chief People Officer from October 2007 to September 2011, Vice President People &amp; Leadership Development from February 2006 to October 2007, and as Senior Director People Development from December 2004 until February</w:t>
      </w:r>
      <w:r>
        <w:rPr>
          <w:color w:val="231F20"/>
          <w:spacing w:val="-1"/>
        </w:rPr>
        <w:t> </w:t>
      </w:r>
      <w:r>
        <w:rPr>
          <w:color w:val="231F20"/>
        </w:rPr>
        <w:t>2006.</w:t>
      </w:r>
    </w:p>
    <w:p>
      <w:pPr>
        <w:pStyle w:val="BodyText"/>
        <w:spacing w:before="9"/>
        <w:rPr>
          <w:sz w:val="20"/>
        </w:rPr>
      </w:pPr>
    </w:p>
    <w:p>
      <w:pPr>
        <w:pStyle w:val="BodyText"/>
        <w:spacing w:line="247" w:lineRule="auto"/>
        <w:ind w:left="100" w:right="117"/>
        <w:jc w:val="both"/>
      </w:pPr>
      <w:r>
        <w:rPr>
          <w:i/>
          <w:color w:val="231F20"/>
        </w:rPr>
        <w:t>Tammy Romo </w:t>
      </w:r>
      <w:r>
        <w:rPr>
          <w:color w:val="231F20"/>
        </w:rPr>
        <w:t>has served as the Company’s Executive Vice President &amp; Chief Financial Officer since July 2015. Ms. Romo also served as Senior Vice President Finance &amp; Chief Financial Officer from September 2012 to July 2015, Senior Vice President of Planning from February 2010 to September 2012, Vice President of Financial Planning from September 2008 to February 2010, Vice President Controller from February 2006 to August 2008, Vice President Treasurer from September 2004 to February 2006, Senior 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pStyle w:val="BodyText"/>
        <w:spacing w:before="9"/>
        <w:rPr>
          <w:sz w:val="20"/>
        </w:rPr>
      </w:pPr>
    </w:p>
    <w:p>
      <w:pPr>
        <w:pStyle w:val="BodyText"/>
        <w:spacing w:line="247" w:lineRule="auto"/>
        <w:ind w:left="100" w:right="117"/>
        <w:jc w:val="both"/>
      </w:pPr>
      <w:r>
        <w:rPr>
          <w:i/>
          <w:color w:val="231F20"/>
        </w:rPr>
        <w:t>Gregory D. Wells </w:t>
      </w:r>
      <w:r>
        <w:rPr>
          <w:color w:val="231F20"/>
        </w:rPr>
        <w:t>has served as the Company’s Executive Vice President Daily Operations since January 2017. Mr. Wells also served as Senior Vice President Operational Performance from October 2013 to January 2017, Senior Vice President Operations from September 2006 to October 2013, Senior Vice President Ground Operations from November 2005 to September 2006, Vice President Ground Operations from September 2004 to November 2005, Vice President Safety, Security, and Flight Dispatch from October 2001 to September 2004, Director Flight Dispatch from February 1999 to October 2001, Senior Director Ground Operations from August 1998 to February 1999, and Director Ground Operations from August 1996 to August 1998. Prior to August 1996, Mr. Wells had various other operational experience with the Company including as Station Manager in both San Jose and Phoenix. Mr. Wells has almost 35 years of experience with the Company.</w:t>
      </w:r>
    </w:p>
    <w:p>
      <w:pPr>
        <w:pStyle w:val="BodyText"/>
        <w:spacing w:before="9"/>
        <w:rPr>
          <w:sz w:val="20"/>
        </w:rPr>
      </w:pPr>
    </w:p>
    <w:p>
      <w:pPr>
        <w:pStyle w:val="BodyText"/>
        <w:spacing w:line="247" w:lineRule="auto"/>
        <w:ind w:left="100" w:right="117"/>
        <w:jc w:val="both"/>
      </w:pPr>
      <w:r>
        <w:rPr>
          <w:i/>
          <w:color w:val="231F20"/>
        </w:rPr>
        <w:t>Mark R. Shaw </w:t>
      </w:r>
      <w:r>
        <w:rPr>
          <w:color w:val="231F20"/>
        </w:rPr>
        <w:t>has served as the Company’s Senior Vice President, General Counsel, &amp; Corporate Secretary since July 2015. Mr. Shaw also served as Vice President, General Counsel, &amp; Corporate Secretary from February 2013 to July 2015 and as Associate General Counsel—Corporate &amp; Transactions from February 2008 to February 2013. Mr. Shaw joined the Company in 2000 as an Attorney in the General Counsel Department.</w:t>
      </w:r>
    </w:p>
    <w:p>
      <w:pPr>
        <w:spacing w:after="0" w:line="247" w:lineRule="auto"/>
        <w:jc w:val="both"/>
        <w:sectPr>
          <w:pgSz w:w="11880" w:h="15480"/>
          <w:pgMar w:header="0" w:footer="1240" w:top="1240" w:bottom="1420" w:left="1280" w:right="1260"/>
        </w:sectPr>
      </w:pPr>
    </w:p>
    <w:p>
      <w:pPr>
        <w:pStyle w:val="Heading1"/>
        <w:spacing w:before="74"/>
        <w:ind w:left="95" w:right="95"/>
        <w:jc w:val="center"/>
      </w:pPr>
      <w:bookmarkStart w:name="Part II " w:id="12"/>
      <w:bookmarkEnd w:id="12"/>
      <w:r>
        <w:rPr>
          <w:b w:val="0"/>
        </w:rPr>
      </w:r>
      <w:bookmarkStart w:name="Item 5. Market for Registrant's Common E" w:id="13"/>
      <w:bookmarkEnd w:id="13"/>
      <w:r>
        <w:rPr>
          <w:b w:val="0"/>
        </w:rPr>
      </w:r>
      <w:r>
        <w:rPr>
          <w:color w:val="231F20"/>
        </w:rPr>
        <w:t>PART II</w:t>
      </w:r>
    </w:p>
    <w:p>
      <w:pPr>
        <w:pStyle w:val="BodyText"/>
        <w:spacing w:before="4"/>
        <w:rPr>
          <w:b/>
          <w:sz w:val="21"/>
        </w:rPr>
      </w:pPr>
    </w:p>
    <w:p>
      <w:pPr>
        <w:pStyle w:val="Heading2"/>
        <w:tabs>
          <w:tab w:pos="1494" w:val="left" w:leader="none"/>
        </w:tabs>
        <w:spacing w:line="247" w:lineRule="auto" w:before="1"/>
        <w:ind w:left="120" w:right="421"/>
      </w:pPr>
      <w:r>
        <w:rPr>
          <w:i w:val="0"/>
          <w:color w:val="231F20"/>
        </w:rPr>
        <w:t>Item 5.</w:t>
        <w:tab/>
      </w:r>
      <w:r>
        <w:rPr>
          <w:i/>
          <w:color w:val="231F20"/>
        </w:rPr>
        <w:t>Market for Registrant’s Common Equity, Related Stockholder Matters, and</w:t>
      </w:r>
      <w:r>
        <w:rPr>
          <w:i/>
          <w:color w:val="231F20"/>
          <w:spacing w:val="-1"/>
        </w:rPr>
        <w:t> </w:t>
      </w:r>
      <w:r>
        <w:rPr>
          <w:i/>
          <w:color w:val="231F20"/>
        </w:rPr>
        <w:t>Issuer</w:t>
      </w:r>
      <w:r>
        <w:rPr>
          <w:color w:val="231F20"/>
          <w:w w:val="99"/>
        </w:rPr>
        <w:t> </w:t>
      </w:r>
      <w:r>
        <w:rPr>
          <w:color w:val="231F20"/>
        </w:rPr>
        <w:t>Purchases of Equity</w:t>
      </w:r>
      <w:r>
        <w:rPr>
          <w:color w:val="231F20"/>
          <w:spacing w:val="-2"/>
        </w:rPr>
        <w:t> </w:t>
      </w:r>
      <w:r>
        <w:rPr>
          <w:color w:val="231F20"/>
        </w:rPr>
        <w:t>Securities</w:t>
      </w:r>
    </w:p>
    <w:p>
      <w:pPr>
        <w:pStyle w:val="BodyText"/>
        <w:spacing w:before="9"/>
        <w:rPr>
          <w:b/>
          <w:i/>
          <w:sz w:val="20"/>
        </w:rPr>
      </w:pPr>
    </w:p>
    <w:p>
      <w:pPr>
        <w:pStyle w:val="BodyText"/>
        <w:spacing w:line="247" w:lineRule="auto"/>
        <w:ind w:left="120" w:right="118"/>
        <w:jc w:val="both"/>
      </w:pPr>
      <w:r>
        <w:rPr/>
        <w:pict>
          <v:line style="position:absolute;mso-position-horizontal-relative:page;mso-position-vertical-relative:paragraph;z-index:-377704" from="69pt,74.770325pt" to="303pt,74.770325pt" stroked="true" strokeweight="1pt" strokecolor="#231f20">
            <v:stroke dashstyle="solid"/>
            <w10:wrap type="none"/>
          </v:line>
        </w:pict>
      </w:r>
      <w:r>
        <w:rPr>
          <w:color w:val="231F20"/>
        </w:rPr>
        <w:t>The Company’s common stock is listed on the New York Stock Exchange (“NYSE”) and is traded under the symbol “LUV.” The following table shows the high and low prices per share of the Company’s common stock, as reported on the NYSE Composite Tape, and the cash dividends per  share declared on the Company’s common stock.</w:t>
      </w:r>
    </w:p>
    <w:p>
      <w:pPr>
        <w:pStyle w:val="BodyText"/>
        <w:spacing w:before="2" w:after="1"/>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00"/>
        <w:gridCol w:w="1430"/>
        <w:gridCol w:w="1480"/>
        <w:gridCol w:w="1430"/>
      </w:tblGrid>
      <w:tr>
        <w:trPr>
          <w:trHeight w:val="256" w:hRule="exact"/>
        </w:trPr>
        <w:tc>
          <w:tcPr>
            <w:tcW w:w="4680" w:type="dxa"/>
          </w:tcPr>
          <w:p>
            <w:pPr>
              <w:pStyle w:val="TableParagraph"/>
              <w:spacing w:line="229" w:lineRule="exact" w:before="0"/>
              <w:ind w:left="160"/>
              <w:rPr>
                <w:b/>
                <w:sz w:val="20"/>
              </w:rPr>
            </w:pPr>
            <w:r>
              <w:rPr>
                <w:b/>
                <w:color w:val="231F20"/>
                <w:sz w:val="20"/>
              </w:rPr>
              <w:t>Period</w:t>
            </w:r>
          </w:p>
        </w:tc>
        <w:tc>
          <w:tcPr>
            <w:tcW w:w="100" w:type="dxa"/>
          </w:tcPr>
          <w:p>
            <w:pPr/>
          </w:p>
        </w:tc>
        <w:tc>
          <w:tcPr>
            <w:tcW w:w="1430" w:type="dxa"/>
            <w:tcBorders>
              <w:bottom w:val="single" w:sz="8" w:space="0" w:color="231F20"/>
            </w:tcBorders>
          </w:tcPr>
          <w:p>
            <w:pPr>
              <w:pStyle w:val="TableParagraph"/>
              <w:spacing w:line="229" w:lineRule="exact" w:before="0"/>
              <w:ind w:left="301"/>
              <w:rPr>
                <w:b/>
                <w:sz w:val="20"/>
              </w:rPr>
            </w:pPr>
            <w:r>
              <w:rPr>
                <w:b/>
                <w:color w:val="231F20"/>
                <w:sz w:val="20"/>
              </w:rPr>
              <w:t>Dividend</w:t>
            </w:r>
          </w:p>
        </w:tc>
        <w:tc>
          <w:tcPr>
            <w:tcW w:w="1480" w:type="dxa"/>
            <w:tcBorders>
              <w:bottom w:val="single" w:sz="8" w:space="0" w:color="231F20"/>
            </w:tcBorders>
          </w:tcPr>
          <w:p>
            <w:pPr>
              <w:pStyle w:val="TableParagraph"/>
              <w:spacing w:line="229" w:lineRule="exact" w:before="0"/>
              <w:ind w:left="98" w:right="99"/>
              <w:jc w:val="center"/>
              <w:rPr>
                <w:b/>
                <w:sz w:val="20"/>
              </w:rPr>
            </w:pPr>
            <w:r>
              <w:rPr>
                <w:b/>
                <w:color w:val="231F20"/>
                <w:sz w:val="20"/>
              </w:rPr>
              <w:t>High</w:t>
            </w:r>
          </w:p>
        </w:tc>
        <w:tc>
          <w:tcPr>
            <w:tcW w:w="1430" w:type="dxa"/>
            <w:tcBorders>
              <w:bottom w:val="single" w:sz="8" w:space="0" w:color="231F20"/>
            </w:tcBorders>
          </w:tcPr>
          <w:p>
            <w:pPr>
              <w:pStyle w:val="TableParagraph"/>
              <w:spacing w:line="229" w:lineRule="exact" w:before="0"/>
              <w:ind w:left="492" w:right="520"/>
              <w:jc w:val="center"/>
              <w:rPr>
                <w:b/>
                <w:sz w:val="20"/>
              </w:rPr>
            </w:pPr>
            <w:r>
              <w:rPr>
                <w:b/>
                <w:color w:val="231F20"/>
                <w:sz w:val="20"/>
              </w:rPr>
              <w:t>Low</w:t>
            </w:r>
          </w:p>
        </w:tc>
      </w:tr>
      <w:tr>
        <w:trPr>
          <w:trHeight w:val="330" w:hRule="exact"/>
        </w:trPr>
        <w:tc>
          <w:tcPr>
            <w:tcW w:w="4680" w:type="dxa"/>
            <w:shd w:val="clear" w:color="auto" w:fill="D1D3D4"/>
          </w:tcPr>
          <w:p>
            <w:pPr>
              <w:pStyle w:val="TableParagraph"/>
              <w:ind w:left="160"/>
              <w:rPr>
                <w:b/>
                <w:sz w:val="20"/>
              </w:rPr>
            </w:pPr>
            <w:r>
              <w:rPr>
                <w:b/>
                <w:color w:val="231F20"/>
                <w:sz w:val="20"/>
              </w:rPr>
              <w:t>2016</w:t>
            </w:r>
          </w:p>
        </w:tc>
        <w:tc>
          <w:tcPr>
            <w:tcW w:w="100" w:type="dxa"/>
            <w:shd w:val="clear" w:color="auto" w:fill="D1D3D4"/>
          </w:tcPr>
          <w:p>
            <w:pPr/>
          </w:p>
        </w:tc>
        <w:tc>
          <w:tcPr>
            <w:tcW w:w="1430" w:type="dxa"/>
            <w:tcBorders>
              <w:top w:val="single" w:sz="8" w:space="0" w:color="231F20"/>
            </w:tcBorders>
            <w:shd w:val="clear" w:color="auto" w:fill="D1D3D4"/>
          </w:tcPr>
          <w:p>
            <w:pPr/>
          </w:p>
        </w:tc>
        <w:tc>
          <w:tcPr>
            <w:tcW w:w="1480" w:type="dxa"/>
            <w:tcBorders>
              <w:top w:val="single" w:sz="8" w:space="0" w:color="231F20"/>
            </w:tcBorders>
            <w:shd w:val="clear" w:color="auto" w:fill="D1D3D4"/>
          </w:tcPr>
          <w:p>
            <w:pPr/>
          </w:p>
        </w:tc>
        <w:tc>
          <w:tcPr>
            <w:tcW w:w="1430" w:type="dxa"/>
            <w:tcBorders>
              <w:top w:val="single" w:sz="8" w:space="0" w:color="231F20"/>
            </w:tcBorders>
            <w:shd w:val="clear" w:color="auto" w:fill="D1D3D4"/>
          </w:tcPr>
          <w:p>
            <w:pPr/>
          </w:p>
        </w:tc>
      </w:tr>
      <w:tr>
        <w:trPr>
          <w:trHeight w:val="320" w:hRule="exact"/>
        </w:trPr>
        <w:tc>
          <w:tcPr>
            <w:tcW w:w="4680" w:type="dxa"/>
          </w:tcPr>
          <w:p>
            <w:pPr>
              <w:pStyle w:val="TableParagraph"/>
              <w:ind w:left="460"/>
              <w:rPr>
                <w:sz w:val="20"/>
              </w:rPr>
            </w:pPr>
            <w:r>
              <w:rPr>
                <w:color w:val="231F20"/>
                <w:sz w:val="20"/>
              </w:rPr>
              <w:t>1st Quarter</w:t>
            </w:r>
          </w:p>
        </w:tc>
        <w:tc>
          <w:tcPr>
            <w:tcW w:w="100" w:type="dxa"/>
          </w:tcPr>
          <w:p>
            <w:pPr/>
          </w:p>
        </w:tc>
        <w:tc>
          <w:tcPr>
            <w:tcW w:w="1430" w:type="dxa"/>
          </w:tcPr>
          <w:p>
            <w:pPr>
              <w:pStyle w:val="TableParagraph"/>
              <w:tabs>
                <w:tab w:pos="729" w:val="left" w:leader="none"/>
              </w:tabs>
              <w:ind w:right="48"/>
              <w:jc w:val="right"/>
              <w:rPr>
                <w:sz w:val="20"/>
              </w:rPr>
            </w:pPr>
            <w:r>
              <w:rPr>
                <w:color w:val="231F20"/>
                <w:sz w:val="20"/>
              </w:rPr>
              <w:t>$</w:t>
              <w:tab/>
              <w:t>0.07500</w:t>
            </w:r>
          </w:p>
        </w:tc>
        <w:tc>
          <w:tcPr>
            <w:tcW w:w="1480" w:type="dxa"/>
          </w:tcPr>
          <w:p>
            <w:pPr>
              <w:pStyle w:val="TableParagraph"/>
              <w:tabs>
                <w:tab w:pos="929" w:val="left" w:leader="none"/>
              </w:tabs>
              <w:ind w:right="48"/>
              <w:jc w:val="right"/>
              <w:rPr>
                <w:sz w:val="20"/>
              </w:rPr>
            </w:pPr>
            <w:r>
              <w:rPr>
                <w:color w:val="231F20"/>
                <w:sz w:val="20"/>
              </w:rPr>
              <w:t>$</w:t>
              <w:tab/>
              <w:t>45.39</w:t>
            </w:r>
          </w:p>
        </w:tc>
        <w:tc>
          <w:tcPr>
            <w:tcW w:w="1430" w:type="dxa"/>
          </w:tcPr>
          <w:p>
            <w:pPr>
              <w:pStyle w:val="TableParagraph"/>
              <w:tabs>
                <w:tab w:pos="849" w:val="left" w:leader="none"/>
              </w:tabs>
              <w:ind w:right="79"/>
              <w:jc w:val="right"/>
              <w:rPr>
                <w:sz w:val="20"/>
              </w:rPr>
            </w:pPr>
            <w:r>
              <w:rPr>
                <w:color w:val="231F20"/>
                <w:sz w:val="20"/>
              </w:rPr>
              <w:t>$</w:t>
              <w:tab/>
              <w:t>33.96</w:t>
            </w:r>
          </w:p>
        </w:tc>
      </w:tr>
      <w:tr>
        <w:trPr>
          <w:trHeight w:val="320" w:hRule="exact"/>
        </w:trPr>
        <w:tc>
          <w:tcPr>
            <w:tcW w:w="4680" w:type="dxa"/>
            <w:shd w:val="clear" w:color="auto" w:fill="D1D3D4"/>
          </w:tcPr>
          <w:p>
            <w:pPr>
              <w:pStyle w:val="TableParagraph"/>
              <w:ind w:right="3257"/>
              <w:jc w:val="right"/>
              <w:rPr>
                <w:sz w:val="20"/>
              </w:rPr>
            </w:pPr>
            <w:r>
              <w:rPr>
                <w:color w:val="231F20"/>
                <w:sz w:val="20"/>
              </w:rPr>
              <w:t>2nd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0.10000</w:t>
            </w:r>
          </w:p>
        </w:tc>
        <w:tc>
          <w:tcPr>
            <w:tcW w:w="1480" w:type="dxa"/>
            <w:shd w:val="clear" w:color="auto" w:fill="D1D3D4"/>
          </w:tcPr>
          <w:p>
            <w:pPr>
              <w:pStyle w:val="TableParagraph"/>
              <w:ind w:right="48"/>
              <w:jc w:val="right"/>
              <w:rPr>
                <w:sz w:val="20"/>
              </w:rPr>
            </w:pPr>
            <w:r>
              <w:rPr>
                <w:color w:val="231F20"/>
                <w:sz w:val="20"/>
              </w:rPr>
              <w:t>48.00</w:t>
            </w:r>
          </w:p>
        </w:tc>
        <w:tc>
          <w:tcPr>
            <w:tcW w:w="1430" w:type="dxa"/>
            <w:shd w:val="clear" w:color="auto" w:fill="D1D3D4"/>
          </w:tcPr>
          <w:p>
            <w:pPr>
              <w:pStyle w:val="TableParagraph"/>
              <w:ind w:right="79"/>
              <w:jc w:val="right"/>
              <w:rPr>
                <w:sz w:val="20"/>
              </w:rPr>
            </w:pPr>
            <w:r>
              <w:rPr>
                <w:color w:val="231F20"/>
                <w:sz w:val="20"/>
              </w:rPr>
              <w:t>36.48</w:t>
            </w:r>
          </w:p>
        </w:tc>
      </w:tr>
      <w:tr>
        <w:trPr>
          <w:trHeight w:val="320" w:hRule="exact"/>
        </w:trPr>
        <w:tc>
          <w:tcPr>
            <w:tcW w:w="4680" w:type="dxa"/>
          </w:tcPr>
          <w:p>
            <w:pPr>
              <w:pStyle w:val="TableParagraph"/>
              <w:ind w:left="460"/>
              <w:rPr>
                <w:sz w:val="20"/>
              </w:rPr>
            </w:pPr>
            <w:r>
              <w:rPr>
                <w:color w:val="231F20"/>
                <w:sz w:val="20"/>
              </w:rPr>
              <w:t>3rd Quarter</w:t>
            </w:r>
          </w:p>
        </w:tc>
        <w:tc>
          <w:tcPr>
            <w:tcW w:w="100" w:type="dxa"/>
          </w:tcPr>
          <w:p>
            <w:pPr/>
          </w:p>
        </w:tc>
        <w:tc>
          <w:tcPr>
            <w:tcW w:w="1430" w:type="dxa"/>
          </w:tcPr>
          <w:p>
            <w:pPr>
              <w:pStyle w:val="TableParagraph"/>
              <w:ind w:right="48"/>
              <w:jc w:val="right"/>
              <w:rPr>
                <w:sz w:val="20"/>
              </w:rPr>
            </w:pPr>
            <w:r>
              <w:rPr>
                <w:color w:val="231F20"/>
                <w:sz w:val="20"/>
              </w:rPr>
              <w:t>0.10000</w:t>
            </w:r>
          </w:p>
        </w:tc>
        <w:tc>
          <w:tcPr>
            <w:tcW w:w="1480" w:type="dxa"/>
          </w:tcPr>
          <w:p>
            <w:pPr>
              <w:pStyle w:val="TableParagraph"/>
              <w:ind w:right="48"/>
              <w:jc w:val="right"/>
              <w:rPr>
                <w:sz w:val="20"/>
              </w:rPr>
            </w:pPr>
            <w:r>
              <w:rPr>
                <w:color w:val="231F20"/>
                <w:sz w:val="20"/>
              </w:rPr>
              <w:t>45.00</w:t>
            </w:r>
          </w:p>
        </w:tc>
        <w:tc>
          <w:tcPr>
            <w:tcW w:w="1430" w:type="dxa"/>
          </w:tcPr>
          <w:p>
            <w:pPr>
              <w:pStyle w:val="TableParagraph"/>
              <w:ind w:right="79"/>
              <w:jc w:val="right"/>
              <w:rPr>
                <w:sz w:val="20"/>
              </w:rPr>
            </w:pPr>
            <w:r>
              <w:rPr>
                <w:color w:val="231F20"/>
                <w:sz w:val="20"/>
              </w:rPr>
              <w:t>35.42</w:t>
            </w:r>
          </w:p>
        </w:tc>
      </w:tr>
      <w:tr>
        <w:trPr>
          <w:trHeight w:val="320" w:hRule="exact"/>
        </w:trPr>
        <w:tc>
          <w:tcPr>
            <w:tcW w:w="4680" w:type="dxa"/>
            <w:shd w:val="clear" w:color="auto" w:fill="D1D3D4"/>
          </w:tcPr>
          <w:p>
            <w:pPr>
              <w:pStyle w:val="TableParagraph"/>
              <w:ind w:left="460"/>
              <w:rPr>
                <w:sz w:val="20"/>
              </w:rPr>
            </w:pPr>
            <w:r>
              <w:rPr>
                <w:color w:val="231F20"/>
                <w:sz w:val="20"/>
              </w:rPr>
              <w:t>4th Quarter</w:t>
            </w:r>
          </w:p>
        </w:tc>
        <w:tc>
          <w:tcPr>
            <w:tcW w:w="100" w:type="dxa"/>
            <w:shd w:val="clear" w:color="auto" w:fill="D1D3D4"/>
          </w:tcPr>
          <w:p>
            <w:pPr/>
          </w:p>
        </w:tc>
        <w:tc>
          <w:tcPr>
            <w:tcW w:w="1430" w:type="dxa"/>
            <w:shd w:val="clear" w:color="auto" w:fill="D1D3D4"/>
          </w:tcPr>
          <w:p>
            <w:pPr>
              <w:pStyle w:val="TableParagraph"/>
              <w:ind w:right="48"/>
              <w:jc w:val="right"/>
              <w:rPr>
                <w:sz w:val="20"/>
              </w:rPr>
            </w:pPr>
            <w:r>
              <w:rPr>
                <w:color w:val="231F20"/>
                <w:sz w:val="20"/>
              </w:rPr>
              <w:t>0.10000</w:t>
            </w:r>
          </w:p>
        </w:tc>
        <w:tc>
          <w:tcPr>
            <w:tcW w:w="1480" w:type="dxa"/>
            <w:shd w:val="clear" w:color="auto" w:fill="D1D3D4"/>
          </w:tcPr>
          <w:p>
            <w:pPr>
              <w:pStyle w:val="TableParagraph"/>
              <w:ind w:right="48"/>
              <w:jc w:val="right"/>
              <w:rPr>
                <w:sz w:val="20"/>
              </w:rPr>
            </w:pPr>
            <w:r>
              <w:rPr>
                <w:color w:val="231F20"/>
                <w:sz w:val="20"/>
              </w:rPr>
              <w:t>51.31</w:t>
            </w:r>
          </w:p>
        </w:tc>
        <w:tc>
          <w:tcPr>
            <w:tcW w:w="1430" w:type="dxa"/>
            <w:shd w:val="clear" w:color="auto" w:fill="D1D3D4"/>
          </w:tcPr>
          <w:p>
            <w:pPr>
              <w:pStyle w:val="TableParagraph"/>
              <w:ind w:right="79"/>
              <w:jc w:val="right"/>
              <w:rPr>
                <w:sz w:val="20"/>
              </w:rPr>
            </w:pPr>
            <w:r>
              <w:rPr>
                <w:color w:val="231F20"/>
                <w:sz w:val="20"/>
              </w:rPr>
              <w:t>36.91</w:t>
            </w:r>
          </w:p>
        </w:tc>
      </w:tr>
      <w:tr>
        <w:trPr>
          <w:trHeight w:val="320" w:hRule="exact"/>
        </w:trPr>
        <w:tc>
          <w:tcPr>
            <w:tcW w:w="4680" w:type="dxa"/>
          </w:tcPr>
          <w:p>
            <w:pPr>
              <w:pStyle w:val="TableParagraph"/>
              <w:ind w:left="160"/>
              <w:rPr>
                <w:b/>
                <w:sz w:val="20"/>
              </w:rPr>
            </w:pPr>
            <w:r>
              <w:rPr>
                <w:b/>
                <w:color w:val="231F20"/>
                <w:sz w:val="20"/>
              </w:rPr>
              <w:t>2015</w:t>
            </w:r>
          </w:p>
        </w:tc>
        <w:tc>
          <w:tcPr>
            <w:tcW w:w="100" w:type="dxa"/>
          </w:tcPr>
          <w:p>
            <w:pPr/>
          </w:p>
        </w:tc>
        <w:tc>
          <w:tcPr>
            <w:tcW w:w="1430" w:type="dxa"/>
          </w:tcPr>
          <w:p>
            <w:pPr/>
          </w:p>
        </w:tc>
        <w:tc>
          <w:tcPr>
            <w:tcW w:w="1480" w:type="dxa"/>
          </w:tcPr>
          <w:p>
            <w:pPr/>
          </w:p>
        </w:tc>
        <w:tc>
          <w:tcPr>
            <w:tcW w:w="1430" w:type="dxa"/>
          </w:tcPr>
          <w:p>
            <w:pPr/>
          </w:p>
        </w:tc>
      </w:tr>
      <w:tr>
        <w:trPr>
          <w:trHeight w:val="320" w:hRule="exact"/>
        </w:trPr>
        <w:tc>
          <w:tcPr>
            <w:tcW w:w="4680" w:type="dxa"/>
            <w:shd w:val="clear" w:color="auto" w:fill="D1D3D4"/>
          </w:tcPr>
          <w:p>
            <w:pPr>
              <w:pStyle w:val="TableParagraph"/>
              <w:ind w:left="460"/>
              <w:rPr>
                <w:sz w:val="20"/>
              </w:rPr>
            </w:pPr>
            <w:r>
              <w:rPr>
                <w:color w:val="231F20"/>
                <w:sz w:val="20"/>
              </w:rPr>
              <w:t>1st Quarter</w:t>
            </w:r>
          </w:p>
        </w:tc>
        <w:tc>
          <w:tcPr>
            <w:tcW w:w="1530" w:type="dxa"/>
            <w:gridSpan w:val="2"/>
            <w:shd w:val="clear" w:color="auto" w:fill="D1D3D4"/>
          </w:tcPr>
          <w:p>
            <w:pPr>
              <w:pStyle w:val="TableParagraph"/>
              <w:tabs>
                <w:tab w:pos="829" w:val="left" w:leader="none"/>
              </w:tabs>
              <w:ind w:left="100"/>
              <w:rPr>
                <w:sz w:val="20"/>
              </w:rPr>
            </w:pPr>
            <w:r>
              <w:rPr>
                <w:color w:val="231F20"/>
                <w:sz w:val="20"/>
              </w:rPr>
              <w:t>$</w:t>
              <w:tab/>
              <w:t>0.06000</w:t>
            </w:r>
          </w:p>
        </w:tc>
        <w:tc>
          <w:tcPr>
            <w:tcW w:w="1480" w:type="dxa"/>
            <w:shd w:val="clear" w:color="auto" w:fill="D1D3D4"/>
          </w:tcPr>
          <w:p>
            <w:pPr>
              <w:pStyle w:val="TableParagraph"/>
              <w:tabs>
                <w:tab w:pos="929" w:val="left" w:leader="none"/>
              </w:tabs>
              <w:ind w:right="48"/>
              <w:jc w:val="right"/>
              <w:rPr>
                <w:sz w:val="20"/>
              </w:rPr>
            </w:pPr>
            <w:r>
              <w:rPr>
                <w:color w:val="231F20"/>
                <w:sz w:val="20"/>
              </w:rPr>
              <w:t>$</w:t>
              <w:tab/>
              <w:t>47.17</w:t>
            </w:r>
          </w:p>
        </w:tc>
        <w:tc>
          <w:tcPr>
            <w:tcW w:w="1430" w:type="dxa"/>
            <w:shd w:val="clear" w:color="auto" w:fill="D1D3D4"/>
          </w:tcPr>
          <w:p>
            <w:pPr>
              <w:pStyle w:val="TableParagraph"/>
              <w:tabs>
                <w:tab w:pos="849" w:val="left" w:leader="none"/>
              </w:tabs>
              <w:ind w:right="79"/>
              <w:jc w:val="right"/>
              <w:rPr>
                <w:sz w:val="20"/>
              </w:rPr>
            </w:pPr>
            <w:r>
              <w:rPr>
                <w:color w:val="231F20"/>
                <w:sz w:val="20"/>
              </w:rPr>
              <w:t>$</w:t>
              <w:tab/>
              <w:t>38.26</w:t>
            </w:r>
          </w:p>
        </w:tc>
      </w:tr>
      <w:tr>
        <w:trPr>
          <w:trHeight w:val="320" w:hRule="exact"/>
        </w:trPr>
        <w:tc>
          <w:tcPr>
            <w:tcW w:w="4680" w:type="dxa"/>
          </w:tcPr>
          <w:p>
            <w:pPr>
              <w:pStyle w:val="TableParagraph"/>
              <w:ind w:right="3257"/>
              <w:jc w:val="right"/>
              <w:rPr>
                <w:sz w:val="20"/>
              </w:rPr>
            </w:pPr>
            <w:r>
              <w:rPr>
                <w:color w:val="231F20"/>
                <w:sz w:val="20"/>
              </w:rPr>
              <w:t>2nd Quarter</w:t>
            </w:r>
          </w:p>
        </w:tc>
        <w:tc>
          <w:tcPr>
            <w:tcW w:w="1530" w:type="dxa"/>
            <w:gridSpan w:val="2"/>
          </w:tcPr>
          <w:p>
            <w:pPr>
              <w:pStyle w:val="TableParagraph"/>
              <w:ind w:left="830"/>
              <w:rPr>
                <w:sz w:val="20"/>
              </w:rPr>
            </w:pPr>
            <w:r>
              <w:rPr>
                <w:color w:val="231F20"/>
                <w:sz w:val="20"/>
              </w:rPr>
              <w:t>0.07500</w:t>
            </w:r>
          </w:p>
        </w:tc>
        <w:tc>
          <w:tcPr>
            <w:tcW w:w="1480" w:type="dxa"/>
          </w:tcPr>
          <w:p>
            <w:pPr>
              <w:pStyle w:val="TableParagraph"/>
              <w:ind w:right="48"/>
              <w:jc w:val="right"/>
              <w:rPr>
                <w:sz w:val="20"/>
              </w:rPr>
            </w:pPr>
            <w:r>
              <w:rPr>
                <w:color w:val="231F20"/>
                <w:sz w:val="20"/>
              </w:rPr>
              <w:t>44.19</w:t>
            </w:r>
          </w:p>
        </w:tc>
        <w:tc>
          <w:tcPr>
            <w:tcW w:w="1430" w:type="dxa"/>
          </w:tcPr>
          <w:p>
            <w:pPr>
              <w:pStyle w:val="TableParagraph"/>
              <w:ind w:right="79"/>
              <w:jc w:val="right"/>
              <w:rPr>
                <w:sz w:val="20"/>
              </w:rPr>
            </w:pPr>
            <w:r>
              <w:rPr>
                <w:color w:val="231F20"/>
                <w:sz w:val="20"/>
              </w:rPr>
              <w:t>33.02</w:t>
            </w:r>
          </w:p>
        </w:tc>
      </w:tr>
      <w:tr>
        <w:trPr>
          <w:trHeight w:val="320" w:hRule="exact"/>
        </w:trPr>
        <w:tc>
          <w:tcPr>
            <w:tcW w:w="4680" w:type="dxa"/>
            <w:shd w:val="clear" w:color="auto" w:fill="D1D3D4"/>
          </w:tcPr>
          <w:p>
            <w:pPr>
              <w:pStyle w:val="TableParagraph"/>
              <w:ind w:left="460"/>
              <w:rPr>
                <w:sz w:val="20"/>
              </w:rPr>
            </w:pPr>
            <w:r>
              <w:rPr>
                <w:color w:val="231F20"/>
                <w:sz w:val="20"/>
              </w:rPr>
              <w:t>3rd Quarter</w:t>
            </w:r>
          </w:p>
        </w:tc>
        <w:tc>
          <w:tcPr>
            <w:tcW w:w="1530" w:type="dxa"/>
            <w:gridSpan w:val="2"/>
            <w:shd w:val="clear" w:color="auto" w:fill="D1D3D4"/>
          </w:tcPr>
          <w:p>
            <w:pPr>
              <w:pStyle w:val="TableParagraph"/>
              <w:ind w:left="830"/>
              <w:rPr>
                <w:sz w:val="20"/>
              </w:rPr>
            </w:pPr>
            <w:r>
              <w:rPr>
                <w:color w:val="231F20"/>
                <w:sz w:val="20"/>
              </w:rPr>
              <w:t>0.07500</w:t>
            </w:r>
          </w:p>
        </w:tc>
        <w:tc>
          <w:tcPr>
            <w:tcW w:w="1480" w:type="dxa"/>
            <w:shd w:val="clear" w:color="auto" w:fill="D1D3D4"/>
          </w:tcPr>
          <w:p>
            <w:pPr>
              <w:pStyle w:val="TableParagraph"/>
              <w:ind w:right="48"/>
              <w:jc w:val="right"/>
              <w:rPr>
                <w:sz w:val="20"/>
              </w:rPr>
            </w:pPr>
            <w:r>
              <w:rPr>
                <w:color w:val="231F20"/>
                <w:sz w:val="20"/>
              </w:rPr>
              <w:t>40.87</w:t>
            </w:r>
          </w:p>
        </w:tc>
        <w:tc>
          <w:tcPr>
            <w:tcW w:w="1430" w:type="dxa"/>
            <w:shd w:val="clear" w:color="auto" w:fill="D1D3D4"/>
          </w:tcPr>
          <w:p>
            <w:pPr>
              <w:pStyle w:val="TableParagraph"/>
              <w:ind w:right="79"/>
              <w:jc w:val="right"/>
              <w:rPr>
                <w:sz w:val="20"/>
              </w:rPr>
            </w:pPr>
            <w:r>
              <w:rPr>
                <w:color w:val="231F20"/>
                <w:sz w:val="20"/>
              </w:rPr>
              <w:t>31.36</w:t>
            </w:r>
          </w:p>
        </w:tc>
      </w:tr>
      <w:tr>
        <w:trPr>
          <w:trHeight w:val="284" w:hRule="exact"/>
        </w:trPr>
        <w:tc>
          <w:tcPr>
            <w:tcW w:w="4680" w:type="dxa"/>
          </w:tcPr>
          <w:p>
            <w:pPr>
              <w:pStyle w:val="TableParagraph"/>
              <w:ind w:left="460"/>
              <w:rPr>
                <w:sz w:val="20"/>
              </w:rPr>
            </w:pPr>
            <w:r>
              <w:rPr>
                <w:color w:val="231F20"/>
                <w:sz w:val="20"/>
              </w:rPr>
              <w:t>4th Quarter</w:t>
            </w:r>
          </w:p>
        </w:tc>
        <w:tc>
          <w:tcPr>
            <w:tcW w:w="1530" w:type="dxa"/>
            <w:gridSpan w:val="2"/>
          </w:tcPr>
          <w:p>
            <w:pPr>
              <w:pStyle w:val="TableParagraph"/>
              <w:ind w:left="830"/>
              <w:rPr>
                <w:sz w:val="20"/>
              </w:rPr>
            </w:pPr>
            <w:r>
              <w:rPr>
                <w:color w:val="231F20"/>
                <w:sz w:val="20"/>
              </w:rPr>
              <w:t>0.07500</w:t>
            </w:r>
          </w:p>
        </w:tc>
        <w:tc>
          <w:tcPr>
            <w:tcW w:w="1480" w:type="dxa"/>
          </w:tcPr>
          <w:p>
            <w:pPr>
              <w:pStyle w:val="TableParagraph"/>
              <w:ind w:right="48"/>
              <w:jc w:val="right"/>
              <w:rPr>
                <w:sz w:val="20"/>
              </w:rPr>
            </w:pPr>
            <w:r>
              <w:rPr>
                <w:color w:val="231F20"/>
                <w:sz w:val="20"/>
              </w:rPr>
              <w:t>51.34</w:t>
            </w:r>
          </w:p>
        </w:tc>
        <w:tc>
          <w:tcPr>
            <w:tcW w:w="1430" w:type="dxa"/>
          </w:tcPr>
          <w:p>
            <w:pPr>
              <w:pStyle w:val="TableParagraph"/>
              <w:ind w:right="79"/>
              <w:jc w:val="right"/>
              <w:rPr>
                <w:sz w:val="20"/>
              </w:rPr>
            </w:pPr>
            <w:r>
              <w:rPr>
                <w:color w:val="231F20"/>
                <w:sz w:val="20"/>
              </w:rPr>
              <w:t>37.00</w:t>
            </w:r>
          </w:p>
        </w:tc>
      </w:tr>
    </w:tbl>
    <w:p>
      <w:pPr>
        <w:pStyle w:val="BodyText"/>
        <w:spacing w:before="9"/>
        <w:rPr>
          <w:sz w:val="28"/>
        </w:rPr>
      </w:pPr>
    </w:p>
    <w:p>
      <w:pPr>
        <w:pStyle w:val="BodyText"/>
        <w:spacing w:line="247" w:lineRule="auto"/>
        <w:ind w:left="120" w:right="117"/>
        <w:jc w:val="both"/>
      </w:pPr>
      <w:r>
        <w:rPr>
          <w:color w:val="231F20"/>
        </w:rPr>
        <w:t>The Company currently intends to continue declaring dividends on a quarterly basis for the foreseeable future; however, the Company’s Board of Directors may elect to alter the timing, amount, and payment of dividends on the basis of operational results, financial condition, cash requirements, future  prospects, and other factors deemed relevant by the Board. As of February 3, 2017, there were approximately 12,850 holders of record of the Company’s common</w:t>
      </w:r>
      <w:r>
        <w:rPr>
          <w:color w:val="231F20"/>
          <w:spacing w:val="-2"/>
        </w:rPr>
        <w:t> </w:t>
      </w:r>
      <w:r>
        <w:rPr>
          <w:color w:val="231F20"/>
        </w:rPr>
        <w:t>stock.</w:t>
      </w:r>
    </w:p>
    <w:p>
      <w:pPr>
        <w:spacing w:after="0" w:line="247" w:lineRule="auto"/>
        <w:jc w:val="both"/>
        <w:sectPr>
          <w:pgSz w:w="11880" w:h="15480"/>
          <w:pgMar w:header="0" w:footer="1240" w:top="1240" w:bottom="1420" w:left="1260" w:right="1260"/>
        </w:sectPr>
      </w:pPr>
    </w:p>
    <w:p>
      <w:pPr>
        <w:pStyle w:val="Heading1"/>
        <w:spacing w:before="74"/>
        <w:ind w:left="95" w:right="95"/>
        <w:jc w:val="center"/>
      </w:pPr>
      <w:r>
        <w:rPr>
          <w:color w:val="231F20"/>
        </w:rPr>
        <w:t>Stock Performance Graph</w:t>
      </w:r>
    </w:p>
    <w:p>
      <w:pPr>
        <w:pStyle w:val="BodyText"/>
        <w:spacing w:before="4"/>
        <w:rPr>
          <w:b/>
          <w:sz w:val="21"/>
        </w:rPr>
      </w:pPr>
    </w:p>
    <w:p>
      <w:pPr>
        <w:spacing w:line="247" w:lineRule="auto" w:before="1"/>
        <w:ind w:left="120" w:right="118" w:firstLine="0"/>
        <w:jc w:val="both"/>
        <w:rPr>
          <w:i/>
          <w:sz w:val="22"/>
        </w:rPr>
      </w:pPr>
      <w:r>
        <w:rPr>
          <w:i/>
          <w:color w:val="231F20"/>
          <w:sz w:val="22"/>
        </w:rPr>
        <w:t>The following Performance Graph and related information shall not be deemed “soliciting material” </w:t>
      </w:r>
      <w:r>
        <w:rPr>
          <w:i/>
          <w:color w:val="231F20"/>
          <w:sz w:val="22"/>
        </w:rPr>
        <w:t>or “filed” with the Securities and Exchange Commission, nor shall such information be incorporated by reference into any future filing under the Securities Act of 1933 or Securities Exchange Act of 1934.</w:t>
      </w:r>
    </w:p>
    <w:p>
      <w:pPr>
        <w:pStyle w:val="BodyText"/>
        <w:spacing w:before="9"/>
        <w:rPr>
          <w:i/>
          <w:sz w:val="20"/>
        </w:rPr>
      </w:pPr>
    </w:p>
    <w:p>
      <w:pPr>
        <w:pStyle w:val="BodyText"/>
        <w:spacing w:line="247" w:lineRule="auto"/>
        <w:ind w:left="120" w:right="117"/>
        <w:jc w:val="both"/>
      </w:pPr>
      <w:r>
        <w:rPr>
          <w:color w:val="231F20"/>
        </w:rPr>
        <w:t>The following graph compares the cumulative total shareholder return on the Company’s common stock over the five-year period ended December 31, 2016, with the cumulative total return during such period of the Standard and Poor’s 500 Stock Index and the NYSE ARCA Airline Index. The comparison assumes $100 was invested on December 31, 2011, in the Company’s common stock and  in each of the foregoing indices and assumes reinvestment of dividends. The stock performance shown on the graph below represents historical stock performance and is not necessarily indicative of future stock price performance.</w:t>
      </w:r>
    </w:p>
    <w:p>
      <w:pPr>
        <w:pStyle w:val="BodyText"/>
        <w:spacing w:before="4"/>
      </w:pPr>
    </w:p>
    <w:p>
      <w:pPr>
        <w:spacing w:line="271" w:lineRule="auto" w:before="0"/>
        <w:ind w:left="99" w:right="95" w:firstLine="0"/>
        <w:jc w:val="center"/>
        <w:rPr>
          <w:b/>
          <w:sz w:val="20"/>
        </w:rPr>
      </w:pPr>
      <w:r>
        <w:rPr>
          <w:b/>
          <w:color w:val="231F20"/>
          <w:sz w:val="20"/>
        </w:rPr>
        <w:t>COMPARISON OF FIVE YEAR CUMULATIVE TOTAL RETURN AMONG SOUTHWEST AIRLINES CO., S&amp;P 500 INDEX, AND NYSE ARCA AIRLINE INDEX</w:t>
      </w:r>
    </w:p>
    <w:p>
      <w:pPr>
        <w:pStyle w:val="BodyText"/>
        <w:spacing w:before="127"/>
        <w:ind w:left="748"/>
      </w:pPr>
      <w:r>
        <w:rPr/>
        <w:pict>
          <v:group style="position:absolute;margin-left:126.079002pt;margin-top:12.43012pt;width:389.15pt;height:240.15pt;mso-position-horizontal-relative:page;mso-position-vertical-relative:paragraph;z-index:1408" coordorigin="2522,249" coordsize="7783,4803">
            <v:line style="position:absolute" from="8375,254" to="8375,3671" stroked="true" strokeweight=".25pt" strokecolor="#939598">
              <v:stroke dashstyle="solid"/>
            </v:line>
            <v:line style="position:absolute" from="2627,259" to="10294,259" stroked="true" strokeweight=".25pt" strokecolor="#939598">
              <v:stroke dashstyle="solid"/>
            </v:line>
            <v:shape style="position:absolute;left:0;top:10047;width:7666;height:2" coordorigin="0,10047" coordsize="7666,0" path="m9751,3605l10293,3605m2627,3605l9562,3605e" filled="false" stroked="true" strokeweight=".25pt" strokecolor="#939598">
              <v:path arrowok="t"/>
              <v:stroke dashstyle="solid"/>
            </v:shape>
            <v:line style="position:absolute" from="2627,2936" to="10293,2936" stroked="true" strokeweight=".25pt" strokecolor="#939598">
              <v:stroke dashstyle="solid"/>
            </v:line>
            <v:line style="position:absolute" from="2627,2266" to="10293,2266" stroked="true" strokeweight=".25pt" strokecolor="#939598">
              <v:stroke dashstyle="solid"/>
            </v:line>
            <v:line style="position:absolute" from="2627,1597" to="10293,1597" stroked="true" strokeweight=".25pt" strokecolor="#939598">
              <v:stroke dashstyle="solid"/>
            </v:line>
            <v:line style="position:absolute" from="2627,928" to="10293,928" stroked="true" strokeweight=".25pt" strokecolor="#939598">
              <v:stroke dashstyle="solid"/>
            </v:line>
            <v:line style="position:absolute" from="3266,254" to="3266,4179" stroked="true" strokeweight=".25pt" strokecolor="#939598">
              <v:stroke dashstyle="solid"/>
            </v:line>
            <v:line style="position:absolute" from="8375,3862" to="8375,5048" stroked="true" strokeweight=".25pt" strokecolor="#939598">
              <v:stroke dashstyle="solid"/>
            </v:line>
            <v:line style="position:absolute" from="3363,4274" to="10293,4274" stroked="true" strokeweight=".25pt" strokecolor="#939598">
              <v:stroke dashstyle="solid"/>
            </v:line>
            <v:shape style="position:absolute;left:0;top:5252;width:2;height:4795" coordorigin="0,5252" coordsize="0,4795" path="m4543,254l4543,4068m4543,4259l4543,5049e" filled="false" stroked="true" strokeweight=".25pt" strokecolor="#939598">
              <v:path arrowok="t"/>
              <v:stroke dashstyle="solid"/>
            </v:shape>
            <v:shape style="position:absolute;left:0;top:5253;width:2;height:4795" coordorigin="0,5253" coordsize="0,4795" path="m5820,254l5820,3824m5820,4015l5820,5048e" filled="false" stroked="true" strokeweight=".25pt" strokecolor="#939598">
              <v:path arrowok="t"/>
              <v:stroke dashstyle="solid"/>
            </v:shape>
            <v:shape style="position:absolute;left:0;top:5252;width:2;height:4795" coordorigin="0,5252" coordsize="0,4795" path="m7098,254l7098,3664m7098,3855l7098,5049e" filled="false" stroked="true" strokeweight=".25pt" strokecolor="#939598">
              <v:path arrowok="t"/>
              <v:stroke dashstyle="solid"/>
            </v:shape>
            <v:shape style="position:absolute;left:0;top:5252;width:2;height:4795" coordorigin="0,5252" coordsize="0,4795" path="m9652,254l9652,3531m9652,3722l9652,5049e" filled="false" stroked="true" strokeweight=".25pt" strokecolor="#939598">
              <v:path arrowok="t"/>
              <v:stroke dashstyle="solid"/>
            </v:shape>
            <v:line style="position:absolute" from="2524,4943" to="2627,4943" stroked="true" strokeweight=".25pt" strokecolor="#939598">
              <v:stroke dashstyle="solid"/>
            </v:line>
            <v:line style="position:absolute" from="2627,4274" to="3174,4274" stroked="true" strokeweight=".25pt" strokecolor="#939598">
              <v:stroke dashstyle="solid"/>
            </v:line>
            <v:line style="position:absolute" from="2524,4274" to="2627,4274" stroked="true" strokeweight=".25pt" strokecolor="#939598">
              <v:stroke dashstyle="solid"/>
            </v:line>
            <v:line style="position:absolute" from="2524,3605" to="2627,3605" stroked="true" strokeweight=".25pt" strokecolor="#939598">
              <v:stroke dashstyle="solid"/>
            </v:line>
            <v:line style="position:absolute" from="2524,2936" to="2627,2936" stroked="true" strokeweight=".25pt" strokecolor="#939598">
              <v:stroke dashstyle="solid"/>
            </v:line>
            <v:line style="position:absolute" from="2524,2266" to="2627,2266" stroked="true" strokeweight=".25pt" strokecolor="#939598">
              <v:stroke dashstyle="solid"/>
            </v:line>
            <v:line style="position:absolute" from="2524,1597" to="2627,1597" stroked="true" strokeweight=".25pt" strokecolor="#939598">
              <v:stroke dashstyle="solid"/>
            </v:line>
            <v:line style="position:absolute" from="2524,928" to="2627,928" stroked="true" strokeweight=".25pt" strokecolor="#939598">
              <v:stroke dashstyle="solid"/>
            </v:line>
            <v:line style="position:absolute" from="2524,259" to="2627,259" stroked="true" strokeweight=".25pt" strokecolor="#939598">
              <v:stroke dashstyle="solid"/>
            </v:line>
            <v:line style="position:absolute" from="3266,4370" to="3266,5047" stroked="true" strokeweight=".25pt" strokecolor="#939598">
              <v:stroke dashstyle="solid"/>
            </v:line>
            <v:line style="position:absolute" from="2627,4943" to="10294,4943" stroked="true" strokeweight="1.0pt" strokecolor="#231f20">
              <v:stroke dashstyle="solid"/>
            </v:line>
            <v:line style="position:absolute" from="2627,4943" to="2627,259" stroked="true" strokeweight="1pt" strokecolor="#231f20">
              <v:stroke dashstyle="solid"/>
            </v:line>
            <v:shape style="position:absolute;left:3174;top:3531;width:6577;height:840" coordorigin="3174,3531" coordsize="6577,840" path="m3363,4179l3174,4179,3174,4370,3363,4370,3363,4179m4641,4068l4452,4068,4452,4259,4641,4259,4641,4068m5918,3824l5729,3824,5729,4015,5918,4015,5918,3824m7196,3664l7007,3664,7007,3855,7196,3855,7196,3664m8474,3671l8284,3671,8284,3862,8474,3862,8474,3671m9751,3531l9562,3531,9562,3722,9751,3722,9751,3531e" filled="true" fillcolor="#808285" stroked="false">
              <v:path arrowok="t"/>
              <v:fill type="solid"/>
            </v:shape>
            <v:shape style="position:absolute;left:9564;top:838;width:185;height:182" type="#_x0000_t75" stroked="false">
              <v:imagedata r:id="rId18" o:title=""/>
            </v:shape>
            <v:shape style="position:absolute;left:8286;top:1412;width:185;height:182" type="#_x0000_t75" stroked="false">
              <v:imagedata r:id="rId19" o:title=""/>
            </v:shape>
            <v:shape style="position:absolute;left:7009;top:1497;width:185;height:182" type="#_x0000_t75" stroked="false">
              <v:imagedata r:id="rId20" o:title=""/>
            </v:shape>
            <v:shape style="position:absolute;left:3269;top:3626;width:6388;height:649" coordorigin="3269,3626" coordsize="6388,649" path="m3269,4274l4546,4169,5824,3919,7101,3761,8379,3765,9656,3626e" filled="false" stroked="true" strokeweight="1pt" strokecolor="#808285">
              <v:path arrowok="t"/>
              <v:stroke dashstyle="solid"/>
            </v:shape>
            <v:shape style="position:absolute;left:5731;top:3367;width:185;height:182" type="#_x0000_t75" stroked="false">
              <v:imagedata r:id="rId21" o:title=""/>
            </v:shape>
            <v:shape style="position:absolute;left:4454;top:4049;width:185;height:182" type="#_x0000_t75" stroked="false">
              <v:imagedata r:id="rId22" o:title=""/>
            </v:shape>
            <v:shape style="position:absolute;left:3176;top:4183;width:185;height:182" type="#_x0000_t75" stroked="false">
              <v:imagedata r:id="rId22" o:title=""/>
            </v:shape>
            <v:shape style="position:absolute;left:3269;top:929;width:6388;height:3346" coordorigin="3269,929" coordsize="6388,3346" path="m3269,4274l4546,4140,5824,3458,7101,1586,8379,1505,9656,929e" filled="false" stroked="true" strokeweight="1pt" strokecolor="#bcbec0">
              <v:path arrowok="t"/>
              <v:stroke dashstyle="solid"/>
            </v:shape>
            <v:shape style="position:absolute;left:3163;top:2477;width:6599;height:1888" coordorigin="3163,2477" coordsize="6599,1888" path="m3375,4364l3269,4184,3163,4364,3375,4364m4652,4111l4546,3930,4440,4111,4652,4111m5930,3575l5824,3395,5718,3575,5930,3575m7207,2849l7102,2669,6996,2849,7207,2849m8485,3173l8379,2993,8273,3173,8485,3173m9762,2657l9656,2477,9550,2657,9762,2657e" filled="true" fillcolor="#9d9fa2" stroked="false">
              <v:path arrowok="t"/>
              <v:fill type="solid"/>
            </v:shape>
            <v:shape style="position:absolute;left:3269;top:2561;width:6388;height:1714" coordorigin="3269,2561" coordsize="6388,1714" path="m3269,4274l4546,4020,5824,3487,7101,2757,8379,3089,9656,2561e" filled="false" stroked="true" strokeweight="1pt" strokecolor="#9d9fa2">
              <v:path arrowok="t"/>
              <v:stroke dashstyle="solid"/>
            </v:shape>
            <w10:wrap type="none"/>
          </v:group>
        </w:pict>
      </w:r>
      <w:r>
        <w:rPr>
          <w:color w:val="231F20"/>
        </w:rPr>
        <w:t>700</w:t>
      </w:r>
    </w:p>
    <w:p>
      <w:pPr>
        <w:pStyle w:val="BodyText"/>
        <w:spacing w:before="6"/>
        <w:rPr>
          <w:sz w:val="28"/>
        </w:rPr>
      </w:pPr>
    </w:p>
    <w:p>
      <w:pPr>
        <w:pStyle w:val="BodyText"/>
        <w:spacing w:before="88"/>
        <w:ind w:left="748"/>
      </w:pPr>
      <w:r>
        <w:rPr>
          <w:color w:val="231F20"/>
        </w:rPr>
        <w:t>600</w:t>
      </w:r>
    </w:p>
    <w:p>
      <w:pPr>
        <w:pStyle w:val="BodyText"/>
        <w:spacing w:before="6"/>
        <w:rPr>
          <w:sz w:val="28"/>
        </w:rPr>
      </w:pPr>
    </w:p>
    <w:p>
      <w:pPr>
        <w:pStyle w:val="BodyText"/>
        <w:spacing w:before="88"/>
        <w:ind w:left="748"/>
      </w:pPr>
      <w:r>
        <w:rPr/>
        <w:pict>
          <v:shape style="position:absolute;margin-left:80.8004pt;margin-top:-14.720065pt;width:14.05pt;height:153.550pt;mso-position-horizontal-relative:page;mso-position-vertical-relative:paragraph;z-index:1504" type="#_x0000_t202" filled="false" stroked="false">
            <v:textbox inset="0,0,0,0" style="layout-flow:vertical;mso-layout-flow-alt:bottom-to-top">
              <w:txbxContent>
                <w:p>
                  <w:pPr>
                    <w:pStyle w:val="BodyText"/>
                    <w:spacing w:before="7"/>
                    <w:ind w:left="20" w:right="-766"/>
                  </w:pPr>
                  <w:r>
                    <w:rPr>
                      <w:color w:val="231F20"/>
                      <w:w w:val="100"/>
                    </w:rPr>
                    <w:t>Total</w:t>
                  </w:r>
                  <w:r>
                    <w:rPr>
                      <w:color w:val="231F20"/>
                    </w:rPr>
                    <w:t> </w:t>
                  </w:r>
                  <w:r>
                    <w:rPr>
                      <w:color w:val="231F20"/>
                      <w:w w:val="100"/>
                    </w:rPr>
                    <w:t>Cumulative</w:t>
                  </w:r>
                  <w:r>
                    <w:rPr>
                      <w:color w:val="231F20"/>
                    </w:rPr>
                    <w:t> </w:t>
                  </w:r>
                  <w:r>
                    <w:rPr>
                      <w:color w:val="231F20"/>
                      <w:w w:val="100"/>
                    </w:rPr>
                    <w:t>Return</w:t>
                  </w:r>
                  <w:r>
                    <w:rPr>
                      <w:color w:val="231F20"/>
                    </w:rPr>
                    <w:t> - Dollars</w:t>
                  </w:r>
                </w:p>
              </w:txbxContent>
            </v:textbox>
            <w10:wrap type="none"/>
          </v:shape>
        </w:pict>
      </w:r>
      <w:r>
        <w:rPr>
          <w:color w:val="231F20"/>
        </w:rPr>
        <w:t>500</w:t>
      </w:r>
    </w:p>
    <w:p>
      <w:pPr>
        <w:pStyle w:val="BodyText"/>
        <w:spacing w:before="6"/>
        <w:rPr>
          <w:sz w:val="28"/>
        </w:rPr>
      </w:pPr>
    </w:p>
    <w:p>
      <w:pPr>
        <w:pStyle w:val="BodyText"/>
        <w:spacing w:before="88"/>
        <w:ind w:left="748"/>
      </w:pPr>
      <w:r>
        <w:rPr>
          <w:color w:val="231F20"/>
        </w:rPr>
        <w:t>400</w:t>
      </w:r>
    </w:p>
    <w:p>
      <w:pPr>
        <w:pStyle w:val="BodyText"/>
        <w:spacing w:before="6"/>
        <w:rPr>
          <w:sz w:val="28"/>
        </w:rPr>
      </w:pPr>
    </w:p>
    <w:p>
      <w:pPr>
        <w:pStyle w:val="BodyText"/>
        <w:spacing w:before="88"/>
        <w:ind w:left="748"/>
      </w:pPr>
      <w:r>
        <w:rPr>
          <w:color w:val="231F20"/>
        </w:rPr>
        <w:t>300</w:t>
      </w:r>
    </w:p>
    <w:p>
      <w:pPr>
        <w:pStyle w:val="BodyText"/>
        <w:spacing w:before="6"/>
        <w:rPr>
          <w:sz w:val="28"/>
        </w:rPr>
      </w:pPr>
    </w:p>
    <w:p>
      <w:pPr>
        <w:pStyle w:val="BodyText"/>
        <w:spacing w:before="88"/>
        <w:ind w:left="748"/>
      </w:pPr>
      <w:r>
        <w:rPr>
          <w:color w:val="231F20"/>
        </w:rPr>
        <w:t>200</w:t>
      </w:r>
    </w:p>
    <w:p>
      <w:pPr>
        <w:pStyle w:val="BodyText"/>
        <w:rPr>
          <w:sz w:val="24"/>
        </w:rPr>
      </w:pPr>
    </w:p>
    <w:p>
      <w:pPr>
        <w:pStyle w:val="BodyText"/>
        <w:spacing w:before="140"/>
        <w:ind w:left="748"/>
      </w:pPr>
      <w:r>
        <w:rPr>
          <w:color w:val="231F20"/>
        </w:rPr>
        <w:t>100</w:t>
      </w:r>
    </w:p>
    <w:p>
      <w:pPr>
        <w:pStyle w:val="BodyText"/>
        <w:spacing w:before="6"/>
        <w:rPr>
          <w:sz w:val="28"/>
        </w:rPr>
      </w:pPr>
    </w:p>
    <w:p>
      <w:pPr>
        <w:spacing w:after="0"/>
        <w:rPr>
          <w:sz w:val="28"/>
        </w:rPr>
        <w:sectPr>
          <w:pgSz w:w="11880" w:h="15480"/>
          <w:pgMar w:header="0" w:footer="1240" w:top="1240" w:bottom="1420" w:left="1260" w:right="1260"/>
        </w:sectPr>
      </w:pPr>
    </w:p>
    <w:p>
      <w:pPr>
        <w:pStyle w:val="BodyText"/>
        <w:spacing w:before="88"/>
        <w:ind w:left="968"/>
      </w:pPr>
      <w:r>
        <w:rPr>
          <w:color w:val="231F20"/>
        </w:rPr>
        <w:t>0</w:t>
      </w:r>
    </w:p>
    <w:p>
      <w:pPr>
        <w:pStyle w:val="BodyText"/>
        <w:tabs>
          <w:tab w:pos="2897" w:val="left" w:leader="none"/>
          <w:tab w:pos="4173" w:val="left" w:leader="none"/>
          <w:tab w:pos="5448" w:val="left" w:leader="none"/>
        </w:tabs>
        <w:spacing w:before="120"/>
        <w:ind w:left="1621"/>
      </w:pPr>
      <w:r>
        <w:rPr>
          <w:color w:val="231F20"/>
        </w:rPr>
        <w:t>12/31/11</w:t>
        <w:tab/>
      </w:r>
      <w:r>
        <w:rPr>
          <w:color w:val="231F20"/>
          <w:position w:val="1"/>
        </w:rPr>
        <w:t>12/31/12</w:t>
        <w:tab/>
        <w:t>12/31/13</w:t>
        <w:tab/>
        <w:t>12/31/14</w:t>
      </w:r>
    </w:p>
    <w:p>
      <w:pPr>
        <w:pStyle w:val="BodyText"/>
        <w:spacing w:before="99"/>
        <w:ind w:right="363"/>
        <w:jc w:val="right"/>
      </w:pPr>
      <w:r>
        <w:rPr>
          <w:color w:val="231F20"/>
        </w:rPr>
        <w:t>Period Ending</w:t>
      </w:r>
    </w:p>
    <w:p>
      <w:pPr>
        <w:pStyle w:val="BodyText"/>
        <w:rPr>
          <w:sz w:val="24"/>
        </w:rPr>
      </w:pPr>
      <w:r>
        <w:rPr/>
        <w:br w:type="column"/>
      </w:r>
      <w:r>
        <w:rPr>
          <w:sz w:val="24"/>
        </w:rPr>
      </w:r>
    </w:p>
    <w:p>
      <w:pPr>
        <w:pStyle w:val="BodyText"/>
        <w:spacing w:before="182"/>
        <w:ind w:left="453"/>
      </w:pPr>
      <w:r>
        <w:rPr>
          <w:color w:val="231F20"/>
        </w:rPr>
        <w:t>12/31/15</w:t>
      </w:r>
    </w:p>
    <w:p>
      <w:pPr>
        <w:pStyle w:val="BodyText"/>
        <w:rPr>
          <w:sz w:val="24"/>
        </w:rPr>
      </w:pPr>
      <w:r>
        <w:rPr/>
        <w:br w:type="column"/>
      </w:r>
      <w:r>
        <w:rPr>
          <w:sz w:val="24"/>
        </w:rPr>
      </w:r>
    </w:p>
    <w:p>
      <w:pPr>
        <w:pStyle w:val="BodyText"/>
        <w:spacing w:before="182"/>
        <w:ind w:left="453"/>
      </w:pPr>
      <w:r>
        <w:rPr>
          <w:color w:val="231F20"/>
        </w:rPr>
        <w:t>12/31/16</w:t>
      </w:r>
    </w:p>
    <w:p>
      <w:pPr>
        <w:spacing w:after="0"/>
        <w:sectPr>
          <w:type w:val="continuous"/>
          <w:pgSz w:w="11880" w:h="15480"/>
          <w:pgMar w:top="1260" w:bottom="280" w:left="1260" w:right="1260"/>
          <w:cols w:num="3" w:equalWidth="0">
            <w:col w:w="6232" w:space="40"/>
            <w:col w:w="1236" w:space="40"/>
            <w:col w:w="1812"/>
          </w:cols>
        </w:sectPr>
      </w:pPr>
    </w:p>
    <w:p>
      <w:pPr>
        <w:pStyle w:val="BodyText"/>
        <w:rPr>
          <w:sz w:val="20"/>
        </w:rPr>
      </w:pPr>
    </w:p>
    <w:p>
      <w:pPr>
        <w:pStyle w:val="BodyText"/>
        <w:spacing w:before="4"/>
        <w:rPr>
          <w:sz w:val="19"/>
        </w:rPr>
      </w:pPr>
    </w:p>
    <w:p>
      <w:pPr>
        <w:pStyle w:val="BodyText"/>
        <w:tabs>
          <w:tab w:pos="3989" w:val="left" w:leader="none"/>
          <w:tab w:pos="6916" w:val="left" w:leader="none"/>
        </w:tabs>
        <w:spacing w:before="1"/>
        <w:ind w:left="1064"/>
      </w:pPr>
      <w:r>
        <w:rPr/>
        <w:pict>
          <v:group style="position:absolute;margin-left:78.849998pt;margin-top:2.396439pt;width:31.25pt;height:9.1pt;mso-position-horizontal-relative:page;mso-position-vertical-relative:paragraph;z-index:1432" coordorigin="1577,48" coordsize="625,182">
            <v:shape style="position:absolute;left:1799;top:48;width:182;height:182" type="#_x0000_t75" stroked="false">
              <v:imagedata r:id="rId23" o:title=""/>
            </v:shape>
            <v:line style="position:absolute" from="1587,139" to="2192,139" stroked="true" strokeweight="1pt" strokecolor="#bcbec0">
              <v:stroke dashstyle="solid"/>
            </v:line>
            <w10:wrap type="none"/>
          </v:group>
        </w:pict>
      </w:r>
      <w:r>
        <w:rPr/>
        <w:pict>
          <v:group style="position:absolute;margin-left:225.485992pt;margin-top:2.156439pt;width:31.25pt;height:9.6pt;mso-position-horizontal-relative:page;mso-position-vertical-relative:paragraph;z-index:-377632" coordorigin="4510,43" coordsize="625,192">
            <v:rect style="position:absolute;left:4729;top:43;width:186;height:191" filled="true" fillcolor="#808285" stroked="false">
              <v:fill type="solid"/>
            </v:rect>
            <v:line style="position:absolute" from="4520,139" to="5125,139" stroked="true" strokeweight="1pt" strokecolor="#808285">
              <v:stroke dashstyle="solid"/>
            </v:line>
            <w10:wrap type="none"/>
          </v:group>
        </w:pict>
      </w:r>
      <w:r>
        <w:rPr/>
        <w:pict>
          <v:group style="position:absolute;margin-left:372.391998pt;margin-top:2.430439pt;width:31.25pt;height:9.050pt;mso-position-horizontal-relative:page;mso-position-vertical-relative:paragraph;z-index:-377608" coordorigin="7448,49" coordsize="625,181">
            <v:line style="position:absolute" from="7458,139" to="8063,139" stroked="true" strokeweight="1pt" strokecolor="#9d9fa2">
              <v:stroke dashstyle="solid"/>
            </v:line>
            <v:shape style="position:absolute;left:7656;top:49;width:209;height:181" coordorigin="7656,49" coordsize="209,181" path="m7760,49l7656,229,7864,229,7760,49xe" filled="true" fillcolor="#9d9fa2" stroked="false">
              <v:path arrowok="t"/>
              <v:fill type="solid"/>
            </v:shape>
            <w10:wrap type="none"/>
          </v:group>
        </w:pict>
      </w:r>
      <w:r>
        <w:rPr>
          <w:color w:val="231F20"/>
        </w:rPr>
        <w:t>Southwest Airlines Co.</w:t>
        <w:tab/>
        <w:t>S&amp;P 500</w:t>
        <w:tab/>
        <w:t>NYSE ARCA</w:t>
      </w:r>
      <w:r>
        <w:rPr>
          <w:color w:val="231F20"/>
          <w:spacing w:val="-1"/>
        </w:rPr>
        <w:t> </w:t>
      </w:r>
      <w:r>
        <w:rPr>
          <w:color w:val="231F20"/>
        </w:rPr>
        <w:t>Airline</w:t>
      </w:r>
    </w:p>
    <w:p>
      <w:pPr>
        <w:pStyle w:val="BodyText"/>
        <w:spacing w:before="4"/>
        <w:rPr>
          <w:sz w:val="13"/>
        </w:rPr>
      </w:pPr>
    </w:p>
    <w:p>
      <w:pPr>
        <w:spacing w:before="100" w:after="17"/>
        <w:ind w:left="3188" w:right="0" w:firstLine="0"/>
        <w:jc w:val="left"/>
        <w:rPr>
          <w:b/>
          <w:sz w:val="20"/>
        </w:rPr>
      </w:pPr>
      <w:r>
        <w:rPr>
          <w:b/>
          <w:color w:val="231F20"/>
          <w:sz w:val="20"/>
        </w:rPr>
        <w:t>12/31/2011  12/31/2012  12/31/2013  12/31/2014  12/31/2015  12/31/2016</w:t>
      </w:r>
    </w:p>
    <w:tbl>
      <w:tblPr>
        <w:tblW w:w="0" w:type="auto"/>
        <w:jc w:val="left"/>
        <w:tblInd w:w="1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540"/>
        <w:gridCol w:w="1490"/>
        <w:gridCol w:w="1012"/>
        <w:gridCol w:w="1012"/>
        <w:gridCol w:w="1012"/>
        <w:gridCol w:w="1012"/>
        <w:gridCol w:w="1042"/>
      </w:tblGrid>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Southwest Airlines Co.</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120</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222</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502</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514</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600</w:t>
            </w:r>
          </w:p>
        </w:tc>
      </w:tr>
      <w:tr>
        <w:trPr>
          <w:trHeight w:val="320" w:hRule="exact"/>
        </w:trPr>
        <w:tc>
          <w:tcPr>
            <w:tcW w:w="2540" w:type="dxa"/>
            <w:tcBorders>
              <w:right w:val="nil"/>
            </w:tcBorders>
          </w:tcPr>
          <w:p>
            <w:pPr>
              <w:pStyle w:val="TableParagraph"/>
              <w:ind w:left="50"/>
              <w:rPr>
                <w:b/>
                <w:sz w:val="20"/>
              </w:rPr>
            </w:pPr>
            <w:r>
              <w:rPr>
                <w:b/>
                <w:color w:val="231F20"/>
                <w:sz w:val="20"/>
              </w:rPr>
              <w:t>S&amp;P 500</w:t>
            </w:r>
          </w:p>
        </w:tc>
        <w:tc>
          <w:tcPr>
            <w:tcW w:w="1490" w:type="dxa"/>
            <w:tcBorders>
              <w:left w:val="nil"/>
              <w:right w:val="nil"/>
            </w:tcBorders>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tcPr>
          <w:p>
            <w:pPr>
              <w:pStyle w:val="TableParagraph"/>
              <w:tabs>
                <w:tab w:pos="611" w:val="left" w:leader="none"/>
              </w:tabs>
              <w:jc w:val="center"/>
              <w:rPr>
                <w:sz w:val="20"/>
              </w:rPr>
            </w:pPr>
            <w:r>
              <w:rPr>
                <w:color w:val="231F20"/>
                <w:sz w:val="20"/>
              </w:rPr>
              <w:t>$</w:t>
              <w:tab/>
              <w:t>116</w:t>
            </w:r>
          </w:p>
        </w:tc>
        <w:tc>
          <w:tcPr>
            <w:tcW w:w="1012" w:type="dxa"/>
            <w:tcBorders>
              <w:left w:val="nil"/>
              <w:right w:val="nil"/>
            </w:tcBorders>
          </w:tcPr>
          <w:p>
            <w:pPr>
              <w:pStyle w:val="TableParagraph"/>
              <w:tabs>
                <w:tab w:pos="611" w:val="left" w:leader="none"/>
              </w:tabs>
              <w:jc w:val="center"/>
              <w:rPr>
                <w:sz w:val="20"/>
              </w:rPr>
            </w:pPr>
            <w:r>
              <w:rPr>
                <w:color w:val="231F20"/>
                <w:sz w:val="20"/>
              </w:rPr>
              <w:t>$</w:t>
              <w:tab/>
              <w:t>153</w:t>
            </w:r>
          </w:p>
        </w:tc>
        <w:tc>
          <w:tcPr>
            <w:tcW w:w="1012" w:type="dxa"/>
            <w:tcBorders>
              <w:left w:val="nil"/>
              <w:right w:val="nil"/>
            </w:tcBorders>
          </w:tcPr>
          <w:p>
            <w:pPr>
              <w:pStyle w:val="TableParagraph"/>
              <w:tabs>
                <w:tab w:pos="611" w:val="left" w:leader="none"/>
              </w:tabs>
              <w:jc w:val="center"/>
              <w:rPr>
                <w:sz w:val="20"/>
              </w:rPr>
            </w:pPr>
            <w:r>
              <w:rPr>
                <w:color w:val="231F20"/>
                <w:sz w:val="20"/>
              </w:rPr>
              <w:t>$</w:t>
              <w:tab/>
              <w:t>177</w:t>
            </w:r>
          </w:p>
        </w:tc>
        <w:tc>
          <w:tcPr>
            <w:tcW w:w="1012" w:type="dxa"/>
            <w:tcBorders>
              <w:left w:val="nil"/>
              <w:right w:val="nil"/>
            </w:tcBorders>
          </w:tcPr>
          <w:p>
            <w:pPr>
              <w:pStyle w:val="TableParagraph"/>
              <w:tabs>
                <w:tab w:pos="611" w:val="left" w:leader="none"/>
              </w:tabs>
              <w:jc w:val="center"/>
              <w:rPr>
                <w:sz w:val="20"/>
              </w:rPr>
            </w:pPr>
            <w:r>
              <w:rPr>
                <w:color w:val="231F20"/>
                <w:sz w:val="20"/>
              </w:rPr>
              <w:t>$</w:t>
              <w:tab/>
              <w:t>176</w:t>
            </w:r>
          </w:p>
        </w:tc>
        <w:tc>
          <w:tcPr>
            <w:tcW w:w="1042" w:type="dxa"/>
            <w:tcBorders>
              <w:left w:val="nil"/>
            </w:tcBorders>
          </w:tcPr>
          <w:p>
            <w:pPr>
              <w:pStyle w:val="TableParagraph"/>
              <w:tabs>
                <w:tab w:pos="611" w:val="left" w:leader="none"/>
              </w:tabs>
              <w:ind w:right="19"/>
              <w:jc w:val="center"/>
              <w:rPr>
                <w:sz w:val="20"/>
              </w:rPr>
            </w:pPr>
            <w:r>
              <w:rPr>
                <w:color w:val="231F20"/>
                <w:sz w:val="20"/>
              </w:rPr>
              <w:t>$</w:t>
              <w:tab/>
              <w:t>197</w:t>
            </w:r>
          </w:p>
        </w:tc>
      </w:tr>
      <w:tr>
        <w:trPr>
          <w:trHeight w:val="320" w:hRule="exact"/>
        </w:trPr>
        <w:tc>
          <w:tcPr>
            <w:tcW w:w="2540" w:type="dxa"/>
            <w:tcBorders>
              <w:right w:val="nil"/>
            </w:tcBorders>
            <w:shd w:val="clear" w:color="auto" w:fill="D1D3D4"/>
          </w:tcPr>
          <w:p>
            <w:pPr>
              <w:pStyle w:val="TableParagraph"/>
              <w:ind w:left="50"/>
              <w:rPr>
                <w:b/>
                <w:sz w:val="20"/>
              </w:rPr>
            </w:pPr>
            <w:r>
              <w:rPr>
                <w:b/>
                <w:color w:val="231F20"/>
                <w:sz w:val="20"/>
              </w:rPr>
              <w:t>NYSE ARCA Airline</w:t>
            </w:r>
          </w:p>
        </w:tc>
        <w:tc>
          <w:tcPr>
            <w:tcW w:w="1490" w:type="dxa"/>
            <w:tcBorders>
              <w:left w:val="nil"/>
              <w:right w:val="nil"/>
            </w:tcBorders>
            <w:shd w:val="clear" w:color="auto" w:fill="D1D3D4"/>
          </w:tcPr>
          <w:p>
            <w:pPr>
              <w:pStyle w:val="TableParagraph"/>
              <w:tabs>
                <w:tab w:pos="611" w:val="left" w:leader="none"/>
              </w:tabs>
              <w:ind w:right="48"/>
              <w:jc w:val="right"/>
              <w:rPr>
                <w:sz w:val="20"/>
              </w:rPr>
            </w:pPr>
            <w:r>
              <w:rPr>
                <w:color w:val="231F20"/>
                <w:sz w:val="20"/>
              </w:rPr>
              <w:t>$</w:t>
              <w:tab/>
              <w:t>100</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138</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218</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327</w:t>
            </w:r>
          </w:p>
        </w:tc>
        <w:tc>
          <w:tcPr>
            <w:tcW w:w="1012" w:type="dxa"/>
            <w:tcBorders>
              <w:left w:val="nil"/>
              <w:right w:val="nil"/>
            </w:tcBorders>
            <w:shd w:val="clear" w:color="auto" w:fill="D1D3D4"/>
          </w:tcPr>
          <w:p>
            <w:pPr>
              <w:pStyle w:val="TableParagraph"/>
              <w:tabs>
                <w:tab w:pos="611" w:val="left" w:leader="none"/>
              </w:tabs>
              <w:jc w:val="center"/>
              <w:rPr>
                <w:sz w:val="20"/>
              </w:rPr>
            </w:pPr>
            <w:r>
              <w:rPr>
                <w:color w:val="231F20"/>
                <w:sz w:val="20"/>
              </w:rPr>
              <w:t>$</w:t>
              <w:tab/>
              <w:t>277</w:t>
            </w:r>
          </w:p>
        </w:tc>
        <w:tc>
          <w:tcPr>
            <w:tcW w:w="1042" w:type="dxa"/>
            <w:tcBorders>
              <w:left w:val="nil"/>
            </w:tcBorders>
            <w:shd w:val="clear" w:color="auto" w:fill="D1D3D4"/>
          </w:tcPr>
          <w:p>
            <w:pPr>
              <w:pStyle w:val="TableParagraph"/>
              <w:tabs>
                <w:tab w:pos="611" w:val="left" w:leader="none"/>
              </w:tabs>
              <w:ind w:right="19"/>
              <w:jc w:val="center"/>
              <w:rPr>
                <w:sz w:val="20"/>
              </w:rPr>
            </w:pPr>
            <w:r>
              <w:rPr>
                <w:color w:val="231F20"/>
                <w:sz w:val="20"/>
              </w:rPr>
              <w:t>$</w:t>
              <w:tab/>
              <w:t>356</w:t>
            </w:r>
          </w:p>
        </w:tc>
      </w:tr>
    </w:tbl>
    <w:p>
      <w:pPr>
        <w:spacing w:after="0"/>
        <w:jc w:val="center"/>
        <w:rPr>
          <w:sz w:val="20"/>
        </w:rPr>
        <w:sectPr>
          <w:type w:val="continuous"/>
          <w:pgSz w:w="11880" w:h="15480"/>
          <w:pgMar w:top="1260" w:bottom="280" w:left="1260" w:right="1260"/>
        </w:sectPr>
      </w:pPr>
    </w:p>
    <w:p>
      <w:pPr>
        <w:pStyle w:val="Heading1"/>
        <w:spacing w:before="74"/>
        <w:jc w:val="left"/>
      </w:pPr>
      <w:r>
        <w:rPr>
          <w:color w:val="231F20"/>
        </w:rPr>
        <w:t>Issuer Repurchases</w:t>
      </w:r>
    </w:p>
    <w:p>
      <w:pPr>
        <w:pStyle w:val="BodyText"/>
        <w:rPr>
          <w:b/>
        </w:rPr>
      </w:pPr>
      <w:r>
        <w:rPr/>
        <w:br w:type="column"/>
      </w:r>
      <w:r>
        <w:rPr>
          <w:b/>
        </w:rPr>
      </w:r>
    </w:p>
    <w:p>
      <w:pPr>
        <w:pStyle w:val="BodyText"/>
        <w:spacing w:before="4"/>
        <w:rPr>
          <w:b/>
          <w:sz w:val="24"/>
        </w:rPr>
      </w:pPr>
    </w:p>
    <w:p>
      <w:pPr>
        <w:spacing w:before="0"/>
        <w:ind w:left="441" w:right="0" w:firstLine="0"/>
        <w:jc w:val="left"/>
        <w:rPr>
          <w:sz w:val="20"/>
        </w:rPr>
      </w:pPr>
      <w:r>
        <w:rPr>
          <w:color w:val="231F20"/>
          <w:sz w:val="20"/>
        </w:rPr>
        <w:t>Issuer Purchases of Equity Securities (1)</w:t>
      </w:r>
    </w:p>
    <w:p>
      <w:pPr>
        <w:tabs>
          <w:tab w:pos="1576" w:val="left" w:leader="none"/>
          <w:tab w:pos="3254" w:val="left" w:leader="none"/>
          <w:tab w:pos="5410" w:val="left" w:leader="none"/>
        </w:tabs>
        <w:spacing w:line="201" w:lineRule="exact" w:before="29"/>
        <w:ind w:left="100" w:right="0" w:firstLine="0"/>
        <w:jc w:val="left"/>
        <w:rPr>
          <w:b/>
          <w:sz w:val="20"/>
        </w:rPr>
      </w:pPr>
      <w:r>
        <w:rPr>
          <w:b/>
          <w:color w:val="231F20"/>
          <w:sz w:val="20"/>
        </w:rPr>
        <w:t>(a)</w:t>
        <w:tab/>
        <w:t>(b)</w:t>
        <w:tab/>
        <w:t>(c)</w:t>
        <w:tab/>
        <w:t>(d)</w:t>
      </w:r>
    </w:p>
    <w:p>
      <w:pPr>
        <w:spacing w:after="0" w:line="201" w:lineRule="exact"/>
        <w:jc w:val="left"/>
        <w:rPr>
          <w:sz w:val="20"/>
        </w:rPr>
        <w:sectPr>
          <w:pgSz w:w="11880" w:h="15480"/>
          <w:pgMar w:header="0" w:footer="1240" w:top="1240" w:bottom="1420" w:left="1280" w:right="1140"/>
          <w:cols w:num="2" w:equalWidth="0">
            <w:col w:w="1929" w:space="756"/>
            <w:col w:w="6775"/>
          </w:cols>
        </w:sectPr>
      </w:pPr>
    </w:p>
    <w:p>
      <w:pPr>
        <w:pStyle w:val="BodyText"/>
        <w:rPr>
          <w:b/>
        </w:rPr>
      </w:pPr>
    </w:p>
    <w:p>
      <w:pPr>
        <w:pStyle w:val="BodyText"/>
        <w:rPr>
          <w:b/>
        </w:rPr>
      </w:pPr>
    </w:p>
    <w:p>
      <w:pPr>
        <w:pStyle w:val="BodyText"/>
        <w:spacing w:before="5"/>
        <w:rPr>
          <w:b/>
          <w:sz w:val="25"/>
        </w:rPr>
      </w:pPr>
    </w:p>
    <w:p>
      <w:pPr>
        <w:spacing w:before="0"/>
        <w:ind w:left="821" w:right="0" w:firstLine="0"/>
        <w:jc w:val="left"/>
        <w:rPr>
          <w:b/>
          <w:sz w:val="20"/>
        </w:rPr>
      </w:pPr>
      <w:r>
        <w:rPr>
          <w:b/>
          <w:color w:val="231F20"/>
          <w:sz w:val="20"/>
        </w:rPr>
        <w:t>Period</w:t>
      </w:r>
    </w:p>
    <w:p>
      <w:pPr>
        <w:pStyle w:val="BodyText"/>
        <w:rPr>
          <w:b/>
        </w:rPr>
      </w:pPr>
      <w:r>
        <w:rPr/>
        <w:br w:type="column"/>
      </w:r>
      <w:r>
        <w:rPr>
          <w:b/>
        </w:rPr>
      </w:r>
    </w:p>
    <w:p>
      <w:pPr>
        <w:spacing w:line="200" w:lineRule="exact" w:before="172"/>
        <w:ind w:left="820" w:right="0" w:firstLine="0"/>
        <w:jc w:val="center"/>
        <w:rPr>
          <w:b/>
          <w:sz w:val="20"/>
        </w:rPr>
      </w:pPr>
      <w:r>
        <w:rPr>
          <w:b/>
          <w:color w:val="231F20"/>
          <w:sz w:val="20"/>
        </w:rPr>
        <w:t>Total number</w:t>
      </w:r>
      <w:r>
        <w:rPr>
          <w:b/>
          <w:color w:val="231F20"/>
          <w:w w:val="99"/>
          <w:sz w:val="20"/>
        </w:rPr>
        <w:t> </w:t>
      </w:r>
      <w:r>
        <w:rPr>
          <w:b/>
          <w:color w:val="231F20"/>
          <w:sz w:val="20"/>
        </w:rPr>
        <w:t>of shares purchased</w:t>
      </w:r>
    </w:p>
    <w:p>
      <w:pPr>
        <w:pStyle w:val="BodyText"/>
        <w:rPr>
          <w:b/>
        </w:rPr>
      </w:pPr>
      <w:r>
        <w:rPr/>
        <w:br w:type="column"/>
      </w:r>
      <w:r>
        <w:rPr>
          <w:b/>
        </w:rPr>
      </w:r>
    </w:p>
    <w:p>
      <w:pPr>
        <w:spacing w:line="200" w:lineRule="exact" w:before="172"/>
        <w:ind w:left="420" w:right="0" w:hanging="2"/>
        <w:jc w:val="center"/>
        <w:rPr>
          <w:b/>
          <w:sz w:val="20"/>
        </w:rPr>
      </w:pPr>
      <w:r>
        <w:rPr>
          <w:b/>
          <w:color w:val="231F20"/>
          <w:sz w:val="20"/>
        </w:rPr>
        <w:t>Average price paid per share</w:t>
      </w:r>
    </w:p>
    <w:p>
      <w:pPr>
        <w:spacing w:line="200" w:lineRule="exact" w:before="25"/>
        <w:ind w:left="356" w:right="0" w:hanging="2"/>
        <w:jc w:val="center"/>
        <w:rPr>
          <w:b/>
          <w:sz w:val="20"/>
        </w:rPr>
      </w:pPr>
      <w:r>
        <w:rPr/>
        <w:br w:type="column"/>
      </w:r>
      <w:r>
        <w:rPr>
          <w:b/>
          <w:color w:val="231F20"/>
          <w:sz w:val="20"/>
        </w:rPr>
        <w:t>Total number of shares purchased as part of publicly announced</w:t>
      </w:r>
      <w:r>
        <w:rPr>
          <w:b/>
          <w:color w:val="231F20"/>
          <w:spacing w:val="-1"/>
          <w:sz w:val="20"/>
        </w:rPr>
        <w:t> </w:t>
      </w:r>
      <w:r>
        <w:rPr>
          <w:b/>
          <w:color w:val="231F20"/>
          <w:sz w:val="20"/>
        </w:rPr>
        <w:t>plans or</w:t>
      </w:r>
      <w:r>
        <w:rPr>
          <w:b/>
          <w:color w:val="231F20"/>
          <w:w w:val="100"/>
          <w:sz w:val="20"/>
        </w:rPr>
        <w:t> </w:t>
      </w:r>
      <w:r>
        <w:rPr>
          <w:b/>
          <w:color w:val="231F20"/>
          <w:sz w:val="20"/>
        </w:rPr>
        <w:t>programs</w:t>
      </w:r>
    </w:p>
    <w:p>
      <w:pPr>
        <w:spacing w:line="200" w:lineRule="exact" w:before="25"/>
        <w:ind w:left="357" w:right="309" w:hanging="1"/>
        <w:jc w:val="center"/>
        <w:rPr>
          <w:b/>
          <w:sz w:val="20"/>
        </w:rPr>
      </w:pPr>
      <w:r>
        <w:rPr/>
        <w:br w:type="column"/>
      </w:r>
      <w:r>
        <w:rPr>
          <w:b/>
          <w:color w:val="231F20"/>
          <w:sz w:val="20"/>
        </w:rPr>
        <w:t>Maximum dollar value of shares that may yet be purchased under the plans or programs</w:t>
      </w:r>
    </w:p>
    <w:p>
      <w:pPr>
        <w:spacing w:after="0" w:line="200" w:lineRule="exact"/>
        <w:jc w:val="center"/>
        <w:rPr>
          <w:sz w:val="20"/>
        </w:rPr>
        <w:sectPr>
          <w:type w:val="continuous"/>
          <w:pgSz w:w="11880" w:h="15480"/>
          <w:pgMar w:top="1260" w:bottom="280" w:left="1280" w:right="1140"/>
          <w:cols w:num="5" w:equalWidth="0">
            <w:col w:w="1388" w:space="101"/>
            <w:col w:w="2005" w:space="40"/>
            <w:col w:w="1283" w:space="40"/>
            <w:col w:w="2035" w:space="40"/>
            <w:col w:w="2528"/>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10"/>
        <w:gridCol w:w="1584"/>
        <w:gridCol w:w="2028"/>
        <w:gridCol w:w="1306"/>
        <w:gridCol w:w="2322"/>
      </w:tblGrid>
      <w:tr>
        <w:trPr>
          <w:trHeight w:val="610" w:hRule="exact"/>
        </w:trPr>
        <w:tc>
          <w:tcPr>
            <w:tcW w:w="2010" w:type="dxa"/>
            <w:tcBorders>
              <w:top w:val="single" w:sz="8" w:space="0" w:color="231F20"/>
            </w:tcBorders>
          </w:tcPr>
          <w:p>
            <w:pPr>
              <w:pStyle w:val="TableParagraph"/>
              <w:spacing w:before="92"/>
              <w:ind w:left="39" w:right="157"/>
              <w:jc w:val="center"/>
              <w:rPr>
                <w:sz w:val="18"/>
              </w:rPr>
            </w:pPr>
            <w:r>
              <w:rPr>
                <w:color w:val="231F20"/>
                <w:sz w:val="18"/>
              </w:rPr>
              <w:t>October 1, 2016 through</w:t>
            </w:r>
          </w:p>
          <w:p>
            <w:pPr>
              <w:pStyle w:val="TableParagraph"/>
              <w:ind w:left="39" w:right="312"/>
              <w:jc w:val="center"/>
              <w:rPr>
                <w:sz w:val="18"/>
              </w:rPr>
            </w:pPr>
            <w:r>
              <w:rPr>
                <w:color w:val="231F20"/>
                <w:sz w:val="18"/>
              </w:rPr>
              <w:t>October 31, 2016</w:t>
            </w:r>
          </w:p>
        </w:tc>
        <w:tc>
          <w:tcPr>
            <w:tcW w:w="1584" w:type="dxa"/>
            <w:tcBorders>
              <w:top w:val="single" w:sz="8" w:space="0" w:color="231F20"/>
            </w:tcBorders>
          </w:tcPr>
          <w:p>
            <w:pPr>
              <w:pStyle w:val="TableParagraph"/>
              <w:spacing w:before="0"/>
              <w:rPr>
                <w:b/>
                <w:sz w:val="20"/>
              </w:rPr>
            </w:pPr>
          </w:p>
          <w:p>
            <w:pPr>
              <w:pStyle w:val="TableParagraph"/>
              <w:spacing w:before="122"/>
              <w:ind w:right="88"/>
              <w:jc w:val="right"/>
              <w:rPr>
                <w:sz w:val="18"/>
              </w:rPr>
            </w:pPr>
            <w:r>
              <w:rPr>
                <w:color w:val="231F20"/>
                <w:sz w:val="18"/>
              </w:rPr>
              <w:t>1,709,877</w:t>
            </w:r>
          </w:p>
        </w:tc>
        <w:tc>
          <w:tcPr>
            <w:tcW w:w="2028" w:type="dxa"/>
            <w:tcBorders>
              <w:top w:val="single" w:sz="8" w:space="0" w:color="231F20"/>
            </w:tcBorders>
          </w:tcPr>
          <w:p>
            <w:pPr>
              <w:pStyle w:val="TableParagraph"/>
              <w:spacing w:before="0"/>
              <w:rPr>
                <w:b/>
                <w:sz w:val="20"/>
              </w:rPr>
            </w:pPr>
          </w:p>
          <w:p>
            <w:pPr>
              <w:pStyle w:val="TableParagraph"/>
              <w:tabs>
                <w:tab w:pos="871" w:val="left" w:leader="none"/>
                <w:tab w:pos="1321" w:val="left" w:leader="none"/>
              </w:tabs>
              <w:spacing w:before="122"/>
              <w:ind w:left="59"/>
              <w:rPr>
                <w:sz w:val="18"/>
              </w:rPr>
            </w:pPr>
            <w:r>
              <w:rPr>
                <w:color w:val="231F20"/>
                <w:sz w:val="18"/>
              </w:rPr>
              <w:t>$</w:t>
              <w:tab/>
              <w:t>—</w:t>
              <w:tab/>
              <w:t>(2)</w:t>
            </w:r>
          </w:p>
        </w:tc>
        <w:tc>
          <w:tcPr>
            <w:tcW w:w="1306" w:type="dxa"/>
            <w:tcBorders>
              <w:top w:val="single" w:sz="8" w:space="0" w:color="231F20"/>
            </w:tcBorders>
          </w:tcPr>
          <w:p>
            <w:pPr>
              <w:pStyle w:val="TableParagraph"/>
              <w:spacing w:before="0"/>
              <w:rPr>
                <w:b/>
                <w:sz w:val="20"/>
              </w:rPr>
            </w:pPr>
          </w:p>
          <w:p>
            <w:pPr>
              <w:pStyle w:val="TableParagraph"/>
              <w:spacing w:before="122"/>
              <w:ind w:right="88"/>
              <w:jc w:val="right"/>
              <w:rPr>
                <w:sz w:val="18"/>
              </w:rPr>
            </w:pPr>
            <w:r>
              <w:rPr>
                <w:color w:val="231F20"/>
                <w:sz w:val="18"/>
              </w:rPr>
              <w:t>1,709,877</w:t>
            </w:r>
          </w:p>
        </w:tc>
        <w:tc>
          <w:tcPr>
            <w:tcW w:w="2322" w:type="dxa"/>
            <w:tcBorders>
              <w:top w:val="single" w:sz="8" w:space="0" w:color="231F20"/>
            </w:tcBorders>
          </w:tcPr>
          <w:p>
            <w:pPr>
              <w:pStyle w:val="TableParagraph"/>
              <w:spacing w:before="0"/>
              <w:rPr>
                <w:b/>
                <w:sz w:val="20"/>
              </w:rPr>
            </w:pPr>
          </w:p>
          <w:p>
            <w:pPr>
              <w:pStyle w:val="TableParagraph"/>
              <w:tabs>
                <w:tab w:pos="1136" w:val="left" w:leader="none"/>
              </w:tabs>
              <w:spacing w:before="122"/>
              <w:ind w:right="28"/>
              <w:jc w:val="center"/>
              <w:rPr>
                <w:sz w:val="18"/>
              </w:rPr>
            </w:pPr>
            <w:r>
              <w:rPr>
                <w:color w:val="231F20"/>
                <w:sz w:val="18"/>
              </w:rPr>
              <w:t>$</w:t>
              <w:tab/>
              <w:t>1,250,000,000</w:t>
            </w:r>
          </w:p>
        </w:tc>
      </w:tr>
      <w:tr>
        <w:trPr>
          <w:trHeight w:val="600" w:hRule="exact"/>
        </w:trPr>
        <w:tc>
          <w:tcPr>
            <w:tcW w:w="2010" w:type="dxa"/>
            <w:shd w:val="clear" w:color="auto" w:fill="D1D3D4"/>
          </w:tcPr>
          <w:p>
            <w:pPr>
              <w:pStyle w:val="TableParagraph"/>
              <w:spacing w:before="92"/>
              <w:ind w:left="59"/>
              <w:jc w:val="center"/>
              <w:rPr>
                <w:sz w:val="18"/>
              </w:rPr>
            </w:pPr>
            <w:r>
              <w:rPr>
                <w:color w:val="231F20"/>
                <w:sz w:val="18"/>
              </w:rPr>
              <w:t>November 1, 2016 through</w:t>
            </w:r>
          </w:p>
          <w:p>
            <w:pPr>
              <w:pStyle w:val="TableParagraph"/>
              <w:ind w:left="39" w:right="132"/>
              <w:jc w:val="center"/>
              <w:rPr>
                <w:sz w:val="18"/>
              </w:rPr>
            </w:pPr>
            <w:r>
              <w:rPr>
                <w:color w:val="231F20"/>
                <w:sz w:val="18"/>
              </w:rPr>
              <w:t>November 30, 2016</w:t>
            </w:r>
          </w:p>
        </w:tc>
        <w:tc>
          <w:tcPr>
            <w:tcW w:w="1584" w:type="dxa"/>
            <w:shd w:val="clear" w:color="auto" w:fill="D1D3D4"/>
          </w:tcPr>
          <w:p>
            <w:pPr>
              <w:pStyle w:val="TableParagraph"/>
              <w:spacing w:before="0"/>
              <w:rPr>
                <w:b/>
                <w:sz w:val="20"/>
              </w:rPr>
            </w:pPr>
          </w:p>
          <w:p>
            <w:pPr>
              <w:pStyle w:val="TableParagraph"/>
              <w:spacing w:before="122"/>
              <w:ind w:right="88"/>
              <w:jc w:val="right"/>
              <w:rPr>
                <w:sz w:val="18"/>
              </w:rPr>
            </w:pPr>
            <w:r>
              <w:rPr>
                <w:color w:val="231F20"/>
                <w:sz w:val="18"/>
              </w:rPr>
              <w:t>—</w:t>
            </w:r>
          </w:p>
        </w:tc>
        <w:tc>
          <w:tcPr>
            <w:tcW w:w="2028" w:type="dxa"/>
            <w:shd w:val="clear" w:color="auto" w:fill="D1D3D4"/>
          </w:tcPr>
          <w:p>
            <w:pPr>
              <w:pStyle w:val="TableParagraph"/>
              <w:spacing w:before="0"/>
              <w:rPr>
                <w:b/>
                <w:sz w:val="20"/>
              </w:rPr>
            </w:pPr>
          </w:p>
          <w:p>
            <w:pPr>
              <w:pStyle w:val="TableParagraph"/>
              <w:tabs>
                <w:tab w:pos="871" w:val="left" w:leader="none"/>
                <w:tab w:pos="1321" w:val="left" w:leader="none"/>
              </w:tabs>
              <w:spacing w:before="122"/>
              <w:ind w:left="59"/>
              <w:rPr>
                <w:sz w:val="18"/>
              </w:rPr>
            </w:pPr>
            <w:r>
              <w:rPr>
                <w:color w:val="231F20"/>
                <w:sz w:val="18"/>
              </w:rPr>
              <w:t>$</w:t>
              <w:tab/>
              <w:t>—</w:t>
              <w:tab/>
              <w:t>(3)</w:t>
            </w:r>
          </w:p>
        </w:tc>
        <w:tc>
          <w:tcPr>
            <w:tcW w:w="1306" w:type="dxa"/>
            <w:shd w:val="clear" w:color="auto" w:fill="D1D3D4"/>
          </w:tcPr>
          <w:p>
            <w:pPr>
              <w:pStyle w:val="TableParagraph"/>
              <w:spacing w:before="0"/>
              <w:rPr>
                <w:b/>
                <w:sz w:val="20"/>
              </w:rPr>
            </w:pPr>
          </w:p>
          <w:p>
            <w:pPr>
              <w:pStyle w:val="TableParagraph"/>
              <w:spacing w:before="122"/>
              <w:ind w:right="88"/>
              <w:jc w:val="right"/>
              <w:rPr>
                <w:sz w:val="18"/>
              </w:rPr>
            </w:pPr>
            <w:r>
              <w:rPr>
                <w:color w:val="231F20"/>
                <w:sz w:val="18"/>
              </w:rPr>
              <w:t>—</w:t>
            </w:r>
          </w:p>
        </w:tc>
        <w:tc>
          <w:tcPr>
            <w:tcW w:w="2322" w:type="dxa"/>
            <w:shd w:val="clear" w:color="auto" w:fill="D1D3D4"/>
          </w:tcPr>
          <w:p>
            <w:pPr>
              <w:pStyle w:val="TableParagraph"/>
              <w:spacing w:before="0"/>
              <w:rPr>
                <w:b/>
                <w:sz w:val="20"/>
              </w:rPr>
            </w:pPr>
          </w:p>
          <w:p>
            <w:pPr>
              <w:pStyle w:val="TableParagraph"/>
              <w:tabs>
                <w:tab w:pos="1271" w:val="left" w:leader="none"/>
              </w:tabs>
              <w:spacing w:before="122"/>
              <w:ind w:right="28"/>
              <w:jc w:val="center"/>
              <w:rPr>
                <w:sz w:val="18"/>
              </w:rPr>
            </w:pPr>
            <w:r>
              <w:rPr>
                <w:color w:val="231F20"/>
                <w:sz w:val="18"/>
              </w:rPr>
              <w:t>$</w:t>
              <w:tab/>
              <w:t>950,000,000</w:t>
            </w:r>
          </w:p>
        </w:tc>
      </w:tr>
      <w:tr>
        <w:trPr>
          <w:trHeight w:val="615" w:hRule="exact"/>
        </w:trPr>
        <w:tc>
          <w:tcPr>
            <w:tcW w:w="2010" w:type="dxa"/>
          </w:tcPr>
          <w:p>
            <w:pPr>
              <w:pStyle w:val="TableParagraph"/>
              <w:spacing w:before="92"/>
              <w:ind w:left="39"/>
              <w:jc w:val="center"/>
              <w:rPr>
                <w:sz w:val="18"/>
              </w:rPr>
            </w:pPr>
            <w:r>
              <w:rPr>
                <w:color w:val="231F20"/>
                <w:sz w:val="18"/>
              </w:rPr>
              <w:t>December 1, 2016 through</w:t>
            </w:r>
          </w:p>
          <w:p>
            <w:pPr>
              <w:pStyle w:val="TableParagraph"/>
              <w:ind w:left="39" w:right="152"/>
              <w:jc w:val="center"/>
              <w:rPr>
                <w:sz w:val="18"/>
              </w:rPr>
            </w:pPr>
            <w:r>
              <w:rPr>
                <w:color w:val="231F20"/>
                <w:sz w:val="18"/>
              </w:rPr>
              <w:t>December 31, 2016</w:t>
            </w:r>
          </w:p>
        </w:tc>
        <w:tc>
          <w:tcPr>
            <w:tcW w:w="1584" w:type="dxa"/>
            <w:tcBorders>
              <w:bottom w:val="single" w:sz="4" w:space="0" w:color="231F20"/>
            </w:tcBorders>
          </w:tcPr>
          <w:p>
            <w:pPr>
              <w:pStyle w:val="TableParagraph"/>
              <w:spacing w:before="0"/>
              <w:rPr>
                <w:b/>
                <w:sz w:val="20"/>
              </w:rPr>
            </w:pPr>
          </w:p>
          <w:p>
            <w:pPr>
              <w:pStyle w:val="TableParagraph"/>
              <w:spacing w:before="122"/>
              <w:ind w:right="88"/>
              <w:jc w:val="right"/>
              <w:rPr>
                <w:sz w:val="18"/>
              </w:rPr>
            </w:pPr>
            <w:r>
              <w:rPr>
                <w:color w:val="231F20"/>
                <w:sz w:val="18"/>
              </w:rPr>
              <w:t>4,723,420</w:t>
            </w:r>
          </w:p>
        </w:tc>
        <w:tc>
          <w:tcPr>
            <w:tcW w:w="2028" w:type="dxa"/>
            <w:tcBorders>
              <w:bottom w:val="single" w:sz="4" w:space="0" w:color="231F20"/>
            </w:tcBorders>
          </w:tcPr>
          <w:p>
            <w:pPr>
              <w:pStyle w:val="TableParagraph"/>
              <w:spacing w:before="0"/>
              <w:rPr>
                <w:b/>
                <w:sz w:val="20"/>
              </w:rPr>
            </w:pPr>
          </w:p>
          <w:p>
            <w:pPr>
              <w:pStyle w:val="TableParagraph"/>
              <w:tabs>
                <w:tab w:pos="871" w:val="left" w:leader="none"/>
                <w:tab w:pos="1321" w:val="left" w:leader="none"/>
              </w:tabs>
              <w:spacing w:before="122"/>
              <w:ind w:left="59"/>
              <w:rPr>
                <w:sz w:val="18"/>
              </w:rPr>
            </w:pPr>
            <w:r>
              <w:rPr>
                <w:color w:val="231F20"/>
                <w:sz w:val="18"/>
              </w:rPr>
              <w:t>$</w:t>
              <w:tab/>
              <w:t>—</w:t>
              <w:tab/>
              <w:t>(3)</w:t>
            </w:r>
          </w:p>
        </w:tc>
        <w:tc>
          <w:tcPr>
            <w:tcW w:w="1306" w:type="dxa"/>
            <w:tcBorders>
              <w:bottom w:val="single" w:sz="4" w:space="0" w:color="231F20"/>
            </w:tcBorders>
          </w:tcPr>
          <w:p>
            <w:pPr>
              <w:pStyle w:val="TableParagraph"/>
              <w:spacing w:before="0"/>
              <w:rPr>
                <w:b/>
                <w:sz w:val="20"/>
              </w:rPr>
            </w:pPr>
          </w:p>
          <w:p>
            <w:pPr>
              <w:pStyle w:val="TableParagraph"/>
              <w:spacing w:before="122"/>
              <w:ind w:right="88"/>
              <w:jc w:val="right"/>
              <w:rPr>
                <w:sz w:val="18"/>
              </w:rPr>
            </w:pPr>
            <w:r>
              <w:rPr>
                <w:color w:val="231F20"/>
                <w:sz w:val="18"/>
              </w:rPr>
              <w:t>4,723,420</w:t>
            </w:r>
          </w:p>
        </w:tc>
        <w:tc>
          <w:tcPr>
            <w:tcW w:w="2322" w:type="dxa"/>
          </w:tcPr>
          <w:p>
            <w:pPr>
              <w:pStyle w:val="TableParagraph"/>
              <w:spacing w:before="0"/>
              <w:rPr>
                <w:b/>
                <w:sz w:val="20"/>
              </w:rPr>
            </w:pPr>
          </w:p>
          <w:p>
            <w:pPr>
              <w:pStyle w:val="TableParagraph"/>
              <w:tabs>
                <w:tab w:pos="1271" w:val="left" w:leader="none"/>
              </w:tabs>
              <w:spacing w:before="122"/>
              <w:ind w:right="28"/>
              <w:jc w:val="center"/>
              <w:rPr>
                <w:sz w:val="18"/>
              </w:rPr>
            </w:pPr>
            <w:r>
              <w:rPr>
                <w:color w:val="231F20"/>
                <w:sz w:val="18"/>
              </w:rPr>
              <w:t>$</w:t>
              <w:tab/>
              <w:t>950,000,000</w:t>
            </w:r>
          </w:p>
        </w:tc>
      </w:tr>
      <w:tr>
        <w:trPr>
          <w:trHeight w:val="380" w:hRule="exact"/>
        </w:trPr>
        <w:tc>
          <w:tcPr>
            <w:tcW w:w="2010" w:type="dxa"/>
            <w:shd w:val="clear" w:color="auto" w:fill="D1D3D4"/>
          </w:tcPr>
          <w:p>
            <w:pPr>
              <w:pStyle w:val="TableParagraph"/>
              <w:spacing w:before="92"/>
              <w:ind w:left="60"/>
              <w:rPr>
                <w:sz w:val="18"/>
              </w:rPr>
            </w:pPr>
            <w:r>
              <w:rPr>
                <w:color w:val="231F20"/>
                <w:sz w:val="18"/>
              </w:rPr>
              <w:t>Total</w:t>
            </w:r>
          </w:p>
        </w:tc>
        <w:tc>
          <w:tcPr>
            <w:tcW w:w="1584" w:type="dxa"/>
            <w:tcBorders>
              <w:top w:val="single" w:sz="4" w:space="0" w:color="231F20"/>
              <w:bottom w:val="single" w:sz="4" w:space="0" w:color="231F20"/>
            </w:tcBorders>
            <w:shd w:val="clear" w:color="auto" w:fill="D1D3D4"/>
          </w:tcPr>
          <w:p>
            <w:pPr>
              <w:pStyle w:val="TableParagraph"/>
              <w:spacing w:before="92"/>
              <w:ind w:right="88"/>
              <w:jc w:val="right"/>
              <w:rPr>
                <w:sz w:val="18"/>
              </w:rPr>
            </w:pPr>
            <w:r>
              <w:rPr>
                <w:color w:val="231F20"/>
                <w:sz w:val="18"/>
              </w:rPr>
              <w:t>6,433,297</w:t>
            </w:r>
          </w:p>
        </w:tc>
        <w:tc>
          <w:tcPr>
            <w:tcW w:w="2028" w:type="dxa"/>
            <w:tcBorders>
              <w:top w:val="single" w:sz="4" w:space="0" w:color="231F20"/>
              <w:bottom w:val="single" w:sz="4" w:space="0" w:color="231F20"/>
            </w:tcBorders>
            <w:shd w:val="clear" w:color="auto" w:fill="D1D3D4"/>
          </w:tcPr>
          <w:p>
            <w:pPr/>
          </w:p>
        </w:tc>
        <w:tc>
          <w:tcPr>
            <w:tcW w:w="1306" w:type="dxa"/>
            <w:tcBorders>
              <w:top w:val="single" w:sz="4" w:space="0" w:color="231F20"/>
              <w:bottom w:val="single" w:sz="4" w:space="0" w:color="231F20"/>
            </w:tcBorders>
            <w:shd w:val="clear" w:color="auto" w:fill="D1D3D4"/>
          </w:tcPr>
          <w:p>
            <w:pPr>
              <w:pStyle w:val="TableParagraph"/>
              <w:spacing w:before="92"/>
              <w:ind w:right="88"/>
              <w:jc w:val="right"/>
              <w:rPr>
                <w:sz w:val="18"/>
              </w:rPr>
            </w:pPr>
            <w:r>
              <w:rPr>
                <w:color w:val="231F20"/>
                <w:sz w:val="18"/>
              </w:rPr>
              <w:t>6,433,297</w:t>
            </w:r>
          </w:p>
        </w:tc>
        <w:tc>
          <w:tcPr>
            <w:tcW w:w="2322" w:type="dxa"/>
            <w:shd w:val="clear" w:color="auto" w:fill="D1D3D4"/>
          </w:tcPr>
          <w:p>
            <w:pPr/>
          </w:p>
        </w:tc>
      </w:tr>
    </w:tbl>
    <w:p>
      <w:pPr>
        <w:pStyle w:val="BodyText"/>
        <w:rPr>
          <w:b/>
          <w:sz w:val="17"/>
        </w:rPr>
      </w:pPr>
    </w:p>
    <w:p>
      <w:pPr>
        <w:pStyle w:val="ListParagraph"/>
        <w:numPr>
          <w:ilvl w:val="0"/>
          <w:numId w:val="7"/>
        </w:numPr>
        <w:tabs>
          <w:tab w:pos="700" w:val="left" w:leader="none"/>
        </w:tabs>
        <w:spacing w:line="249" w:lineRule="auto" w:before="93" w:after="0"/>
        <w:ind w:left="700" w:right="238" w:hanging="600"/>
        <w:jc w:val="both"/>
        <w:rPr>
          <w:sz w:val="20"/>
        </w:rPr>
      </w:pPr>
      <w:r>
        <w:rPr/>
        <w:pict>
          <v:line style="position:absolute;mso-position-horizontal-relative:page;mso-position-vertical-relative:paragraph;z-index:-377560" from="169.5pt,-12.264063pt" to="248.7pt,-12.264063pt" stroked="true" strokeweight=".5pt" strokecolor="#231f20">
            <v:stroke dashstyle="solid"/>
            <w10:wrap type="none"/>
          </v:line>
        </w:pict>
      </w:r>
      <w:r>
        <w:rPr/>
        <w:pict>
          <v:line style="position:absolute;mso-position-horizontal-relative:page;mso-position-vertical-relative:paragraph;z-index:-377536" from="317.799988pt,-12.264063pt" to="415.399988pt,-12.264063pt" stroked="true" strokeweight=".5pt" strokecolor="#231f20">
            <v:stroke dashstyle="solid"/>
            <w10:wrap type="none"/>
          </v:line>
        </w:pict>
      </w:r>
      <w:r>
        <w:rPr>
          <w:color w:val="231F20"/>
          <w:sz w:val="20"/>
        </w:rPr>
        <w:t>On May 18, 2016, the Company’s Board of Directors authorized the repurchase of up to $2.0 billion of  the Company’s common stock. Repurchases are made in accordance with applicable securities laws in open market, private, or accelerated repurchase transactions from time to time, depending on market conditions, and may be discontinued at any</w:t>
      </w:r>
      <w:r>
        <w:rPr>
          <w:color w:val="231F20"/>
          <w:spacing w:val="2"/>
          <w:sz w:val="20"/>
        </w:rPr>
        <w:t> </w:t>
      </w:r>
      <w:r>
        <w:rPr>
          <w:color w:val="231F20"/>
          <w:sz w:val="20"/>
        </w:rPr>
        <w:t>time.</w:t>
      </w:r>
    </w:p>
    <w:p>
      <w:pPr>
        <w:pStyle w:val="ListParagraph"/>
        <w:numPr>
          <w:ilvl w:val="0"/>
          <w:numId w:val="7"/>
        </w:numPr>
        <w:tabs>
          <w:tab w:pos="700" w:val="left" w:leader="none"/>
        </w:tabs>
        <w:spacing w:line="249" w:lineRule="auto" w:before="0" w:after="0"/>
        <w:ind w:left="700" w:right="238" w:hanging="600"/>
        <w:jc w:val="both"/>
        <w:rPr>
          <w:sz w:val="20"/>
        </w:rPr>
      </w:pPr>
      <w:r>
        <w:rPr>
          <w:color w:val="231F20"/>
          <w:sz w:val="20"/>
        </w:rPr>
        <w:t>Under an accelerated share repurchase program entered into by the Company with a third party financial institution </w:t>
      </w:r>
      <w:r>
        <w:rPr>
          <w:color w:val="231F20"/>
          <w:spacing w:val="33"/>
          <w:sz w:val="20"/>
        </w:rPr>
        <w:t> </w:t>
      </w:r>
      <w:r>
        <w:rPr>
          <w:color w:val="231F20"/>
          <w:sz w:val="20"/>
        </w:rPr>
        <w:t>in </w:t>
      </w:r>
      <w:r>
        <w:rPr>
          <w:color w:val="231F20"/>
          <w:spacing w:val="31"/>
          <w:sz w:val="20"/>
        </w:rPr>
        <w:t> </w:t>
      </w:r>
      <w:r>
        <w:rPr>
          <w:color w:val="231F20"/>
          <w:sz w:val="20"/>
        </w:rPr>
        <w:t>third </w:t>
      </w:r>
      <w:r>
        <w:rPr>
          <w:color w:val="231F20"/>
          <w:spacing w:val="32"/>
          <w:sz w:val="20"/>
        </w:rPr>
        <w:t> </w:t>
      </w:r>
      <w:r>
        <w:rPr>
          <w:color w:val="231F20"/>
          <w:sz w:val="20"/>
        </w:rPr>
        <w:t>quarter </w:t>
      </w:r>
      <w:r>
        <w:rPr>
          <w:color w:val="231F20"/>
          <w:spacing w:val="31"/>
          <w:sz w:val="20"/>
        </w:rPr>
        <w:t> </w:t>
      </w:r>
      <w:r>
        <w:rPr>
          <w:color w:val="231F20"/>
          <w:sz w:val="20"/>
        </w:rPr>
        <w:t>2016 </w:t>
      </w:r>
      <w:r>
        <w:rPr>
          <w:color w:val="231F20"/>
          <w:spacing w:val="30"/>
          <w:sz w:val="20"/>
        </w:rPr>
        <w:t> </w:t>
      </w:r>
      <w:r>
        <w:rPr>
          <w:color w:val="231F20"/>
          <w:sz w:val="20"/>
        </w:rPr>
        <w:t>(the </w:t>
      </w:r>
      <w:r>
        <w:rPr>
          <w:color w:val="231F20"/>
          <w:spacing w:val="31"/>
          <w:sz w:val="20"/>
        </w:rPr>
        <w:t> </w:t>
      </w:r>
      <w:r>
        <w:rPr>
          <w:color w:val="231F20"/>
          <w:sz w:val="20"/>
        </w:rPr>
        <w:t>“Third </w:t>
      </w:r>
      <w:r>
        <w:rPr>
          <w:color w:val="231F20"/>
          <w:spacing w:val="30"/>
          <w:sz w:val="20"/>
        </w:rPr>
        <w:t> </w:t>
      </w:r>
      <w:r>
        <w:rPr>
          <w:color w:val="231F20"/>
          <w:sz w:val="20"/>
        </w:rPr>
        <w:t>Quarter </w:t>
      </w:r>
      <w:r>
        <w:rPr>
          <w:color w:val="231F20"/>
          <w:spacing w:val="31"/>
          <w:sz w:val="20"/>
        </w:rPr>
        <w:t> </w:t>
      </w:r>
      <w:r>
        <w:rPr>
          <w:color w:val="231F20"/>
          <w:sz w:val="20"/>
        </w:rPr>
        <w:t>2016 </w:t>
      </w:r>
      <w:r>
        <w:rPr>
          <w:color w:val="231F20"/>
          <w:spacing w:val="30"/>
          <w:sz w:val="20"/>
        </w:rPr>
        <w:t> </w:t>
      </w:r>
      <w:r>
        <w:rPr>
          <w:color w:val="231F20"/>
          <w:sz w:val="20"/>
        </w:rPr>
        <w:t>ASR </w:t>
      </w:r>
      <w:r>
        <w:rPr>
          <w:color w:val="231F20"/>
          <w:spacing w:val="29"/>
          <w:sz w:val="20"/>
        </w:rPr>
        <w:t> </w:t>
      </w:r>
      <w:r>
        <w:rPr>
          <w:color w:val="231F20"/>
          <w:sz w:val="20"/>
        </w:rPr>
        <w:t>Program”), </w:t>
      </w:r>
      <w:r>
        <w:rPr>
          <w:color w:val="231F20"/>
          <w:spacing w:val="31"/>
          <w:sz w:val="20"/>
        </w:rPr>
        <w:t> </w:t>
      </w:r>
      <w:r>
        <w:rPr>
          <w:color w:val="231F20"/>
          <w:sz w:val="20"/>
        </w:rPr>
        <w:t>the </w:t>
      </w:r>
      <w:r>
        <w:rPr>
          <w:color w:val="231F20"/>
          <w:spacing w:val="30"/>
          <w:sz w:val="20"/>
        </w:rPr>
        <w:t> </w:t>
      </w:r>
      <w:r>
        <w:rPr>
          <w:color w:val="231F20"/>
          <w:sz w:val="20"/>
        </w:rPr>
        <w:t>Company </w:t>
      </w:r>
      <w:r>
        <w:rPr>
          <w:color w:val="231F20"/>
          <w:spacing w:val="30"/>
          <w:sz w:val="20"/>
        </w:rPr>
        <w:t> </w:t>
      </w:r>
      <w:r>
        <w:rPr>
          <w:color w:val="231F20"/>
          <w:sz w:val="20"/>
        </w:rPr>
        <w:t>paid</w:t>
      </w:r>
    </w:p>
    <w:p>
      <w:pPr>
        <w:spacing w:line="249" w:lineRule="auto" w:before="0"/>
        <w:ind w:left="700" w:right="236" w:firstLine="0"/>
        <w:jc w:val="both"/>
        <w:rPr>
          <w:sz w:val="20"/>
        </w:rPr>
      </w:pPr>
      <w:r>
        <w:rPr>
          <w:color w:val="231F20"/>
          <w:sz w:val="20"/>
        </w:rPr>
        <w:t>$250 million and received an initial delivery of 4,956,384 shares during third quarter 2016, representing an estimated 75 percent of the shares to be purchased by the Company under the Third Quarter 2016 ASR Program based on a price of $37.83 per share, which was the closing price of the Company’s common stock on the New York Stock Exchange on July 22, 2016. Final settlement of this Third Quarter 2016 ASR Program occurred in October 2016 and was determined based generally on a discount to the volume-weighted average price per share of the Company’s common stock during a calculation period completed in October 2016. Upon settlement, the third party financial institution delivered 1,709,877 additional shares of the Company’s common stock to the Company. In total, the average purchase price per share for the 6,666,261 shares repurchased under the Third Quarter 2016 ASR Program, upon completion of the Third Quarter 2016 ASR Program in October 2016, was</w:t>
      </w:r>
      <w:r>
        <w:rPr>
          <w:color w:val="231F20"/>
          <w:spacing w:val="3"/>
          <w:sz w:val="20"/>
        </w:rPr>
        <w:t> </w:t>
      </w:r>
      <w:r>
        <w:rPr>
          <w:color w:val="231F20"/>
          <w:sz w:val="20"/>
        </w:rPr>
        <w:t>$37.5023.</w:t>
      </w:r>
    </w:p>
    <w:p>
      <w:pPr>
        <w:pStyle w:val="ListParagraph"/>
        <w:numPr>
          <w:ilvl w:val="0"/>
          <w:numId w:val="7"/>
        </w:numPr>
        <w:tabs>
          <w:tab w:pos="700" w:val="left" w:leader="none"/>
        </w:tabs>
        <w:spacing w:line="249" w:lineRule="auto" w:before="0" w:after="0"/>
        <w:ind w:left="700" w:right="238" w:hanging="600"/>
        <w:jc w:val="both"/>
        <w:rPr>
          <w:sz w:val="20"/>
        </w:rPr>
      </w:pPr>
      <w:r>
        <w:rPr>
          <w:color w:val="231F20"/>
          <w:sz w:val="20"/>
        </w:rPr>
        <w:t>Under an accelerated share repurchase program entered into by the Company with a third party financial institution  in  fourth  quarter  2016  (the  “Fourth  Quarter  2016  ASR  Program”),  the  Company    </w:t>
      </w:r>
      <w:r>
        <w:rPr>
          <w:color w:val="231F20"/>
          <w:spacing w:val="49"/>
          <w:sz w:val="20"/>
        </w:rPr>
        <w:t> </w:t>
      </w:r>
      <w:r>
        <w:rPr>
          <w:color w:val="231F20"/>
          <w:sz w:val="20"/>
        </w:rPr>
        <w:t>paid</w:t>
      </w:r>
    </w:p>
    <w:p>
      <w:pPr>
        <w:spacing w:line="249" w:lineRule="auto" w:before="0"/>
        <w:ind w:left="700" w:right="238" w:firstLine="0"/>
        <w:jc w:val="both"/>
        <w:rPr>
          <w:sz w:val="20"/>
        </w:rPr>
      </w:pPr>
      <w:r>
        <w:rPr>
          <w:color w:val="231F20"/>
          <w:sz w:val="20"/>
        </w:rPr>
        <w:t>$300 million in November 2016 and received an initial delivery of 4,723,420 shares during December 2016, representing an estimated 75 percent of the shares to be purchased by the Company under the Fourth Quarter 2016 ASR Program based on a volume-weighted average price of $47.6350 per share of the Company’s common stock on the New York Stock Exchange during a calculation period between November 18, 2016 and December 8, 2016. The specific number of shares that the Company ultimately will repurchase under the Fourth Quarter 2016 ASR Program will be determined based generally on a discount to the volume-weighted average price per share of the Company’s common stock during a calculation period to be completed in February 2017. At settlement, under certain circumstances, the   third party financial institution may be required to deliver additional shares of common stock to the Company, or under certain circumstances, the Company may be required to deliver shares of its common stock or may elect to make a cash payment to the third party financial</w:t>
      </w:r>
      <w:r>
        <w:rPr>
          <w:color w:val="231F20"/>
          <w:spacing w:val="7"/>
          <w:sz w:val="20"/>
        </w:rPr>
        <w:t> </w:t>
      </w:r>
      <w:r>
        <w:rPr>
          <w:color w:val="231F20"/>
          <w:sz w:val="20"/>
        </w:rPr>
        <w:t>institution.</w:t>
      </w:r>
    </w:p>
    <w:p>
      <w:pPr>
        <w:spacing w:after="0" w:line="249" w:lineRule="auto"/>
        <w:jc w:val="both"/>
        <w:rPr>
          <w:sz w:val="20"/>
        </w:rPr>
        <w:sectPr>
          <w:type w:val="continuous"/>
          <w:pgSz w:w="11880" w:h="15480"/>
          <w:pgMar w:top="1260" w:bottom="280" w:left="1280" w:right="1140"/>
        </w:sectPr>
      </w:pPr>
    </w:p>
    <w:p>
      <w:pPr>
        <w:spacing w:before="74"/>
        <w:ind w:left="100" w:right="0" w:firstLine="0"/>
        <w:jc w:val="both"/>
        <w:rPr>
          <w:b/>
          <w:i/>
          <w:sz w:val="22"/>
        </w:rPr>
      </w:pPr>
      <w:r>
        <w:rPr/>
        <w:pict>
          <v:line style="position:absolute;mso-position-horizontal-relative:page;mso-position-vertical-relative:page;z-index:-377512" from="259pt,306.75pt" to="309pt,306.75pt" stroked="true" strokeweight=".5pt" strokecolor="#231f20">
            <v:stroke dashstyle="solid"/>
            <w10:wrap type="none"/>
          </v:line>
        </w:pict>
      </w:r>
      <w:r>
        <w:rPr/>
        <w:pict>
          <v:line style="position:absolute;mso-position-horizontal-relative:page;mso-position-vertical-relative:page;z-index:-377488" from="313pt,306.75pt" to="363pt,306.75pt" stroked="true" strokeweight=".5pt" strokecolor="#231f20">
            <v:stroke dashstyle="solid"/>
            <w10:wrap type="none"/>
          </v:line>
        </w:pict>
      </w:r>
      <w:r>
        <w:rPr/>
        <w:pict>
          <v:line style="position:absolute;mso-position-horizontal-relative:page;mso-position-vertical-relative:page;z-index:-377464" from="367pt,306.75pt" to="417pt,306.75pt" stroked="true" strokeweight=".5pt" strokecolor="#231f20">
            <v:stroke dashstyle="solid"/>
            <w10:wrap type="none"/>
          </v:line>
        </w:pict>
      </w:r>
      <w:r>
        <w:rPr/>
        <w:pict>
          <v:line style="position:absolute;mso-position-horizontal-relative:page;mso-position-vertical-relative:page;z-index:-377440" from="421pt,306.75pt" to="471pt,306.75pt" stroked="true" strokeweight=".5pt" strokecolor="#231f20">
            <v:stroke dashstyle="solid"/>
            <w10:wrap type="none"/>
          </v:line>
        </w:pict>
      </w:r>
      <w:r>
        <w:rPr/>
        <w:pict>
          <v:line style="position:absolute;mso-position-horizontal-relative:page;mso-position-vertical-relative:page;z-index:-377416" from="475pt,306.75pt" to="525pt,306.75pt" stroked="true" strokeweight=".5pt" strokecolor="#231f20">
            <v:stroke dashstyle="solid"/>
            <w10:wrap type="none"/>
          </v:line>
        </w:pict>
      </w:r>
      <w:bookmarkStart w:name="Item 6. Selected Financial Data " w:id="14"/>
      <w:bookmarkEnd w:id="14"/>
      <w:r>
        <w:rPr/>
      </w:r>
      <w:r>
        <w:rPr>
          <w:b/>
          <w:color w:val="231F20"/>
          <w:sz w:val="22"/>
        </w:rPr>
        <w:t>Item 6.      </w:t>
      </w:r>
      <w:r>
        <w:rPr>
          <w:b/>
          <w:i/>
          <w:color w:val="231F20"/>
          <w:sz w:val="22"/>
        </w:rPr>
        <w:t>Selected Financial Data</w:t>
      </w:r>
    </w:p>
    <w:p>
      <w:pPr>
        <w:pStyle w:val="BodyText"/>
        <w:spacing w:before="10"/>
        <w:rPr>
          <w:b/>
          <w:i/>
          <w:sz w:val="20"/>
        </w:rPr>
      </w:pPr>
    </w:p>
    <w:p>
      <w:pPr>
        <w:pStyle w:val="BodyText"/>
        <w:spacing w:line="247" w:lineRule="auto"/>
        <w:ind w:left="100" w:right="117"/>
        <w:jc w:val="both"/>
      </w:pPr>
      <w:r>
        <w:rPr>
          <w:color w:val="231F20"/>
        </w:rPr>
        <w:t>The following financial information, for the five years ended December 31, 2016, has been derived from the Company’s Consolidated Financial Statements. This information should be viewed in conjunction with the Consolidated Financial Statements and related notes thereto included elsewhere herein. The Company provides the operating data below because these statistics are commonly used in the airline industry and, therefore, allow readers to compare the Company’s performance against its results for prior periods, as well as against the performance of the Company’s peers.</w:t>
      </w:r>
    </w:p>
    <w:p>
      <w:pPr>
        <w:pStyle w:val="BodyText"/>
        <w:spacing w:before="5"/>
        <w:rPr>
          <w:sz w:val="16"/>
        </w:rPr>
      </w:pPr>
    </w:p>
    <w:p>
      <w:pPr>
        <w:spacing w:before="0" w:after="35"/>
        <w:ind w:left="5680" w:right="0" w:firstLine="0"/>
        <w:jc w:val="left"/>
        <w:rPr>
          <w:b/>
          <w:sz w:val="16"/>
        </w:rPr>
      </w:pPr>
      <w:r>
        <w:rPr>
          <w:b/>
          <w:color w:val="231F20"/>
          <w:sz w:val="16"/>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73"/>
        <w:gridCol w:w="1027"/>
        <w:gridCol w:w="1080"/>
        <w:gridCol w:w="1080"/>
        <w:gridCol w:w="1080"/>
        <w:gridCol w:w="1080"/>
      </w:tblGrid>
      <w:tr>
        <w:trPr>
          <w:trHeight w:val="240" w:hRule="exact"/>
        </w:trPr>
        <w:tc>
          <w:tcPr>
            <w:tcW w:w="3773" w:type="dxa"/>
          </w:tcPr>
          <w:p>
            <w:pPr/>
          </w:p>
        </w:tc>
        <w:tc>
          <w:tcPr>
            <w:tcW w:w="1027" w:type="dxa"/>
            <w:tcBorders>
              <w:top w:val="single" w:sz="8" w:space="0" w:color="231F20"/>
              <w:bottom w:val="single" w:sz="8" w:space="0" w:color="231F20"/>
            </w:tcBorders>
          </w:tcPr>
          <w:p>
            <w:pPr>
              <w:pStyle w:val="TableParagraph"/>
              <w:spacing w:before="10"/>
              <w:ind w:left="366"/>
              <w:rPr>
                <w:b/>
                <w:sz w:val="16"/>
              </w:rPr>
            </w:pPr>
            <w:r>
              <w:rPr>
                <w:b/>
                <w:color w:val="231F20"/>
                <w:sz w:val="16"/>
              </w:rPr>
              <w:t>2016</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2015</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2014</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2013</w:t>
            </w:r>
          </w:p>
        </w:tc>
        <w:tc>
          <w:tcPr>
            <w:tcW w:w="1080" w:type="dxa"/>
            <w:tcBorders>
              <w:top w:val="single" w:sz="8" w:space="0" w:color="231F20"/>
              <w:bottom w:val="single" w:sz="8" w:space="0" w:color="231F20"/>
            </w:tcBorders>
          </w:tcPr>
          <w:p>
            <w:pPr>
              <w:pStyle w:val="TableParagraph"/>
              <w:spacing w:before="10"/>
              <w:ind w:left="420"/>
              <w:rPr>
                <w:b/>
                <w:sz w:val="16"/>
              </w:rPr>
            </w:pPr>
            <w:r>
              <w:rPr>
                <w:b/>
                <w:color w:val="231F20"/>
                <w:sz w:val="16"/>
              </w:rPr>
              <w:t>2012</w:t>
            </w:r>
          </w:p>
        </w:tc>
      </w:tr>
      <w:tr>
        <w:trPr>
          <w:trHeight w:val="264" w:hRule="exact"/>
        </w:trPr>
        <w:tc>
          <w:tcPr>
            <w:tcW w:w="3773" w:type="dxa"/>
            <w:shd w:val="clear" w:color="auto" w:fill="D1D3D4"/>
          </w:tcPr>
          <w:p>
            <w:pPr>
              <w:pStyle w:val="TableParagraph"/>
              <w:spacing w:before="44"/>
              <w:rPr>
                <w:b/>
                <w:sz w:val="16"/>
              </w:rPr>
            </w:pPr>
            <w:r>
              <w:rPr>
                <w:b/>
                <w:color w:val="231F20"/>
                <w:sz w:val="16"/>
              </w:rPr>
              <w:t>Financial Data (in millions, except per share amounts):</w:t>
            </w:r>
          </w:p>
        </w:tc>
        <w:tc>
          <w:tcPr>
            <w:tcW w:w="1027"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c>
          <w:tcPr>
            <w:tcW w:w="1080" w:type="dxa"/>
            <w:tcBorders>
              <w:top w:val="single" w:sz="8" w:space="0" w:color="231F20"/>
            </w:tcBorders>
            <w:shd w:val="clear" w:color="auto" w:fill="D1D3D4"/>
          </w:tcPr>
          <w:p>
            <w:pPr/>
          </w:p>
        </w:tc>
      </w:tr>
      <w:tr>
        <w:trPr>
          <w:trHeight w:val="254" w:hRule="exact"/>
        </w:trPr>
        <w:tc>
          <w:tcPr>
            <w:tcW w:w="3773" w:type="dxa"/>
          </w:tcPr>
          <w:p>
            <w:pPr>
              <w:pStyle w:val="TableParagraph"/>
              <w:spacing w:before="44"/>
              <w:ind w:left="160"/>
              <w:rPr>
                <w:sz w:val="16"/>
              </w:rPr>
            </w:pPr>
            <w:r>
              <w:rPr>
                <w:color w:val="231F20"/>
                <w:sz w:val="16"/>
              </w:rPr>
              <w:t>Operating revenues</w:t>
            </w:r>
          </w:p>
        </w:tc>
        <w:tc>
          <w:tcPr>
            <w:tcW w:w="1027" w:type="dxa"/>
          </w:tcPr>
          <w:p>
            <w:pPr>
              <w:pStyle w:val="TableParagraph"/>
              <w:tabs>
                <w:tab w:pos="466" w:val="left" w:leader="none"/>
              </w:tabs>
              <w:spacing w:before="44"/>
              <w:ind w:left="26"/>
              <w:rPr>
                <w:sz w:val="16"/>
              </w:rPr>
            </w:pPr>
            <w:r>
              <w:rPr>
                <w:color w:val="231F20"/>
                <w:sz w:val="16"/>
              </w:rPr>
              <w:t>$</w:t>
              <w:tab/>
              <w:t>20,425</w:t>
            </w:r>
          </w:p>
        </w:tc>
        <w:tc>
          <w:tcPr>
            <w:tcW w:w="1080" w:type="dxa"/>
          </w:tcPr>
          <w:p>
            <w:pPr>
              <w:pStyle w:val="TableParagraph"/>
              <w:tabs>
                <w:tab w:pos="519" w:val="left" w:leader="none"/>
              </w:tabs>
              <w:spacing w:before="44"/>
              <w:ind w:left="80"/>
              <w:rPr>
                <w:sz w:val="16"/>
              </w:rPr>
            </w:pPr>
            <w:r>
              <w:rPr>
                <w:color w:val="231F20"/>
                <w:sz w:val="16"/>
              </w:rPr>
              <w:t>$</w:t>
              <w:tab/>
              <w:t>19,820</w:t>
            </w:r>
          </w:p>
        </w:tc>
        <w:tc>
          <w:tcPr>
            <w:tcW w:w="1080" w:type="dxa"/>
          </w:tcPr>
          <w:p>
            <w:pPr>
              <w:pStyle w:val="TableParagraph"/>
              <w:tabs>
                <w:tab w:pos="519" w:val="left" w:leader="none"/>
              </w:tabs>
              <w:spacing w:before="44"/>
              <w:ind w:left="80"/>
              <w:rPr>
                <w:sz w:val="16"/>
              </w:rPr>
            </w:pPr>
            <w:r>
              <w:rPr>
                <w:color w:val="231F20"/>
                <w:sz w:val="16"/>
              </w:rPr>
              <w:t>$</w:t>
              <w:tab/>
              <w:t>18,605</w:t>
            </w:r>
          </w:p>
        </w:tc>
        <w:tc>
          <w:tcPr>
            <w:tcW w:w="1080" w:type="dxa"/>
          </w:tcPr>
          <w:p>
            <w:pPr>
              <w:pStyle w:val="TableParagraph"/>
              <w:tabs>
                <w:tab w:pos="519" w:val="left" w:leader="none"/>
              </w:tabs>
              <w:spacing w:before="44"/>
              <w:ind w:left="80"/>
              <w:rPr>
                <w:sz w:val="16"/>
              </w:rPr>
            </w:pPr>
            <w:r>
              <w:rPr>
                <w:color w:val="231F20"/>
                <w:sz w:val="16"/>
              </w:rPr>
              <w:t>$</w:t>
              <w:tab/>
              <w:t>17,699</w:t>
            </w:r>
          </w:p>
        </w:tc>
        <w:tc>
          <w:tcPr>
            <w:tcW w:w="1080" w:type="dxa"/>
          </w:tcPr>
          <w:p>
            <w:pPr>
              <w:pStyle w:val="TableParagraph"/>
              <w:tabs>
                <w:tab w:pos="519" w:val="left" w:leader="none"/>
              </w:tabs>
              <w:spacing w:before="44"/>
              <w:ind w:left="80"/>
              <w:rPr>
                <w:sz w:val="16"/>
              </w:rPr>
            </w:pPr>
            <w:r>
              <w:rPr>
                <w:color w:val="231F20"/>
                <w:sz w:val="16"/>
              </w:rPr>
              <w:t>$</w:t>
              <w:tab/>
              <w:t>17,088</w:t>
            </w:r>
          </w:p>
        </w:tc>
      </w:tr>
      <w:tr>
        <w:trPr>
          <w:trHeight w:val="269" w:hRule="exact"/>
        </w:trPr>
        <w:tc>
          <w:tcPr>
            <w:tcW w:w="3773" w:type="dxa"/>
            <w:shd w:val="clear" w:color="auto" w:fill="D1D3D4"/>
          </w:tcPr>
          <w:p>
            <w:pPr>
              <w:pStyle w:val="TableParagraph"/>
              <w:spacing w:before="44"/>
              <w:ind w:left="160"/>
              <w:rPr>
                <w:sz w:val="16"/>
              </w:rPr>
            </w:pPr>
            <w:r>
              <w:rPr>
                <w:color w:val="231F20"/>
                <w:sz w:val="16"/>
              </w:rPr>
              <w:t>Operating expenses</w:t>
            </w:r>
          </w:p>
        </w:tc>
        <w:tc>
          <w:tcPr>
            <w:tcW w:w="1027" w:type="dxa"/>
            <w:tcBorders>
              <w:bottom w:val="single" w:sz="4" w:space="0" w:color="231F20"/>
            </w:tcBorders>
            <w:shd w:val="clear" w:color="auto" w:fill="D1D3D4"/>
          </w:tcPr>
          <w:p>
            <w:pPr>
              <w:pStyle w:val="TableParagraph"/>
              <w:spacing w:before="44"/>
              <w:ind w:right="119"/>
              <w:jc w:val="right"/>
              <w:rPr>
                <w:sz w:val="16"/>
              </w:rPr>
            </w:pPr>
            <w:r>
              <w:rPr>
                <w:color w:val="231F20"/>
                <w:sz w:val="16"/>
              </w:rPr>
              <w:t>16,665</w:t>
            </w:r>
          </w:p>
        </w:tc>
        <w:tc>
          <w:tcPr>
            <w:tcW w:w="1080" w:type="dxa"/>
            <w:tcBorders>
              <w:bottom w:val="single" w:sz="4" w:space="0" w:color="231F20"/>
            </w:tcBorders>
            <w:shd w:val="clear" w:color="auto" w:fill="D1D3D4"/>
          </w:tcPr>
          <w:p>
            <w:pPr>
              <w:pStyle w:val="TableParagraph"/>
              <w:spacing w:before="44"/>
              <w:ind w:left="520"/>
              <w:rPr>
                <w:sz w:val="16"/>
              </w:rPr>
            </w:pPr>
            <w:r>
              <w:rPr>
                <w:color w:val="231F20"/>
                <w:sz w:val="16"/>
              </w:rPr>
              <w:t>15,704</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16,380</w:t>
            </w:r>
          </w:p>
        </w:tc>
        <w:tc>
          <w:tcPr>
            <w:tcW w:w="1080" w:type="dxa"/>
            <w:tcBorders>
              <w:bottom w:val="single" w:sz="4" w:space="0" w:color="231F20"/>
            </w:tcBorders>
            <w:shd w:val="clear" w:color="auto" w:fill="D1D3D4"/>
          </w:tcPr>
          <w:p>
            <w:pPr>
              <w:pStyle w:val="TableParagraph"/>
              <w:spacing w:before="44"/>
              <w:ind w:left="520"/>
              <w:rPr>
                <w:sz w:val="16"/>
              </w:rPr>
            </w:pPr>
            <w:r>
              <w:rPr>
                <w:color w:val="231F20"/>
                <w:sz w:val="16"/>
              </w:rPr>
              <w:t>16,421</w:t>
            </w:r>
          </w:p>
        </w:tc>
        <w:tc>
          <w:tcPr>
            <w:tcW w:w="1080" w:type="dxa"/>
            <w:tcBorders>
              <w:bottom w:val="single" w:sz="4" w:space="0" w:color="231F20"/>
            </w:tcBorders>
            <w:shd w:val="clear" w:color="auto" w:fill="D1D3D4"/>
          </w:tcPr>
          <w:p>
            <w:pPr>
              <w:pStyle w:val="TableParagraph"/>
              <w:spacing w:before="44"/>
              <w:ind w:right="118"/>
              <w:jc w:val="right"/>
              <w:rPr>
                <w:sz w:val="16"/>
              </w:rPr>
            </w:pPr>
            <w:r>
              <w:rPr>
                <w:color w:val="231F20"/>
                <w:sz w:val="16"/>
              </w:rPr>
              <w:t>16,465</w:t>
            </w:r>
          </w:p>
        </w:tc>
      </w:tr>
      <w:tr>
        <w:trPr>
          <w:trHeight w:val="259" w:hRule="exact"/>
        </w:trPr>
        <w:tc>
          <w:tcPr>
            <w:tcW w:w="3773" w:type="dxa"/>
          </w:tcPr>
          <w:p>
            <w:pPr>
              <w:pStyle w:val="TableParagraph"/>
              <w:spacing w:before="64"/>
              <w:ind w:left="160"/>
              <w:rPr>
                <w:sz w:val="16"/>
              </w:rPr>
            </w:pPr>
            <w:r>
              <w:rPr>
                <w:color w:val="231F20"/>
                <w:sz w:val="16"/>
              </w:rPr>
              <w:t>Operating income</w:t>
            </w:r>
          </w:p>
        </w:tc>
        <w:tc>
          <w:tcPr>
            <w:tcW w:w="1027" w:type="dxa"/>
            <w:tcBorders>
              <w:top w:val="single" w:sz="4" w:space="0" w:color="231F20"/>
            </w:tcBorders>
          </w:tcPr>
          <w:p>
            <w:pPr>
              <w:pStyle w:val="TableParagraph"/>
              <w:spacing w:before="44"/>
              <w:ind w:right="119"/>
              <w:jc w:val="right"/>
              <w:rPr>
                <w:sz w:val="16"/>
              </w:rPr>
            </w:pPr>
            <w:r>
              <w:rPr>
                <w:color w:val="231F20"/>
                <w:sz w:val="16"/>
              </w:rPr>
              <w:t>3,760</w:t>
            </w:r>
          </w:p>
        </w:tc>
        <w:tc>
          <w:tcPr>
            <w:tcW w:w="1080" w:type="dxa"/>
            <w:tcBorders>
              <w:top w:val="single" w:sz="4" w:space="0" w:color="231F20"/>
            </w:tcBorders>
          </w:tcPr>
          <w:p>
            <w:pPr>
              <w:pStyle w:val="TableParagraph"/>
              <w:spacing w:before="44"/>
              <w:ind w:left="600"/>
              <w:rPr>
                <w:sz w:val="16"/>
              </w:rPr>
            </w:pPr>
            <w:r>
              <w:rPr>
                <w:color w:val="231F20"/>
                <w:sz w:val="16"/>
              </w:rPr>
              <w:t>4,116</w:t>
            </w:r>
          </w:p>
        </w:tc>
        <w:tc>
          <w:tcPr>
            <w:tcW w:w="1080" w:type="dxa"/>
            <w:tcBorders>
              <w:top w:val="single" w:sz="4" w:space="0" w:color="231F20"/>
            </w:tcBorders>
          </w:tcPr>
          <w:p>
            <w:pPr>
              <w:pStyle w:val="TableParagraph"/>
              <w:spacing w:before="44"/>
              <w:ind w:right="119"/>
              <w:jc w:val="right"/>
              <w:rPr>
                <w:sz w:val="16"/>
              </w:rPr>
            </w:pPr>
            <w:r>
              <w:rPr>
                <w:color w:val="231F20"/>
                <w:sz w:val="16"/>
              </w:rPr>
              <w:t>2,225</w:t>
            </w:r>
          </w:p>
        </w:tc>
        <w:tc>
          <w:tcPr>
            <w:tcW w:w="1080" w:type="dxa"/>
            <w:tcBorders>
              <w:top w:val="single" w:sz="4" w:space="0" w:color="231F20"/>
            </w:tcBorders>
          </w:tcPr>
          <w:p>
            <w:pPr>
              <w:pStyle w:val="TableParagraph"/>
              <w:spacing w:before="44"/>
              <w:ind w:left="600"/>
              <w:rPr>
                <w:sz w:val="16"/>
              </w:rPr>
            </w:pPr>
            <w:r>
              <w:rPr>
                <w:color w:val="231F20"/>
                <w:sz w:val="16"/>
              </w:rPr>
              <w:t>1,278</w:t>
            </w:r>
          </w:p>
        </w:tc>
        <w:tc>
          <w:tcPr>
            <w:tcW w:w="1080" w:type="dxa"/>
            <w:tcBorders>
              <w:top w:val="single" w:sz="4" w:space="0" w:color="231F20"/>
            </w:tcBorders>
          </w:tcPr>
          <w:p>
            <w:pPr>
              <w:pStyle w:val="TableParagraph"/>
              <w:spacing w:before="44"/>
              <w:ind w:right="118"/>
              <w:jc w:val="right"/>
              <w:rPr>
                <w:sz w:val="16"/>
              </w:rPr>
            </w:pPr>
            <w:r>
              <w:rPr>
                <w:color w:val="231F20"/>
                <w:sz w:val="16"/>
              </w:rPr>
              <w:t>623</w:t>
            </w:r>
          </w:p>
        </w:tc>
      </w:tr>
      <w:tr>
        <w:trPr>
          <w:trHeight w:val="269" w:hRule="exact"/>
        </w:trPr>
        <w:tc>
          <w:tcPr>
            <w:tcW w:w="3773" w:type="dxa"/>
            <w:shd w:val="clear" w:color="auto" w:fill="D1D3D4"/>
          </w:tcPr>
          <w:p>
            <w:pPr>
              <w:pStyle w:val="TableParagraph"/>
              <w:spacing w:before="44"/>
              <w:ind w:left="160"/>
              <w:rPr>
                <w:sz w:val="16"/>
              </w:rPr>
            </w:pPr>
            <w:r>
              <w:rPr>
                <w:color w:val="231F20"/>
                <w:sz w:val="16"/>
              </w:rPr>
              <w:t>Other expenses (income) net</w:t>
            </w:r>
          </w:p>
        </w:tc>
        <w:tc>
          <w:tcPr>
            <w:tcW w:w="1027" w:type="dxa"/>
            <w:tcBorders>
              <w:bottom w:val="single" w:sz="4" w:space="0" w:color="231F20"/>
            </w:tcBorders>
            <w:shd w:val="clear" w:color="auto" w:fill="D1D3D4"/>
          </w:tcPr>
          <w:p>
            <w:pPr>
              <w:pStyle w:val="TableParagraph"/>
              <w:spacing w:before="44"/>
              <w:ind w:right="119"/>
              <w:jc w:val="right"/>
              <w:rPr>
                <w:sz w:val="16"/>
              </w:rPr>
            </w:pPr>
            <w:r>
              <w:rPr>
                <w:color w:val="231F20"/>
                <w:sz w:val="16"/>
              </w:rPr>
              <w:t>213</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637</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409</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69</w:t>
            </w:r>
          </w:p>
        </w:tc>
        <w:tc>
          <w:tcPr>
            <w:tcW w:w="1080" w:type="dxa"/>
            <w:tcBorders>
              <w:bottom w:val="single" w:sz="4" w:space="0" w:color="231F20"/>
            </w:tcBorders>
            <w:shd w:val="clear" w:color="auto" w:fill="D1D3D4"/>
          </w:tcPr>
          <w:p>
            <w:pPr>
              <w:pStyle w:val="TableParagraph"/>
              <w:spacing w:before="44"/>
              <w:ind w:right="117"/>
              <w:jc w:val="right"/>
              <w:rPr>
                <w:sz w:val="16"/>
              </w:rPr>
            </w:pPr>
            <w:r>
              <w:rPr>
                <w:color w:val="231F20"/>
                <w:sz w:val="16"/>
              </w:rPr>
              <w:t>(62)</w:t>
            </w:r>
          </w:p>
        </w:tc>
      </w:tr>
      <w:tr>
        <w:trPr>
          <w:trHeight w:val="259" w:hRule="exact"/>
        </w:trPr>
        <w:tc>
          <w:tcPr>
            <w:tcW w:w="3773" w:type="dxa"/>
          </w:tcPr>
          <w:p>
            <w:pPr>
              <w:pStyle w:val="TableParagraph"/>
              <w:spacing w:before="64"/>
              <w:ind w:left="160"/>
              <w:rPr>
                <w:sz w:val="16"/>
              </w:rPr>
            </w:pPr>
            <w:r>
              <w:rPr>
                <w:color w:val="231F20"/>
                <w:sz w:val="16"/>
              </w:rPr>
              <w:t>Income before taxes</w:t>
            </w:r>
          </w:p>
        </w:tc>
        <w:tc>
          <w:tcPr>
            <w:tcW w:w="1027" w:type="dxa"/>
            <w:tcBorders>
              <w:top w:val="single" w:sz="4" w:space="0" w:color="231F20"/>
            </w:tcBorders>
          </w:tcPr>
          <w:p>
            <w:pPr>
              <w:pStyle w:val="TableParagraph"/>
              <w:spacing w:before="44"/>
              <w:ind w:right="119"/>
              <w:jc w:val="right"/>
              <w:rPr>
                <w:sz w:val="16"/>
              </w:rPr>
            </w:pPr>
            <w:r>
              <w:rPr>
                <w:color w:val="231F20"/>
                <w:sz w:val="16"/>
              </w:rPr>
              <w:t>3,547</w:t>
            </w:r>
          </w:p>
        </w:tc>
        <w:tc>
          <w:tcPr>
            <w:tcW w:w="1080" w:type="dxa"/>
            <w:tcBorders>
              <w:top w:val="single" w:sz="4" w:space="0" w:color="231F20"/>
            </w:tcBorders>
          </w:tcPr>
          <w:p>
            <w:pPr>
              <w:pStyle w:val="TableParagraph"/>
              <w:spacing w:before="44"/>
              <w:ind w:left="600"/>
              <w:rPr>
                <w:sz w:val="16"/>
              </w:rPr>
            </w:pPr>
            <w:r>
              <w:rPr>
                <w:color w:val="231F20"/>
                <w:sz w:val="16"/>
              </w:rPr>
              <w:t>3,479</w:t>
            </w:r>
          </w:p>
        </w:tc>
        <w:tc>
          <w:tcPr>
            <w:tcW w:w="1080" w:type="dxa"/>
            <w:tcBorders>
              <w:top w:val="single" w:sz="4" w:space="0" w:color="231F20"/>
            </w:tcBorders>
          </w:tcPr>
          <w:p>
            <w:pPr>
              <w:pStyle w:val="TableParagraph"/>
              <w:spacing w:before="44"/>
              <w:ind w:right="119"/>
              <w:jc w:val="right"/>
              <w:rPr>
                <w:sz w:val="16"/>
              </w:rPr>
            </w:pPr>
            <w:r>
              <w:rPr>
                <w:color w:val="231F20"/>
                <w:sz w:val="16"/>
              </w:rPr>
              <w:t>1,816</w:t>
            </w:r>
          </w:p>
        </w:tc>
        <w:tc>
          <w:tcPr>
            <w:tcW w:w="1080" w:type="dxa"/>
            <w:tcBorders>
              <w:top w:val="single" w:sz="4" w:space="0" w:color="231F20"/>
            </w:tcBorders>
          </w:tcPr>
          <w:p>
            <w:pPr>
              <w:pStyle w:val="TableParagraph"/>
              <w:spacing w:before="44"/>
              <w:ind w:left="600"/>
              <w:rPr>
                <w:sz w:val="16"/>
              </w:rPr>
            </w:pPr>
            <w:r>
              <w:rPr>
                <w:color w:val="231F20"/>
                <w:sz w:val="16"/>
              </w:rPr>
              <w:t>1,209</w:t>
            </w:r>
          </w:p>
        </w:tc>
        <w:tc>
          <w:tcPr>
            <w:tcW w:w="1080" w:type="dxa"/>
            <w:tcBorders>
              <w:top w:val="single" w:sz="4" w:space="0" w:color="231F20"/>
            </w:tcBorders>
          </w:tcPr>
          <w:p>
            <w:pPr>
              <w:pStyle w:val="TableParagraph"/>
              <w:spacing w:before="44"/>
              <w:ind w:right="118"/>
              <w:jc w:val="right"/>
              <w:rPr>
                <w:sz w:val="16"/>
              </w:rPr>
            </w:pPr>
            <w:r>
              <w:rPr>
                <w:color w:val="231F20"/>
                <w:sz w:val="16"/>
              </w:rPr>
              <w:t>685</w:t>
            </w:r>
          </w:p>
        </w:tc>
      </w:tr>
      <w:tr>
        <w:trPr>
          <w:trHeight w:val="269" w:hRule="exact"/>
        </w:trPr>
        <w:tc>
          <w:tcPr>
            <w:tcW w:w="3773" w:type="dxa"/>
            <w:shd w:val="clear" w:color="auto" w:fill="D1D3D4"/>
          </w:tcPr>
          <w:p>
            <w:pPr>
              <w:pStyle w:val="TableParagraph"/>
              <w:spacing w:before="44"/>
              <w:ind w:left="160"/>
              <w:rPr>
                <w:sz w:val="16"/>
              </w:rPr>
            </w:pPr>
            <w:r>
              <w:rPr>
                <w:color w:val="231F20"/>
                <w:sz w:val="16"/>
              </w:rPr>
              <w:t>Provision for income taxes</w:t>
            </w:r>
          </w:p>
        </w:tc>
        <w:tc>
          <w:tcPr>
            <w:tcW w:w="1027" w:type="dxa"/>
            <w:tcBorders>
              <w:bottom w:val="single" w:sz="4" w:space="0" w:color="231F20"/>
            </w:tcBorders>
            <w:shd w:val="clear" w:color="auto" w:fill="D1D3D4"/>
          </w:tcPr>
          <w:p>
            <w:pPr>
              <w:pStyle w:val="TableParagraph"/>
              <w:spacing w:before="44"/>
              <w:ind w:right="119"/>
              <w:jc w:val="right"/>
              <w:rPr>
                <w:sz w:val="16"/>
              </w:rPr>
            </w:pPr>
            <w:r>
              <w:rPr>
                <w:color w:val="231F20"/>
                <w:sz w:val="16"/>
              </w:rPr>
              <w:t>1,303</w:t>
            </w:r>
          </w:p>
        </w:tc>
        <w:tc>
          <w:tcPr>
            <w:tcW w:w="1080" w:type="dxa"/>
            <w:tcBorders>
              <w:bottom w:val="single" w:sz="4" w:space="0" w:color="231F20"/>
            </w:tcBorders>
            <w:shd w:val="clear" w:color="auto" w:fill="D1D3D4"/>
          </w:tcPr>
          <w:p>
            <w:pPr>
              <w:pStyle w:val="TableParagraph"/>
              <w:spacing w:before="44"/>
              <w:ind w:left="600"/>
              <w:rPr>
                <w:sz w:val="16"/>
              </w:rPr>
            </w:pPr>
            <w:r>
              <w:rPr>
                <w:color w:val="231F20"/>
                <w:sz w:val="16"/>
              </w:rPr>
              <w:t>1,298</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680</w:t>
            </w:r>
          </w:p>
        </w:tc>
        <w:tc>
          <w:tcPr>
            <w:tcW w:w="1080" w:type="dxa"/>
            <w:tcBorders>
              <w:bottom w:val="single" w:sz="4" w:space="0" w:color="231F20"/>
            </w:tcBorders>
            <w:shd w:val="clear" w:color="auto" w:fill="D1D3D4"/>
          </w:tcPr>
          <w:p>
            <w:pPr>
              <w:pStyle w:val="TableParagraph"/>
              <w:spacing w:before="44"/>
              <w:ind w:right="119"/>
              <w:jc w:val="right"/>
              <w:rPr>
                <w:sz w:val="16"/>
              </w:rPr>
            </w:pPr>
            <w:r>
              <w:rPr>
                <w:color w:val="231F20"/>
                <w:sz w:val="16"/>
              </w:rPr>
              <w:t>455</w:t>
            </w:r>
          </w:p>
        </w:tc>
        <w:tc>
          <w:tcPr>
            <w:tcW w:w="1080" w:type="dxa"/>
            <w:tcBorders>
              <w:bottom w:val="single" w:sz="4" w:space="0" w:color="231F20"/>
            </w:tcBorders>
            <w:shd w:val="clear" w:color="auto" w:fill="D1D3D4"/>
          </w:tcPr>
          <w:p>
            <w:pPr>
              <w:pStyle w:val="TableParagraph"/>
              <w:spacing w:before="44"/>
              <w:ind w:right="118"/>
              <w:jc w:val="right"/>
              <w:rPr>
                <w:sz w:val="16"/>
              </w:rPr>
            </w:pPr>
            <w:r>
              <w:rPr>
                <w:color w:val="231F20"/>
                <w:sz w:val="16"/>
              </w:rPr>
              <w:t>264</w:t>
            </w:r>
          </w:p>
        </w:tc>
      </w:tr>
      <w:tr>
        <w:trPr>
          <w:trHeight w:val="314" w:hRule="exact"/>
        </w:trPr>
        <w:tc>
          <w:tcPr>
            <w:tcW w:w="3773" w:type="dxa"/>
          </w:tcPr>
          <w:p>
            <w:pPr>
              <w:pStyle w:val="TableParagraph"/>
              <w:spacing w:before="64"/>
              <w:ind w:left="160"/>
              <w:rPr>
                <w:sz w:val="16"/>
              </w:rPr>
            </w:pPr>
            <w:r>
              <w:rPr>
                <w:color w:val="231F20"/>
                <w:sz w:val="16"/>
              </w:rPr>
              <w:t>Net income</w:t>
            </w:r>
          </w:p>
        </w:tc>
        <w:tc>
          <w:tcPr>
            <w:tcW w:w="1027" w:type="dxa"/>
            <w:tcBorders>
              <w:top w:val="single" w:sz="4" w:space="0" w:color="231F20"/>
              <w:bottom w:val="single" w:sz="4" w:space="0" w:color="231F20"/>
            </w:tcBorders>
          </w:tcPr>
          <w:p>
            <w:pPr>
              <w:pStyle w:val="TableParagraph"/>
              <w:tabs>
                <w:tab w:pos="546" w:val="left" w:leader="none"/>
              </w:tabs>
              <w:spacing w:before="44"/>
              <w:ind w:left="26"/>
              <w:rPr>
                <w:sz w:val="16"/>
              </w:rPr>
            </w:pPr>
            <w:r>
              <w:rPr>
                <w:color w:val="231F20"/>
                <w:sz w:val="16"/>
              </w:rPr>
              <w:t>$</w:t>
              <w:tab/>
              <w:t>2,244</w:t>
            </w:r>
          </w:p>
        </w:tc>
        <w:tc>
          <w:tcPr>
            <w:tcW w:w="1080" w:type="dxa"/>
            <w:tcBorders>
              <w:top w:val="single" w:sz="4" w:space="0" w:color="231F20"/>
              <w:bottom w:val="single" w:sz="4" w:space="0" w:color="231F20"/>
            </w:tcBorders>
          </w:tcPr>
          <w:p>
            <w:pPr>
              <w:pStyle w:val="TableParagraph"/>
              <w:tabs>
                <w:tab w:pos="599" w:val="left" w:leader="none"/>
              </w:tabs>
              <w:spacing w:before="44"/>
              <w:ind w:left="80"/>
              <w:rPr>
                <w:sz w:val="16"/>
              </w:rPr>
            </w:pPr>
            <w:r>
              <w:rPr>
                <w:color w:val="231F20"/>
                <w:sz w:val="16"/>
              </w:rPr>
              <w:t>$</w:t>
              <w:tab/>
              <w:t>2,181</w:t>
            </w:r>
          </w:p>
        </w:tc>
        <w:tc>
          <w:tcPr>
            <w:tcW w:w="1080" w:type="dxa"/>
            <w:tcBorders>
              <w:top w:val="single" w:sz="4" w:space="0" w:color="231F20"/>
              <w:bottom w:val="single" w:sz="4" w:space="0" w:color="231F20"/>
            </w:tcBorders>
          </w:tcPr>
          <w:p>
            <w:pPr>
              <w:pStyle w:val="TableParagraph"/>
              <w:tabs>
                <w:tab w:pos="599" w:val="left" w:leader="none"/>
              </w:tabs>
              <w:spacing w:before="44"/>
              <w:ind w:left="80"/>
              <w:rPr>
                <w:sz w:val="16"/>
              </w:rPr>
            </w:pPr>
            <w:r>
              <w:rPr>
                <w:color w:val="231F20"/>
                <w:sz w:val="16"/>
              </w:rPr>
              <w:t>$</w:t>
              <w:tab/>
              <w:t>1,136</w:t>
            </w:r>
          </w:p>
        </w:tc>
        <w:tc>
          <w:tcPr>
            <w:tcW w:w="1080" w:type="dxa"/>
            <w:tcBorders>
              <w:top w:val="single" w:sz="4" w:space="0" w:color="231F20"/>
              <w:bottom w:val="single" w:sz="4" w:space="0" w:color="231F20"/>
            </w:tcBorders>
          </w:tcPr>
          <w:p>
            <w:pPr>
              <w:pStyle w:val="TableParagraph"/>
              <w:tabs>
                <w:tab w:pos="719" w:val="left" w:leader="none"/>
              </w:tabs>
              <w:spacing w:before="44"/>
              <w:ind w:left="80"/>
              <w:rPr>
                <w:sz w:val="16"/>
              </w:rPr>
            </w:pPr>
            <w:r>
              <w:rPr>
                <w:color w:val="231F20"/>
                <w:sz w:val="16"/>
              </w:rPr>
              <w:t>$</w:t>
              <w:tab/>
              <w:t>754</w:t>
            </w:r>
          </w:p>
        </w:tc>
        <w:tc>
          <w:tcPr>
            <w:tcW w:w="1080" w:type="dxa"/>
            <w:tcBorders>
              <w:top w:val="single" w:sz="4" w:space="0" w:color="231F20"/>
              <w:bottom w:val="single" w:sz="4" w:space="0" w:color="231F20"/>
            </w:tcBorders>
          </w:tcPr>
          <w:p>
            <w:pPr>
              <w:pStyle w:val="TableParagraph"/>
              <w:tabs>
                <w:tab w:pos="719" w:val="left" w:leader="none"/>
              </w:tabs>
              <w:spacing w:before="44"/>
              <w:ind w:left="80"/>
              <w:rPr>
                <w:sz w:val="16"/>
              </w:rPr>
            </w:pPr>
            <w:r>
              <w:rPr>
                <w:color w:val="231F20"/>
                <w:sz w:val="16"/>
              </w:rPr>
              <w:t>$</w:t>
              <w:tab/>
              <w:t>421</w:t>
            </w:r>
          </w:p>
        </w:tc>
      </w:tr>
      <w:tr>
        <w:trPr>
          <w:trHeight w:val="259" w:hRule="exact"/>
        </w:trPr>
        <w:tc>
          <w:tcPr>
            <w:tcW w:w="3773" w:type="dxa"/>
            <w:shd w:val="clear" w:color="auto" w:fill="D1D3D4"/>
          </w:tcPr>
          <w:p>
            <w:pPr>
              <w:pStyle w:val="TableParagraph"/>
              <w:spacing w:before="44"/>
              <w:ind w:left="160"/>
              <w:rPr>
                <w:sz w:val="16"/>
              </w:rPr>
            </w:pPr>
            <w:r>
              <w:rPr>
                <w:color w:val="231F20"/>
                <w:sz w:val="16"/>
              </w:rPr>
              <w:t>Net income per share, basic</w:t>
            </w:r>
          </w:p>
        </w:tc>
        <w:tc>
          <w:tcPr>
            <w:tcW w:w="1027" w:type="dxa"/>
            <w:tcBorders>
              <w:top w:val="single" w:sz="4" w:space="0" w:color="231F20"/>
            </w:tcBorders>
            <w:shd w:val="clear" w:color="auto" w:fill="D1D3D4"/>
          </w:tcPr>
          <w:p>
            <w:pPr>
              <w:pStyle w:val="TableParagraph"/>
              <w:tabs>
                <w:tab w:pos="626" w:val="left" w:leader="none"/>
              </w:tabs>
              <w:spacing w:before="44"/>
              <w:ind w:left="26"/>
              <w:rPr>
                <w:sz w:val="16"/>
              </w:rPr>
            </w:pPr>
            <w:r>
              <w:rPr>
                <w:color w:val="231F20"/>
                <w:sz w:val="16"/>
              </w:rPr>
              <w:t>$</w:t>
              <w:tab/>
              <w:t>3.58</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3.30</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1.65</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1.06</w:t>
            </w:r>
          </w:p>
        </w:tc>
        <w:tc>
          <w:tcPr>
            <w:tcW w:w="1080" w:type="dxa"/>
            <w:tcBorders>
              <w:top w:val="single" w:sz="4" w:space="0" w:color="231F20"/>
            </w:tcBorders>
            <w:shd w:val="clear" w:color="auto" w:fill="D1D3D4"/>
          </w:tcPr>
          <w:p>
            <w:pPr>
              <w:pStyle w:val="TableParagraph"/>
              <w:tabs>
                <w:tab w:pos="679" w:val="left" w:leader="none"/>
              </w:tabs>
              <w:spacing w:before="44"/>
              <w:ind w:left="80"/>
              <w:rPr>
                <w:sz w:val="16"/>
              </w:rPr>
            </w:pPr>
            <w:r>
              <w:rPr>
                <w:color w:val="231F20"/>
                <w:sz w:val="16"/>
              </w:rPr>
              <w:t>$</w:t>
              <w:tab/>
              <w:t>0.56</w:t>
            </w:r>
          </w:p>
        </w:tc>
      </w:tr>
      <w:tr>
        <w:trPr>
          <w:trHeight w:val="254" w:hRule="exact"/>
        </w:trPr>
        <w:tc>
          <w:tcPr>
            <w:tcW w:w="3773" w:type="dxa"/>
          </w:tcPr>
          <w:p>
            <w:pPr>
              <w:pStyle w:val="TableParagraph"/>
              <w:spacing w:before="44"/>
              <w:ind w:left="160"/>
              <w:rPr>
                <w:sz w:val="16"/>
              </w:rPr>
            </w:pPr>
            <w:r>
              <w:rPr>
                <w:color w:val="231F20"/>
                <w:sz w:val="16"/>
              </w:rPr>
              <w:t>Net income per share, diluted</w:t>
            </w:r>
          </w:p>
        </w:tc>
        <w:tc>
          <w:tcPr>
            <w:tcW w:w="1027" w:type="dxa"/>
          </w:tcPr>
          <w:p>
            <w:pPr>
              <w:pStyle w:val="TableParagraph"/>
              <w:tabs>
                <w:tab w:pos="626" w:val="left" w:leader="none"/>
              </w:tabs>
              <w:spacing w:before="44"/>
              <w:ind w:left="26"/>
              <w:rPr>
                <w:sz w:val="16"/>
              </w:rPr>
            </w:pPr>
            <w:r>
              <w:rPr>
                <w:color w:val="231F20"/>
                <w:sz w:val="16"/>
              </w:rPr>
              <w:t>$</w:t>
              <w:tab/>
              <w:t>3.55</w:t>
            </w:r>
          </w:p>
        </w:tc>
        <w:tc>
          <w:tcPr>
            <w:tcW w:w="1080" w:type="dxa"/>
          </w:tcPr>
          <w:p>
            <w:pPr>
              <w:pStyle w:val="TableParagraph"/>
              <w:tabs>
                <w:tab w:pos="679" w:val="left" w:leader="none"/>
              </w:tabs>
              <w:spacing w:before="44"/>
              <w:ind w:left="80"/>
              <w:rPr>
                <w:sz w:val="16"/>
              </w:rPr>
            </w:pPr>
            <w:r>
              <w:rPr>
                <w:color w:val="231F20"/>
                <w:sz w:val="16"/>
              </w:rPr>
              <w:t>$</w:t>
              <w:tab/>
              <w:t>3.27</w:t>
            </w:r>
          </w:p>
        </w:tc>
        <w:tc>
          <w:tcPr>
            <w:tcW w:w="1080" w:type="dxa"/>
          </w:tcPr>
          <w:p>
            <w:pPr>
              <w:pStyle w:val="TableParagraph"/>
              <w:tabs>
                <w:tab w:pos="679" w:val="left" w:leader="none"/>
              </w:tabs>
              <w:spacing w:before="44"/>
              <w:ind w:left="80"/>
              <w:rPr>
                <w:sz w:val="16"/>
              </w:rPr>
            </w:pPr>
            <w:r>
              <w:rPr>
                <w:color w:val="231F20"/>
                <w:sz w:val="16"/>
              </w:rPr>
              <w:t>$</w:t>
              <w:tab/>
              <w:t>1.64</w:t>
            </w:r>
          </w:p>
        </w:tc>
        <w:tc>
          <w:tcPr>
            <w:tcW w:w="1080" w:type="dxa"/>
          </w:tcPr>
          <w:p>
            <w:pPr>
              <w:pStyle w:val="TableParagraph"/>
              <w:tabs>
                <w:tab w:pos="679" w:val="left" w:leader="none"/>
              </w:tabs>
              <w:spacing w:before="44"/>
              <w:ind w:left="80"/>
              <w:rPr>
                <w:sz w:val="16"/>
              </w:rPr>
            </w:pPr>
            <w:r>
              <w:rPr>
                <w:color w:val="231F20"/>
                <w:sz w:val="16"/>
              </w:rPr>
              <w:t>$</w:t>
              <w:tab/>
              <w:t>1.05</w:t>
            </w:r>
          </w:p>
        </w:tc>
        <w:tc>
          <w:tcPr>
            <w:tcW w:w="1080" w:type="dxa"/>
          </w:tcPr>
          <w:p>
            <w:pPr>
              <w:pStyle w:val="TableParagraph"/>
              <w:tabs>
                <w:tab w:pos="679" w:val="left" w:leader="none"/>
              </w:tabs>
              <w:spacing w:before="44"/>
              <w:ind w:left="80"/>
              <w:rPr>
                <w:sz w:val="16"/>
              </w:rPr>
            </w:pPr>
            <w:r>
              <w:rPr>
                <w:color w:val="231F20"/>
                <w:sz w:val="16"/>
              </w:rPr>
              <w:t>$</w:t>
              <w:tab/>
              <w:t>0.56</w:t>
            </w:r>
          </w:p>
        </w:tc>
      </w:tr>
      <w:tr>
        <w:trPr>
          <w:trHeight w:val="254" w:hRule="exact"/>
        </w:trPr>
        <w:tc>
          <w:tcPr>
            <w:tcW w:w="3773" w:type="dxa"/>
            <w:shd w:val="clear" w:color="auto" w:fill="D1D3D4"/>
          </w:tcPr>
          <w:p>
            <w:pPr>
              <w:pStyle w:val="TableParagraph"/>
              <w:spacing w:before="44"/>
              <w:ind w:left="160"/>
              <w:rPr>
                <w:sz w:val="16"/>
              </w:rPr>
            </w:pPr>
            <w:r>
              <w:rPr>
                <w:color w:val="231F20"/>
                <w:sz w:val="16"/>
              </w:rPr>
              <w:t>Cash dividends per common share</w:t>
            </w:r>
          </w:p>
        </w:tc>
        <w:tc>
          <w:tcPr>
            <w:tcW w:w="1027" w:type="dxa"/>
            <w:shd w:val="clear" w:color="auto" w:fill="D1D3D4"/>
          </w:tcPr>
          <w:p>
            <w:pPr>
              <w:pStyle w:val="TableParagraph"/>
              <w:tabs>
                <w:tab w:pos="466" w:val="left" w:leader="none"/>
              </w:tabs>
              <w:spacing w:before="44"/>
              <w:ind w:left="26"/>
              <w:rPr>
                <w:sz w:val="16"/>
              </w:rPr>
            </w:pPr>
            <w:r>
              <w:rPr>
                <w:color w:val="231F20"/>
                <w:sz w:val="16"/>
              </w:rPr>
              <w:t>$</w:t>
              <w:tab/>
              <w:t>0.3750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0.2850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0.2200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0.1300</w:t>
            </w:r>
          </w:p>
        </w:tc>
        <w:tc>
          <w:tcPr>
            <w:tcW w:w="1080" w:type="dxa"/>
            <w:shd w:val="clear" w:color="auto" w:fill="D1D3D4"/>
          </w:tcPr>
          <w:p>
            <w:pPr>
              <w:pStyle w:val="TableParagraph"/>
              <w:tabs>
                <w:tab w:pos="519" w:val="left" w:leader="none"/>
              </w:tabs>
              <w:spacing w:before="44"/>
              <w:ind w:left="80"/>
              <w:rPr>
                <w:sz w:val="16"/>
              </w:rPr>
            </w:pPr>
            <w:r>
              <w:rPr>
                <w:color w:val="231F20"/>
                <w:sz w:val="16"/>
              </w:rPr>
              <w:t>$</w:t>
              <w:tab/>
              <w:t>0.0345</w:t>
            </w:r>
          </w:p>
        </w:tc>
      </w:tr>
      <w:tr>
        <w:trPr>
          <w:trHeight w:val="254" w:hRule="exact"/>
        </w:trPr>
        <w:tc>
          <w:tcPr>
            <w:tcW w:w="3773" w:type="dxa"/>
          </w:tcPr>
          <w:p>
            <w:pPr>
              <w:pStyle w:val="TableParagraph"/>
              <w:spacing w:before="44"/>
              <w:ind w:left="160"/>
              <w:rPr>
                <w:sz w:val="16"/>
              </w:rPr>
            </w:pPr>
            <w:r>
              <w:rPr>
                <w:color w:val="231F20"/>
                <w:sz w:val="16"/>
              </w:rPr>
              <w:t>Total assets at period-end (1)</w:t>
            </w:r>
          </w:p>
        </w:tc>
        <w:tc>
          <w:tcPr>
            <w:tcW w:w="1027" w:type="dxa"/>
          </w:tcPr>
          <w:p>
            <w:pPr>
              <w:pStyle w:val="TableParagraph"/>
              <w:tabs>
                <w:tab w:pos="466" w:val="left" w:leader="none"/>
              </w:tabs>
              <w:spacing w:before="44"/>
              <w:ind w:left="26"/>
              <w:rPr>
                <w:sz w:val="16"/>
              </w:rPr>
            </w:pPr>
            <w:r>
              <w:rPr>
                <w:color w:val="231F20"/>
                <w:sz w:val="16"/>
              </w:rPr>
              <w:t>$</w:t>
              <w:tab/>
              <w:t>23,286</w:t>
            </w:r>
          </w:p>
        </w:tc>
        <w:tc>
          <w:tcPr>
            <w:tcW w:w="1080" w:type="dxa"/>
          </w:tcPr>
          <w:p>
            <w:pPr>
              <w:pStyle w:val="TableParagraph"/>
              <w:tabs>
                <w:tab w:pos="519" w:val="left" w:leader="none"/>
              </w:tabs>
              <w:spacing w:before="44"/>
              <w:ind w:left="80"/>
              <w:rPr>
                <w:sz w:val="16"/>
              </w:rPr>
            </w:pPr>
            <w:r>
              <w:rPr>
                <w:color w:val="231F20"/>
                <w:sz w:val="16"/>
              </w:rPr>
              <w:t>$</w:t>
              <w:tab/>
              <w:t>21,312</w:t>
            </w:r>
          </w:p>
        </w:tc>
        <w:tc>
          <w:tcPr>
            <w:tcW w:w="1080" w:type="dxa"/>
          </w:tcPr>
          <w:p>
            <w:pPr>
              <w:pStyle w:val="TableParagraph"/>
              <w:tabs>
                <w:tab w:pos="519" w:val="left" w:leader="none"/>
              </w:tabs>
              <w:spacing w:before="44"/>
              <w:ind w:left="80"/>
              <w:rPr>
                <w:sz w:val="16"/>
              </w:rPr>
            </w:pPr>
            <w:r>
              <w:rPr>
                <w:color w:val="231F20"/>
                <w:sz w:val="16"/>
              </w:rPr>
              <w:t>$</w:t>
              <w:tab/>
              <w:t>19,723</w:t>
            </w:r>
          </w:p>
        </w:tc>
        <w:tc>
          <w:tcPr>
            <w:tcW w:w="1080" w:type="dxa"/>
          </w:tcPr>
          <w:p>
            <w:pPr>
              <w:pStyle w:val="TableParagraph"/>
              <w:tabs>
                <w:tab w:pos="519" w:val="left" w:leader="none"/>
              </w:tabs>
              <w:spacing w:before="44"/>
              <w:ind w:left="80"/>
              <w:rPr>
                <w:sz w:val="16"/>
              </w:rPr>
            </w:pPr>
            <w:r>
              <w:rPr>
                <w:color w:val="231F20"/>
                <w:sz w:val="16"/>
              </w:rPr>
              <w:t>$</w:t>
              <w:tab/>
              <w:t>19,177</w:t>
            </w:r>
          </w:p>
        </w:tc>
        <w:tc>
          <w:tcPr>
            <w:tcW w:w="1080" w:type="dxa"/>
          </w:tcPr>
          <w:p>
            <w:pPr>
              <w:pStyle w:val="TableParagraph"/>
              <w:tabs>
                <w:tab w:pos="519" w:val="left" w:leader="none"/>
              </w:tabs>
              <w:spacing w:before="44"/>
              <w:ind w:left="80"/>
              <w:rPr>
                <w:sz w:val="16"/>
              </w:rPr>
            </w:pPr>
            <w:r>
              <w:rPr>
                <w:color w:val="231F20"/>
                <w:sz w:val="16"/>
              </w:rPr>
              <w:t>$</w:t>
              <w:tab/>
              <w:t>18,350</w:t>
            </w:r>
          </w:p>
        </w:tc>
      </w:tr>
      <w:tr>
        <w:trPr>
          <w:trHeight w:val="254" w:hRule="exact"/>
        </w:trPr>
        <w:tc>
          <w:tcPr>
            <w:tcW w:w="3773" w:type="dxa"/>
            <w:shd w:val="clear" w:color="auto" w:fill="D1D3D4"/>
          </w:tcPr>
          <w:p>
            <w:pPr>
              <w:pStyle w:val="TableParagraph"/>
              <w:spacing w:before="44"/>
              <w:ind w:left="160"/>
              <w:rPr>
                <w:sz w:val="16"/>
              </w:rPr>
            </w:pPr>
            <w:r>
              <w:rPr>
                <w:color w:val="231F20"/>
                <w:sz w:val="16"/>
              </w:rPr>
              <w:t>Long-term obligations at period-end</w:t>
            </w:r>
          </w:p>
        </w:tc>
        <w:tc>
          <w:tcPr>
            <w:tcW w:w="1027" w:type="dxa"/>
            <w:shd w:val="clear" w:color="auto" w:fill="D1D3D4"/>
          </w:tcPr>
          <w:p>
            <w:pPr>
              <w:pStyle w:val="TableParagraph"/>
              <w:tabs>
                <w:tab w:pos="546" w:val="left" w:leader="none"/>
              </w:tabs>
              <w:spacing w:before="44"/>
              <w:ind w:left="26"/>
              <w:rPr>
                <w:sz w:val="16"/>
              </w:rPr>
            </w:pPr>
            <w:r>
              <w:rPr>
                <w:color w:val="231F20"/>
                <w:sz w:val="16"/>
              </w:rPr>
              <w:t>$</w:t>
              <w:tab/>
              <w:t>2,821</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2,541</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2,434</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2,191</w:t>
            </w:r>
          </w:p>
        </w:tc>
        <w:tc>
          <w:tcPr>
            <w:tcW w:w="1080" w:type="dxa"/>
            <w:shd w:val="clear" w:color="auto" w:fill="D1D3D4"/>
          </w:tcPr>
          <w:p>
            <w:pPr>
              <w:pStyle w:val="TableParagraph"/>
              <w:tabs>
                <w:tab w:pos="599" w:val="left" w:leader="none"/>
              </w:tabs>
              <w:spacing w:before="44"/>
              <w:ind w:left="80"/>
              <w:rPr>
                <w:sz w:val="16"/>
              </w:rPr>
            </w:pPr>
            <w:r>
              <w:rPr>
                <w:color w:val="231F20"/>
                <w:sz w:val="16"/>
              </w:rPr>
              <w:t>$</w:t>
              <w:tab/>
              <w:t>2,883</w:t>
            </w:r>
          </w:p>
        </w:tc>
      </w:tr>
      <w:tr>
        <w:trPr>
          <w:trHeight w:val="229" w:hRule="exact"/>
        </w:trPr>
        <w:tc>
          <w:tcPr>
            <w:tcW w:w="3773" w:type="dxa"/>
          </w:tcPr>
          <w:p>
            <w:pPr>
              <w:pStyle w:val="TableParagraph"/>
              <w:spacing w:before="44"/>
              <w:ind w:left="160"/>
              <w:rPr>
                <w:sz w:val="16"/>
              </w:rPr>
            </w:pPr>
            <w:r>
              <w:rPr>
                <w:color w:val="231F20"/>
                <w:sz w:val="16"/>
              </w:rPr>
              <w:t>Stockholders’ equity at period-end</w:t>
            </w:r>
          </w:p>
        </w:tc>
        <w:tc>
          <w:tcPr>
            <w:tcW w:w="1027" w:type="dxa"/>
          </w:tcPr>
          <w:p>
            <w:pPr>
              <w:pStyle w:val="TableParagraph"/>
              <w:tabs>
                <w:tab w:pos="546" w:val="left" w:leader="none"/>
              </w:tabs>
              <w:spacing w:before="44"/>
              <w:ind w:left="26"/>
              <w:rPr>
                <w:sz w:val="16"/>
              </w:rPr>
            </w:pPr>
            <w:r>
              <w:rPr>
                <w:color w:val="231F20"/>
                <w:sz w:val="16"/>
              </w:rPr>
              <w:t>$</w:t>
              <w:tab/>
              <w:t>8,441</w:t>
            </w:r>
          </w:p>
        </w:tc>
        <w:tc>
          <w:tcPr>
            <w:tcW w:w="1080" w:type="dxa"/>
          </w:tcPr>
          <w:p>
            <w:pPr>
              <w:pStyle w:val="TableParagraph"/>
              <w:tabs>
                <w:tab w:pos="599" w:val="left" w:leader="none"/>
              </w:tabs>
              <w:spacing w:before="44"/>
              <w:ind w:left="80"/>
              <w:rPr>
                <w:sz w:val="16"/>
              </w:rPr>
            </w:pPr>
            <w:r>
              <w:rPr>
                <w:color w:val="231F20"/>
                <w:sz w:val="16"/>
              </w:rPr>
              <w:t>$</w:t>
              <w:tab/>
              <w:t>7,358</w:t>
            </w:r>
          </w:p>
        </w:tc>
        <w:tc>
          <w:tcPr>
            <w:tcW w:w="1080" w:type="dxa"/>
          </w:tcPr>
          <w:p>
            <w:pPr>
              <w:pStyle w:val="TableParagraph"/>
              <w:tabs>
                <w:tab w:pos="599" w:val="left" w:leader="none"/>
              </w:tabs>
              <w:spacing w:before="44"/>
              <w:ind w:left="80"/>
              <w:rPr>
                <w:sz w:val="16"/>
              </w:rPr>
            </w:pPr>
            <w:r>
              <w:rPr>
                <w:color w:val="231F20"/>
                <w:sz w:val="16"/>
              </w:rPr>
              <w:t>$</w:t>
              <w:tab/>
              <w:t>6,775</w:t>
            </w:r>
          </w:p>
        </w:tc>
        <w:tc>
          <w:tcPr>
            <w:tcW w:w="1080" w:type="dxa"/>
          </w:tcPr>
          <w:p>
            <w:pPr>
              <w:pStyle w:val="TableParagraph"/>
              <w:tabs>
                <w:tab w:pos="599" w:val="left" w:leader="none"/>
              </w:tabs>
              <w:spacing w:before="44"/>
              <w:ind w:left="80"/>
              <w:rPr>
                <w:sz w:val="16"/>
              </w:rPr>
            </w:pPr>
            <w:r>
              <w:rPr>
                <w:color w:val="231F20"/>
                <w:sz w:val="16"/>
              </w:rPr>
              <w:t>$</w:t>
              <w:tab/>
              <w:t>7,336</w:t>
            </w:r>
          </w:p>
        </w:tc>
        <w:tc>
          <w:tcPr>
            <w:tcW w:w="1080" w:type="dxa"/>
          </w:tcPr>
          <w:p>
            <w:pPr>
              <w:pStyle w:val="TableParagraph"/>
              <w:tabs>
                <w:tab w:pos="599" w:val="left" w:leader="none"/>
              </w:tabs>
              <w:spacing w:before="44"/>
              <w:ind w:left="80"/>
              <w:rPr>
                <w:sz w:val="16"/>
              </w:rPr>
            </w:pPr>
            <w:r>
              <w:rPr>
                <w:color w:val="231F20"/>
                <w:sz w:val="16"/>
              </w:rPr>
              <w:t>$</w:t>
              <w:tab/>
              <w:t>6,992</w:t>
            </w:r>
          </w:p>
        </w:tc>
      </w:tr>
      <w:tr>
        <w:trPr>
          <w:trHeight w:val="279" w:hRule="exact"/>
        </w:trPr>
        <w:tc>
          <w:tcPr>
            <w:tcW w:w="9120" w:type="dxa"/>
            <w:gridSpan w:val="6"/>
            <w:shd w:val="clear" w:color="auto" w:fill="D1D3D4"/>
          </w:tcPr>
          <w:p>
            <w:pPr>
              <w:pStyle w:val="TableParagraph"/>
              <w:spacing w:before="69"/>
              <w:rPr>
                <w:b/>
                <w:sz w:val="16"/>
              </w:rPr>
            </w:pPr>
            <w:r>
              <w:rPr>
                <w:b/>
                <w:color w:val="231F20"/>
                <w:sz w:val="16"/>
              </w:rPr>
              <w:t>Operating Data:</w:t>
            </w:r>
          </w:p>
        </w:tc>
      </w:tr>
      <w:tr>
        <w:trPr>
          <w:trHeight w:val="254" w:hRule="exact"/>
        </w:trPr>
        <w:tc>
          <w:tcPr>
            <w:tcW w:w="3773" w:type="dxa"/>
          </w:tcPr>
          <w:p>
            <w:pPr>
              <w:pStyle w:val="TableParagraph"/>
              <w:spacing w:before="44"/>
              <w:ind w:left="160"/>
              <w:rPr>
                <w:sz w:val="16"/>
              </w:rPr>
            </w:pPr>
            <w:r>
              <w:rPr>
                <w:color w:val="231F20"/>
                <w:sz w:val="16"/>
              </w:rPr>
              <w:t>Revenue passengers carried</w:t>
            </w:r>
          </w:p>
        </w:tc>
        <w:tc>
          <w:tcPr>
            <w:tcW w:w="1027" w:type="dxa"/>
          </w:tcPr>
          <w:p>
            <w:pPr>
              <w:pStyle w:val="TableParagraph"/>
              <w:spacing w:before="44"/>
              <w:ind w:left="106"/>
              <w:rPr>
                <w:sz w:val="16"/>
              </w:rPr>
            </w:pPr>
            <w:r>
              <w:rPr>
                <w:color w:val="231F20"/>
                <w:sz w:val="16"/>
              </w:rPr>
              <w:t>124,719,765</w:t>
            </w:r>
          </w:p>
        </w:tc>
        <w:tc>
          <w:tcPr>
            <w:tcW w:w="1080" w:type="dxa"/>
          </w:tcPr>
          <w:p>
            <w:pPr>
              <w:pStyle w:val="TableParagraph"/>
              <w:spacing w:before="44"/>
              <w:ind w:left="160"/>
              <w:rPr>
                <w:sz w:val="16"/>
              </w:rPr>
            </w:pPr>
            <w:r>
              <w:rPr>
                <w:color w:val="231F20"/>
                <w:sz w:val="16"/>
              </w:rPr>
              <w:t>118,171,211</w:t>
            </w:r>
          </w:p>
        </w:tc>
        <w:tc>
          <w:tcPr>
            <w:tcW w:w="1080" w:type="dxa"/>
          </w:tcPr>
          <w:p>
            <w:pPr>
              <w:pStyle w:val="TableParagraph"/>
              <w:spacing w:before="44"/>
              <w:ind w:left="160"/>
              <w:rPr>
                <w:sz w:val="16"/>
              </w:rPr>
            </w:pPr>
            <w:r>
              <w:rPr>
                <w:color w:val="231F20"/>
                <w:sz w:val="16"/>
              </w:rPr>
              <w:t>110,496,912</w:t>
            </w:r>
          </w:p>
        </w:tc>
        <w:tc>
          <w:tcPr>
            <w:tcW w:w="1080" w:type="dxa"/>
          </w:tcPr>
          <w:p>
            <w:pPr>
              <w:pStyle w:val="TableParagraph"/>
              <w:spacing w:before="44"/>
              <w:ind w:left="160"/>
              <w:rPr>
                <w:sz w:val="16"/>
              </w:rPr>
            </w:pPr>
            <w:r>
              <w:rPr>
                <w:color w:val="231F20"/>
                <w:sz w:val="16"/>
              </w:rPr>
              <w:t>108,075,976</w:t>
            </w:r>
          </w:p>
        </w:tc>
        <w:tc>
          <w:tcPr>
            <w:tcW w:w="1080" w:type="dxa"/>
          </w:tcPr>
          <w:p>
            <w:pPr>
              <w:pStyle w:val="TableParagraph"/>
              <w:spacing w:before="44"/>
              <w:ind w:left="160"/>
              <w:rPr>
                <w:sz w:val="16"/>
              </w:rPr>
            </w:pPr>
            <w:r>
              <w:rPr>
                <w:color w:val="231F20"/>
                <w:sz w:val="16"/>
              </w:rPr>
              <w:t>109,346,509</w:t>
            </w:r>
          </w:p>
        </w:tc>
      </w:tr>
      <w:tr>
        <w:trPr>
          <w:trHeight w:val="254" w:hRule="exact"/>
        </w:trPr>
        <w:tc>
          <w:tcPr>
            <w:tcW w:w="3773" w:type="dxa"/>
            <w:shd w:val="clear" w:color="auto" w:fill="D1D3D4"/>
          </w:tcPr>
          <w:p>
            <w:pPr>
              <w:pStyle w:val="TableParagraph"/>
              <w:spacing w:before="44"/>
              <w:ind w:left="160"/>
              <w:rPr>
                <w:sz w:val="16"/>
              </w:rPr>
            </w:pPr>
            <w:r>
              <w:rPr>
                <w:color w:val="231F20"/>
                <w:sz w:val="16"/>
              </w:rPr>
              <w:t>Enplaned passengers</w:t>
            </w:r>
          </w:p>
        </w:tc>
        <w:tc>
          <w:tcPr>
            <w:tcW w:w="1027" w:type="dxa"/>
            <w:shd w:val="clear" w:color="auto" w:fill="D1D3D4"/>
          </w:tcPr>
          <w:p>
            <w:pPr>
              <w:pStyle w:val="TableParagraph"/>
              <w:spacing w:before="44"/>
              <w:ind w:left="106"/>
              <w:rPr>
                <w:sz w:val="16"/>
              </w:rPr>
            </w:pPr>
            <w:r>
              <w:rPr>
                <w:color w:val="231F20"/>
                <w:sz w:val="16"/>
              </w:rPr>
              <w:t>151,740,357</w:t>
            </w:r>
          </w:p>
        </w:tc>
        <w:tc>
          <w:tcPr>
            <w:tcW w:w="1080" w:type="dxa"/>
            <w:shd w:val="clear" w:color="auto" w:fill="D1D3D4"/>
          </w:tcPr>
          <w:p>
            <w:pPr>
              <w:pStyle w:val="TableParagraph"/>
              <w:spacing w:before="44"/>
              <w:ind w:left="160"/>
              <w:rPr>
                <w:sz w:val="16"/>
              </w:rPr>
            </w:pPr>
            <w:r>
              <w:rPr>
                <w:color w:val="231F20"/>
                <w:sz w:val="16"/>
              </w:rPr>
              <w:t>144,574,882</w:t>
            </w:r>
          </w:p>
        </w:tc>
        <w:tc>
          <w:tcPr>
            <w:tcW w:w="1080" w:type="dxa"/>
            <w:shd w:val="clear" w:color="auto" w:fill="D1D3D4"/>
          </w:tcPr>
          <w:p>
            <w:pPr>
              <w:pStyle w:val="TableParagraph"/>
              <w:spacing w:before="44"/>
              <w:ind w:left="160"/>
              <w:rPr>
                <w:sz w:val="16"/>
              </w:rPr>
            </w:pPr>
            <w:r>
              <w:rPr>
                <w:color w:val="231F20"/>
                <w:sz w:val="16"/>
              </w:rPr>
              <w:t>135,767,188</w:t>
            </w:r>
          </w:p>
        </w:tc>
        <w:tc>
          <w:tcPr>
            <w:tcW w:w="1080" w:type="dxa"/>
            <w:shd w:val="clear" w:color="auto" w:fill="D1D3D4"/>
          </w:tcPr>
          <w:p>
            <w:pPr>
              <w:pStyle w:val="TableParagraph"/>
              <w:spacing w:before="44"/>
              <w:ind w:left="160"/>
              <w:rPr>
                <w:sz w:val="16"/>
              </w:rPr>
            </w:pPr>
            <w:r>
              <w:rPr>
                <w:color w:val="231F20"/>
                <w:sz w:val="16"/>
              </w:rPr>
              <w:t>133,155,030</w:t>
            </w:r>
          </w:p>
        </w:tc>
        <w:tc>
          <w:tcPr>
            <w:tcW w:w="1080" w:type="dxa"/>
            <w:shd w:val="clear" w:color="auto" w:fill="D1D3D4"/>
          </w:tcPr>
          <w:p>
            <w:pPr>
              <w:pStyle w:val="TableParagraph"/>
              <w:spacing w:before="44"/>
              <w:ind w:left="160"/>
              <w:rPr>
                <w:sz w:val="16"/>
              </w:rPr>
            </w:pPr>
            <w:r>
              <w:rPr>
                <w:color w:val="231F20"/>
                <w:sz w:val="16"/>
              </w:rPr>
              <w:t>133,978,100</w:t>
            </w:r>
          </w:p>
        </w:tc>
      </w:tr>
      <w:tr>
        <w:trPr>
          <w:trHeight w:val="254" w:hRule="exact"/>
        </w:trPr>
        <w:tc>
          <w:tcPr>
            <w:tcW w:w="3773" w:type="dxa"/>
          </w:tcPr>
          <w:p>
            <w:pPr>
              <w:pStyle w:val="TableParagraph"/>
              <w:spacing w:before="44"/>
              <w:ind w:left="160"/>
              <w:rPr>
                <w:sz w:val="16"/>
              </w:rPr>
            </w:pPr>
            <w:r>
              <w:rPr>
                <w:color w:val="231F20"/>
                <w:sz w:val="16"/>
              </w:rPr>
              <w:t>Revenue passenger miles (RPMs) (000s) (2)</w:t>
            </w:r>
          </w:p>
        </w:tc>
        <w:tc>
          <w:tcPr>
            <w:tcW w:w="1027" w:type="dxa"/>
          </w:tcPr>
          <w:p>
            <w:pPr>
              <w:pStyle w:val="TableParagraph"/>
              <w:spacing w:before="44"/>
              <w:ind w:left="106"/>
              <w:rPr>
                <w:sz w:val="16"/>
              </w:rPr>
            </w:pPr>
            <w:r>
              <w:rPr>
                <w:color w:val="231F20"/>
                <w:sz w:val="16"/>
              </w:rPr>
              <w:t>124,797,986</w:t>
            </w:r>
          </w:p>
        </w:tc>
        <w:tc>
          <w:tcPr>
            <w:tcW w:w="1080" w:type="dxa"/>
          </w:tcPr>
          <w:p>
            <w:pPr>
              <w:pStyle w:val="TableParagraph"/>
              <w:spacing w:before="44"/>
              <w:ind w:left="160"/>
              <w:rPr>
                <w:sz w:val="16"/>
              </w:rPr>
            </w:pPr>
            <w:r>
              <w:rPr>
                <w:color w:val="231F20"/>
                <w:sz w:val="16"/>
              </w:rPr>
              <w:t>117,499,879</w:t>
            </w:r>
          </w:p>
        </w:tc>
        <w:tc>
          <w:tcPr>
            <w:tcW w:w="1080" w:type="dxa"/>
          </w:tcPr>
          <w:p>
            <w:pPr>
              <w:pStyle w:val="TableParagraph"/>
              <w:spacing w:before="44"/>
              <w:ind w:left="160"/>
              <w:rPr>
                <w:sz w:val="16"/>
              </w:rPr>
            </w:pPr>
            <w:r>
              <w:rPr>
                <w:color w:val="231F20"/>
                <w:sz w:val="16"/>
              </w:rPr>
              <w:t>108,035,133</w:t>
            </w:r>
          </w:p>
        </w:tc>
        <w:tc>
          <w:tcPr>
            <w:tcW w:w="1080" w:type="dxa"/>
          </w:tcPr>
          <w:p>
            <w:pPr>
              <w:pStyle w:val="TableParagraph"/>
              <w:spacing w:before="44"/>
              <w:ind w:left="160"/>
              <w:rPr>
                <w:sz w:val="16"/>
              </w:rPr>
            </w:pPr>
            <w:r>
              <w:rPr>
                <w:color w:val="231F20"/>
                <w:sz w:val="16"/>
              </w:rPr>
              <w:t>104,348,216</w:t>
            </w:r>
          </w:p>
        </w:tc>
        <w:tc>
          <w:tcPr>
            <w:tcW w:w="1080" w:type="dxa"/>
          </w:tcPr>
          <w:p>
            <w:pPr>
              <w:pStyle w:val="TableParagraph"/>
              <w:spacing w:before="44"/>
              <w:ind w:left="160"/>
              <w:rPr>
                <w:sz w:val="16"/>
              </w:rPr>
            </w:pPr>
            <w:r>
              <w:rPr>
                <w:color w:val="231F20"/>
                <w:sz w:val="16"/>
              </w:rPr>
              <w:t>102,874,979</w:t>
            </w:r>
          </w:p>
        </w:tc>
      </w:tr>
      <w:tr>
        <w:trPr>
          <w:trHeight w:val="254" w:hRule="exact"/>
        </w:trPr>
        <w:tc>
          <w:tcPr>
            <w:tcW w:w="3773" w:type="dxa"/>
            <w:shd w:val="clear" w:color="auto" w:fill="D1D3D4"/>
          </w:tcPr>
          <w:p>
            <w:pPr>
              <w:pStyle w:val="TableParagraph"/>
              <w:spacing w:before="44"/>
              <w:ind w:left="160"/>
              <w:rPr>
                <w:sz w:val="16"/>
              </w:rPr>
            </w:pPr>
            <w:r>
              <w:rPr>
                <w:color w:val="231F20"/>
                <w:sz w:val="16"/>
              </w:rPr>
              <w:t>Available seat miles (ASMs) (000s) (3)</w:t>
            </w:r>
          </w:p>
        </w:tc>
        <w:tc>
          <w:tcPr>
            <w:tcW w:w="1027" w:type="dxa"/>
            <w:shd w:val="clear" w:color="auto" w:fill="D1D3D4"/>
          </w:tcPr>
          <w:p>
            <w:pPr>
              <w:pStyle w:val="TableParagraph"/>
              <w:spacing w:before="44"/>
              <w:ind w:left="106"/>
              <w:rPr>
                <w:sz w:val="16"/>
              </w:rPr>
            </w:pPr>
            <w:r>
              <w:rPr>
                <w:color w:val="231F20"/>
                <w:sz w:val="16"/>
              </w:rPr>
              <w:t>148,522,051</w:t>
            </w:r>
          </w:p>
        </w:tc>
        <w:tc>
          <w:tcPr>
            <w:tcW w:w="1080" w:type="dxa"/>
            <w:shd w:val="clear" w:color="auto" w:fill="D1D3D4"/>
          </w:tcPr>
          <w:p>
            <w:pPr>
              <w:pStyle w:val="TableParagraph"/>
              <w:spacing w:before="44"/>
              <w:ind w:left="160"/>
              <w:rPr>
                <w:sz w:val="16"/>
              </w:rPr>
            </w:pPr>
            <w:r>
              <w:rPr>
                <w:color w:val="231F20"/>
                <w:sz w:val="16"/>
              </w:rPr>
              <w:t>140,501,409</w:t>
            </w:r>
          </w:p>
        </w:tc>
        <w:tc>
          <w:tcPr>
            <w:tcW w:w="1080" w:type="dxa"/>
            <w:shd w:val="clear" w:color="auto" w:fill="D1D3D4"/>
          </w:tcPr>
          <w:p>
            <w:pPr>
              <w:pStyle w:val="TableParagraph"/>
              <w:spacing w:before="44"/>
              <w:ind w:left="160"/>
              <w:rPr>
                <w:sz w:val="16"/>
              </w:rPr>
            </w:pPr>
            <w:r>
              <w:rPr>
                <w:color w:val="231F20"/>
                <w:sz w:val="16"/>
              </w:rPr>
              <w:t>131,003,957</w:t>
            </w:r>
          </w:p>
        </w:tc>
        <w:tc>
          <w:tcPr>
            <w:tcW w:w="1080" w:type="dxa"/>
            <w:shd w:val="clear" w:color="auto" w:fill="D1D3D4"/>
          </w:tcPr>
          <w:p>
            <w:pPr>
              <w:pStyle w:val="TableParagraph"/>
              <w:spacing w:before="44"/>
              <w:ind w:left="160"/>
              <w:rPr>
                <w:sz w:val="16"/>
              </w:rPr>
            </w:pPr>
            <w:r>
              <w:rPr>
                <w:color w:val="231F20"/>
                <w:sz w:val="16"/>
              </w:rPr>
              <w:t>130,344,072</w:t>
            </w:r>
          </w:p>
        </w:tc>
        <w:tc>
          <w:tcPr>
            <w:tcW w:w="1080" w:type="dxa"/>
            <w:shd w:val="clear" w:color="auto" w:fill="D1D3D4"/>
          </w:tcPr>
          <w:p>
            <w:pPr>
              <w:pStyle w:val="TableParagraph"/>
              <w:spacing w:before="44"/>
              <w:ind w:left="160"/>
              <w:rPr>
                <w:sz w:val="16"/>
              </w:rPr>
            </w:pPr>
            <w:r>
              <w:rPr>
                <w:color w:val="231F20"/>
                <w:sz w:val="16"/>
              </w:rPr>
              <w:t>128,137,110</w:t>
            </w:r>
          </w:p>
        </w:tc>
      </w:tr>
      <w:tr>
        <w:trPr>
          <w:trHeight w:val="254" w:hRule="exact"/>
        </w:trPr>
        <w:tc>
          <w:tcPr>
            <w:tcW w:w="3773" w:type="dxa"/>
          </w:tcPr>
          <w:p>
            <w:pPr>
              <w:pStyle w:val="TableParagraph"/>
              <w:spacing w:before="44"/>
              <w:ind w:left="160"/>
              <w:rPr>
                <w:sz w:val="16"/>
              </w:rPr>
            </w:pPr>
            <w:r>
              <w:rPr>
                <w:color w:val="231F20"/>
                <w:sz w:val="16"/>
              </w:rPr>
              <w:t>Load factor (4)</w:t>
            </w:r>
          </w:p>
        </w:tc>
        <w:tc>
          <w:tcPr>
            <w:tcW w:w="1027" w:type="dxa"/>
          </w:tcPr>
          <w:p>
            <w:pPr>
              <w:pStyle w:val="TableParagraph"/>
              <w:spacing w:before="44"/>
              <w:ind w:right="-1"/>
              <w:jc w:val="right"/>
              <w:rPr>
                <w:sz w:val="16"/>
              </w:rPr>
            </w:pPr>
            <w:r>
              <w:rPr>
                <w:color w:val="231F20"/>
                <w:sz w:val="16"/>
              </w:rPr>
              <w:t>84.0%</w:t>
            </w:r>
          </w:p>
        </w:tc>
        <w:tc>
          <w:tcPr>
            <w:tcW w:w="1080" w:type="dxa"/>
          </w:tcPr>
          <w:p>
            <w:pPr>
              <w:pStyle w:val="TableParagraph"/>
              <w:spacing w:before="44"/>
              <w:ind w:left="667" w:right="-1"/>
              <w:rPr>
                <w:sz w:val="16"/>
              </w:rPr>
            </w:pPr>
            <w:r>
              <w:rPr>
                <w:color w:val="231F20"/>
                <w:sz w:val="16"/>
              </w:rPr>
              <w:t>83.6%</w:t>
            </w:r>
          </w:p>
        </w:tc>
        <w:tc>
          <w:tcPr>
            <w:tcW w:w="1080" w:type="dxa"/>
          </w:tcPr>
          <w:p>
            <w:pPr>
              <w:pStyle w:val="TableParagraph"/>
              <w:spacing w:before="44"/>
              <w:ind w:right="-1"/>
              <w:jc w:val="right"/>
              <w:rPr>
                <w:sz w:val="16"/>
              </w:rPr>
            </w:pPr>
            <w:r>
              <w:rPr>
                <w:color w:val="231F20"/>
                <w:sz w:val="16"/>
              </w:rPr>
              <w:t>82.5%</w:t>
            </w:r>
          </w:p>
        </w:tc>
        <w:tc>
          <w:tcPr>
            <w:tcW w:w="1080" w:type="dxa"/>
          </w:tcPr>
          <w:p>
            <w:pPr>
              <w:pStyle w:val="TableParagraph"/>
              <w:spacing w:before="44"/>
              <w:ind w:left="667" w:right="-1"/>
              <w:rPr>
                <w:sz w:val="16"/>
              </w:rPr>
            </w:pPr>
            <w:r>
              <w:rPr>
                <w:color w:val="231F20"/>
                <w:sz w:val="16"/>
              </w:rPr>
              <w:t>80.1%</w:t>
            </w:r>
          </w:p>
        </w:tc>
        <w:tc>
          <w:tcPr>
            <w:tcW w:w="1080" w:type="dxa"/>
          </w:tcPr>
          <w:p>
            <w:pPr>
              <w:pStyle w:val="TableParagraph"/>
              <w:spacing w:before="44"/>
              <w:jc w:val="right"/>
              <w:rPr>
                <w:sz w:val="16"/>
              </w:rPr>
            </w:pPr>
            <w:r>
              <w:rPr>
                <w:color w:val="231F20"/>
                <w:sz w:val="16"/>
              </w:rPr>
              <w:t>80.3%</w:t>
            </w:r>
          </w:p>
        </w:tc>
      </w:tr>
      <w:tr>
        <w:trPr>
          <w:trHeight w:val="254" w:hRule="exact"/>
        </w:trPr>
        <w:tc>
          <w:tcPr>
            <w:tcW w:w="3773" w:type="dxa"/>
            <w:shd w:val="clear" w:color="auto" w:fill="D1D3D4"/>
          </w:tcPr>
          <w:p>
            <w:pPr>
              <w:pStyle w:val="TableParagraph"/>
              <w:spacing w:before="44"/>
              <w:ind w:left="160"/>
              <w:rPr>
                <w:sz w:val="16"/>
              </w:rPr>
            </w:pPr>
            <w:r>
              <w:rPr>
                <w:color w:val="231F20"/>
                <w:sz w:val="16"/>
              </w:rPr>
              <w:t>Average length of passenger haul (miles)</w:t>
            </w:r>
          </w:p>
        </w:tc>
        <w:tc>
          <w:tcPr>
            <w:tcW w:w="1027" w:type="dxa"/>
            <w:shd w:val="clear" w:color="auto" w:fill="D1D3D4"/>
          </w:tcPr>
          <w:p>
            <w:pPr>
              <w:pStyle w:val="TableParagraph"/>
              <w:spacing w:before="44"/>
              <w:ind w:right="117"/>
              <w:jc w:val="right"/>
              <w:rPr>
                <w:sz w:val="16"/>
              </w:rPr>
            </w:pPr>
            <w:r>
              <w:rPr>
                <w:color w:val="231F20"/>
                <w:sz w:val="16"/>
              </w:rPr>
              <w:t>1,001</w:t>
            </w:r>
          </w:p>
        </w:tc>
        <w:tc>
          <w:tcPr>
            <w:tcW w:w="1080" w:type="dxa"/>
            <w:shd w:val="clear" w:color="auto" w:fill="D1D3D4"/>
          </w:tcPr>
          <w:p>
            <w:pPr>
              <w:pStyle w:val="TableParagraph"/>
              <w:spacing w:before="44"/>
              <w:ind w:right="117"/>
              <w:jc w:val="right"/>
              <w:rPr>
                <w:sz w:val="16"/>
              </w:rPr>
            </w:pPr>
            <w:r>
              <w:rPr>
                <w:color w:val="231F20"/>
                <w:sz w:val="16"/>
              </w:rPr>
              <w:t>994</w:t>
            </w:r>
          </w:p>
        </w:tc>
        <w:tc>
          <w:tcPr>
            <w:tcW w:w="1080" w:type="dxa"/>
            <w:shd w:val="clear" w:color="auto" w:fill="D1D3D4"/>
          </w:tcPr>
          <w:p>
            <w:pPr>
              <w:pStyle w:val="TableParagraph"/>
              <w:spacing w:before="44"/>
              <w:ind w:right="117"/>
              <w:jc w:val="right"/>
              <w:rPr>
                <w:sz w:val="16"/>
              </w:rPr>
            </w:pPr>
            <w:r>
              <w:rPr>
                <w:color w:val="231F20"/>
                <w:sz w:val="16"/>
              </w:rPr>
              <w:t>978</w:t>
            </w:r>
          </w:p>
        </w:tc>
        <w:tc>
          <w:tcPr>
            <w:tcW w:w="1080" w:type="dxa"/>
            <w:shd w:val="clear" w:color="auto" w:fill="D1D3D4"/>
          </w:tcPr>
          <w:p>
            <w:pPr>
              <w:pStyle w:val="TableParagraph"/>
              <w:spacing w:before="44"/>
              <w:ind w:right="117"/>
              <w:jc w:val="right"/>
              <w:rPr>
                <w:sz w:val="16"/>
              </w:rPr>
            </w:pPr>
            <w:r>
              <w:rPr>
                <w:color w:val="231F20"/>
                <w:sz w:val="16"/>
              </w:rPr>
              <w:t>966</w:t>
            </w:r>
          </w:p>
        </w:tc>
        <w:tc>
          <w:tcPr>
            <w:tcW w:w="1080" w:type="dxa"/>
            <w:shd w:val="clear" w:color="auto" w:fill="D1D3D4"/>
          </w:tcPr>
          <w:p>
            <w:pPr>
              <w:pStyle w:val="TableParagraph"/>
              <w:spacing w:before="44"/>
              <w:ind w:right="118"/>
              <w:jc w:val="right"/>
              <w:rPr>
                <w:sz w:val="16"/>
              </w:rPr>
            </w:pPr>
            <w:r>
              <w:rPr>
                <w:color w:val="231F20"/>
                <w:sz w:val="16"/>
              </w:rPr>
              <w:t>941</w:t>
            </w:r>
          </w:p>
        </w:tc>
      </w:tr>
      <w:tr>
        <w:trPr>
          <w:trHeight w:val="254" w:hRule="exact"/>
        </w:trPr>
        <w:tc>
          <w:tcPr>
            <w:tcW w:w="3773" w:type="dxa"/>
          </w:tcPr>
          <w:p>
            <w:pPr>
              <w:pStyle w:val="TableParagraph"/>
              <w:spacing w:before="44"/>
              <w:ind w:left="160"/>
              <w:rPr>
                <w:sz w:val="16"/>
              </w:rPr>
            </w:pPr>
            <w:r>
              <w:rPr>
                <w:color w:val="231F20"/>
                <w:sz w:val="16"/>
              </w:rPr>
              <w:t>Average aircraft stage length (miles)</w:t>
            </w:r>
          </w:p>
        </w:tc>
        <w:tc>
          <w:tcPr>
            <w:tcW w:w="1027" w:type="dxa"/>
          </w:tcPr>
          <w:p>
            <w:pPr>
              <w:pStyle w:val="TableParagraph"/>
              <w:spacing w:before="44"/>
              <w:ind w:right="119"/>
              <w:jc w:val="right"/>
              <w:rPr>
                <w:sz w:val="16"/>
              </w:rPr>
            </w:pPr>
            <w:r>
              <w:rPr>
                <w:color w:val="231F20"/>
                <w:sz w:val="16"/>
              </w:rPr>
              <w:t>760</w:t>
            </w:r>
          </w:p>
        </w:tc>
        <w:tc>
          <w:tcPr>
            <w:tcW w:w="1080" w:type="dxa"/>
          </w:tcPr>
          <w:p>
            <w:pPr>
              <w:pStyle w:val="TableParagraph"/>
              <w:spacing w:before="44"/>
              <w:ind w:right="119"/>
              <w:jc w:val="right"/>
              <w:rPr>
                <w:sz w:val="16"/>
              </w:rPr>
            </w:pPr>
            <w:r>
              <w:rPr>
                <w:color w:val="231F20"/>
                <w:sz w:val="16"/>
              </w:rPr>
              <w:t>750</w:t>
            </w:r>
          </w:p>
        </w:tc>
        <w:tc>
          <w:tcPr>
            <w:tcW w:w="1080" w:type="dxa"/>
          </w:tcPr>
          <w:p>
            <w:pPr>
              <w:pStyle w:val="TableParagraph"/>
              <w:spacing w:before="44"/>
              <w:ind w:right="119"/>
              <w:jc w:val="right"/>
              <w:rPr>
                <w:sz w:val="16"/>
              </w:rPr>
            </w:pPr>
            <w:r>
              <w:rPr>
                <w:color w:val="231F20"/>
                <w:sz w:val="16"/>
              </w:rPr>
              <w:t>721</w:t>
            </w:r>
          </w:p>
        </w:tc>
        <w:tc>
          <w:tcPr>
            <w:tcW w:w="1080" w:type="dxa"/>
          </w:tcPr>
          <w:p>
            <w:pPr>
              <w:pStyle w:val="TableParagraph"/>
              <w:spacing w:before="44"/>
              <w:ind w:right="119"/>
              <w:jc w:val="right"/>
              <w:rPr>
                <w:sz w:val="16"/>
              </w:rPr>
            </w:pPr>
            <w:r>
              <w:rPr>
                <w:color w:val="231F20"/>
                <w:sz w:val="16"/>
              </w:rPr>
              <w:t>703</w:t>
            </w:r>
          </w:p>
        </w:tc>
        <w:tc>
          <w:tcPr>
            <w:tcW w:w="1080" w:type="dxa"/>
          </w:tcPr>
          <w:p>
            <w:pPr>
              <w:pStyle w:val="TableParagraph"/>
              <w:spacing w:before="44"/>
              <w:ind w:right="118"/>
              <w:jc w:val="right"/>
              <w:rPr>
                <w:sz w:val="16"/>
              </w:rPr>
            </w:pPr>
            <w:r>
              <w:rPr>
                <w:color w:val="231F20"/>
                <w:sz w:val="16"/>
              </w:rPr>
              <w:t>693</w:t>
            </w:r>
          </w:p>
        </w:tc>
      </w:tr>
      <w:tr>
        <w:trPr>
          <w:trHeight w:val="254" w:hRule="exact"/>
        </w:trPr>
        <w:tc>
          <w:tcPr>
            <w:tcW w:w="3773" w:type="dxa"/>
            <w:shd w:val="clear" w:color="auto" w:fill="D1D3D4"/>
          </w:tcPr>
          <w:p>
            <w:pPr>
              <w:pStyle w:val="TableParagraph"/>
              <w:spacing w:before="44"/>
              <w:ind w:left="160"/>
              <w:rPr>
                <w:sz w:val="16"/>
              </w:rPr>
            </w:pPr>
            <w:r>
              <w:rPr>
                <w:color w:val="231F20"/>
                <w:sz w:val="16"/>
              </w:rPr>
              <w:t>Trips flown</w:t>
            </w:r>
          </w:p>
        </w:tc>
        <w:tc>
          <w:tcPr>
            <w:tcW w:w="1027" w:type="dxa"/>
            <w:shd w:val="clear" w:color="auto" w:fill="D1D3D4"/>
          </w:tcPr>
          <w:p>
            <w:pPr>
              <w:pStyle w:val="TableParagraph"/>
              <w:spacing w:before="44"/>
              <w:ind w:left="266"/>
              <w:rPr>
                <w:sz w:val="16"/>
              </w:rPr>
            </w:pPr>
            <w:r>
              <w:rPr>
                <w:color w:val="231F20"/>
                <w:sz w:val="16"/>
              </w:rPr>
              <w:t>1,311,149</w:t>
            </w:r>
          </w:p>
        </w:tc>
        <w:tc>
          <w:tcPr>
            <w:tcW w:w="1080" w:type="dxa"/>
            <w:shd w:val="clear" w:color="auto" w:fill="D1D3D4"/>
          </w:tcPr>
          <w:p>
            <w:pPr>
              <w:pStyle w:val="TableParagraph"/>
              <w:spacing w:before="44"/>
              <w:ind w:left="320"/>
              <w:rPr>
                <w:sz w:val="16"/>
              </w:rPr>
            </w:pPr>
            <w:r>
              <w:rPr>
                <w:color w:val="231F20"/>
                <w:sz w:val="16"/>
              </w:rPr>
              <w:t>1,267,358</w:t>
            </w:r>
          </w:p>
        </w:tc>
        <w:tc>
          <w:tcPr>
            <w:tcW w:w="1080" w:type="dxa"/>
            <w:shd w:val="clear" w:color="auto" w:fill="D1D3D4"/>
          </w:tcPr>
          <w:p>
            <w:pPr>
              <w:pStyle w:val="TableParagraph"/>
              <w:spacing w:before="44"/>
              <w:ind w:left="320"/>
              <w:rPr>
                <w:sz w:val="16"/>
              </w:rPr>
            </w:pPr>
            <w:r>
              <w:rPr>
                <w:color w:val="231F20"/>
                <w:sz w:val="16"/>
              </w:rPr>
              <w:t>1,255,502</w:t>
            </w:r>
          </w:p>
        </w:tc>
        <w:tc>
          <w:tcPr>
            <w:tcW w:w="1080" w:type="dxa"/>
            <w:shd w:val="clear" w:color="auto" w:fill="D1D3D4"/>
          </w:tcPr>
          <w:p>
            <w:pPr>
              <w:pStyle w:val="TableParagraph"/>
              <w:spacing w:before="44"/>
              <w:ind w:left="320"/>
              <w:rPr>
                <w:sz w:val="16"/>
              </w:rPr>
            </w:pPr>
            <w:r>
              <w:rPr>
                <w:color w:val="231F20"/>
                <w:sz w:val="16"/>
              </w:rPr>
              <w:t>1,312,785</w:t>
            </w:r>
          </w:p>
        </w:tc>
        <w:tc>
          <w:tcPr>
            <w:tcW w:w="1080" w:type="dxa"/>
            <w:shd w:val="clear" w:color="auto" w:fill="D1D3D4"/>
          </w:tcPr>
          <w:p>
            <w:pPr>
              <w:pStyle w:val="TableParagraph"/>
              <w:spacing w:before="44"/>
              <w:ind w:left="320"/>
              <w:rPr>
                <w:sz w:val="16"/>
              </w:rPr>
            </w:pPr>
            <w:r>
              <w:rPr>
                <w:color w:val="231F20"/>
                <w:sz w:val="16"/>
              </w:rPr>
              <w:t>1,361,558</w:t>
            </w:r>
          </w:p>
        </w:tc>
      </w:tr>
      <w:tr>
        <w:trPr>
          <w:trHeight w:val="254" w:hRule="exact"/>
        </w:trPr>
        <w:tc>
          <w:tcPr>
            <w:tcW w:w="3773" w:type="dxa"/>
          </w:tcPr>
          <w:p>
            <w:pPr>
              <w:pStyle w:val="TableParagraph"/>
              <w:spacing w:before="44"/>
              <w:ind w:left="160"/>
              <w:rPr>
                <w:sz w:val="16"/>
              </w:rPr>
            </w:pPr>
            <w:r>
              <w:rPr>
                <w:color w:val="231F20"/>
                <w:sz w:val="16"/>
              </w:rPr>
              <w:t>Seats flown (5)</w:t>
            </w:r>
          </w:p>
        </w:tc>
        <w:tc>
          <w:tcPr>
            <w:tcW w:w="1027" w:type="dxa"/>
          </w:tcPr>
          <w:p>
            <w:pPr>
              <w:pStyle w:val="TableParagraph"/>
              <w:spacing w:before="44"/>
              <w:ind w:left="106"/>
              <w:rPr>
                <w:sz w:val="16"/>
              </w:rPr>
            </w:pPr>
            <w:r>
              <w:rPr>
                <w:color w:val="231F20"/>
                <w:sz w:val="16"/>
              </w:rPr>
              <w:t>193,167,695</w:t>
            </w:r>
          </w:p>
        </w:tc>
        <w:tc>
          <w:tcPr>
            <w:tcW w:w="1080" w:type="dxa"/>
          </w:tcPr>
          <w:p>
            <w:pPr>
              <w:pStyle w:val="TableParagraph"/>
              <w:spacing w:before="44"/>
              <w:ind w:left="160"/>
              <w:rPr>
                <w:sz w:val="16"/>
              </w:rPr>
            </w:pPr>
            <w:r>
              <w:rPr>
                <w:color w:val="231F20"/>
                <w:sz w:val="16"/>
              </w:rPr>
              <w:t>184,955,094</w:t>
            </w:r>
          </w:p>
        </w:tc>
        <w:tc>
          <w:tcPr>
            <w:tcW w:w="1080" w:type="dxa"/>
          </w:tcPr>
          <w:p>
            <w:pPr>
              <w:pStyle w:val="TableParagraph"/>
              <w:spacing w:before="44"/>
              <w:ind w:left="160"/>
              <w:rPr>
                <w:sz w:val="16"/>
              </w:rPr>
            </w:pPr>
            <w:r>
              <w:rPr>
                <w:color w:val="231F20"/>
                <w:sz w:val="16"/>
              </w:rPr>
              <w:t>179,733,055</w:t>
            </w:r>
          </w:p>
        </w:tc>
        <w:tc>
          <w:tcPr>
            <w:tcW w:w="1080" w:type="dxa"/>
          </w:tcPr>
          <w:p>
            <w:pPr>
              <w:pStyle w:val="TableParagraph"/>
              <w:spacing w:before="44"/>
              <w:ind w:left="160"/>
              <w:rPr>
                <w:sz w:val="16"/>
              </w:rPr>
            </w:pPr>
            <w:r>
              <w:rPr>
                <w:color w:val="231F20"/>
                <w:sz w:val="16"/>
              </w:rPr>
              <w:t>183,563,527</w:t>
            </w:r>
          </w:p>
        </w:tc>
        <w:tc>
          <w:tcPr>
            <w:tcW w:w="1080" w:type="dxa"/>
          </w:tcPr>
          <w:p>
            <w:pPr>
              <w:pStyle w:val="TableParagraph"/>
              <w:spacing w:before="44"/>
              <w:ind w:left="160"/>
              <w:rPr>
                <w:sz w:val="16"/>
              </w:rPr>
            </w:pPr>
            <w:r>
              <w:rPr>
                <w:color w:val="231F20"/>
                <w:sz w:val="16"/>
              </w:rPr>
              <w:t>184,208,891</w:t>
            </w:r>
          </w:p>
        </w:tc>
      </w:tr>
      <w:tr>
        <w:trPr>
          <w:trHeight w:val="254" w:hRule="exact"/>
        </w:trPr>
        <w:tc>
          <w:tcPr>
            <w:tcW w:w="3773" w:type="dxa"/>
            <w:shd w:val="clear" w:color="auto" w:fill="D1D3D4"/>
          </w:tcPr>
          <w:p>
            <w:pPr>
              <w:pStyle w:val="TableParagraph"/>
              <w:spacing w:before="44"/>
              <w:ind w:left="160"/>
              <w:rPr>
                <w:sz w:val="16"/>
              </w:rPr>
            </w:pPr>
            <w:r>
              <w:rPr>
                <w:color w:val="231F20"/>
                <w:sz w:val="16"/>
              </w:rPr>
              <w:t>Seats per trip (6)</w:t>
            </w:r>
          </w:p>
        </w:tc>
        <w:tc>
          <w:tcPr>
            <w:tcW w:w="1027" w:type="dxa"/>
            <w:shd w:val="clear" w:color="auto" w:fill="D1D3D4"/>
          </w:tcPr>
          <w:p>
            <w:pPr>
              <w:pStyle w:val="TableParagraph"/>
              <w:spacing w:before="44"/>
              <w:ind w:right="119"/>
              <w:jc w:val="right"/>
              <w:rPr>
                <w:sz w:val="16"/>
              </w:rPr>
            </w:pPr>
            <w:r>
              <w:rPr>
                <w:color w:val="231F20"/>
                <w:sz w:val="16"/>
              </w:rPr>
              <w:t>147.33</w:t>
            </w:r>
          </w:p>
        </w:tc>
        <w:tc>
          <w:tcPr>
            <w:tcW w:w="1080" w:type="dxa"/>
            <w:shd w:val="clear" w:color="auto" w:fill="D1D3D4"/>
          </w:tcPr>
          <w:p>
            <w:pPr>
              <w:pStyle w:val="TableParagraph"/>
              <w:spacing w:before="44"/>
              <w:ind w:left="520"/>
              <w:rPr>
                <w:sz w:val="16"/>
              </w:rPr>
            </w:pPr>
            <w:r>
              <w:rPr>
                <w:color w:val="231F20"/>
                <w:sz w:val="16"/>
              </w:rPr>
              <w:t>145.94</w:t>
            </w:r>
          </w:p>
        </w:tc>
        <w:tc>
          <w:tcPr>
            <w:tcW w:w="1080" w:type="dxa"/>
            <w:shd w:val="clear" w:color="auto" w:fill="D1D3D4"/>
          </w:tcPr>
          <w:p>
            <w:pPr>
              <w:pStyle w:val="TableParagraph"/>
              <w:spacing w:before="44"/>
              <w:ind w:right="119"/>
              <w:jc w:val="right"/>
              <w:rPr>
                <w:sz w:val="16"/>
              </w:rPr>
            </w:pPr>
            <w:r>
              <w:rPr>
                <w:color w:val="231F20"/>
                <w:sz w:val="16"/>
              </w:rPr>
              <w:t>143.16</w:t>
            </w:r>
          </w:p>
        </w:tc>
        <w:tc>
          <w:tcPr>
            <w:tcW w:w="1080" w:type="dxa"/>
            <w:shd w:val="clear" w:color="auto" w:fill="D1D3D4"/>
          </w:tcPr>
          <w:p>
            <w:pPr>
              <w:pStyle w:val="TableParagraph"/>
              <w:spacing w:before="44"/>
              <w:ind w:left="520"/>
              <w:rPr>
                <w:sz w:val="16"/>
              </w:rPr>
            </w:pPr>
            <w:r>
              <w:rPr>
                <w:color w:val="231F20"/>
                <w:sz w:val="16"/>
              </w:rPr>
              <w:t>139.83</w:t>
            </w:r>
          </w:p>
        </w:tc>
        <w:tc>
          <w:tcPr>
            <w:tcW w:w="1080" w:type="dxa"/>
            <w:shd w:val="clear" w:color="auto" w:fill="D1D3D4"/>
          </w:tcPr>
          <w:p>
            <w:pPr>
              <w:pStyle w:val="TableParagraph"/>
              <w:spacing w:before="44"/>
              <w:ind w:right="118"/>
              <w:jc w:val="right"/>
              <w:rPr>
                <w:sz w:val="16"/>
              </w:rPr>
            </w:pPr>
            <w:r>
              <w:rPr>
                <w:color w:val="231F20"/>
                <w:sz w:val="16"/>
              </w:rPr>
              <w:t>135.92</w:t>
            </w:r>
          </w:p>
        </w:tc>
      </w:tr>
      <w:tr>
        <w:trPr>
          <w:trHeight w:val="254" w:hRule="exact"/>
        </w:trPr>
        <w:tc>
          <w:tcPr>
            <w:tcW w:w="3773" w:type="dxa"/>
          </w:tcPr>
          <w:p>
            <w:pPr>
              <w:pStyle w:val="TableParagraph"/>
              <w:spacing w:before="44"/>
              <w:ind w:left="160"/>
              <w:rPr>
                <w:sz w:val="16"/>
              </w:rPr>
            </w:pPr>
            <w:r>
              <w:rPr>
                <w:color w:val="231F20"/>
                <w:sz w:val="16"/>
              </w:rPr>
              <w:t>Average passenger fare (11)</w:t>
            </w:r>
          </w:p>
        </w:tc>
        <w:tc>
          <w:tcPr>
            <w:tcW w:w="1027" w:type="dxa"/>
          </w:tcPr>
          <w:p>
            <w:pPr>
              <w:pStyle w:val="TableParagraph"/>
              <w:tabs>
                <w:tab w:pos="466" w:val="left" w:leader="none"/>
              </w:tabs>
              <w:spacing w:before="44"/>
              <w:ind w:left="26"/>
              <w:rPr>
                <w:sz w:val="16"/>
              </w:rPr>
            </w:pPr>
            <w:r>
              <w:rPr>
                <w:color w:val="231F20"/>
                <w:sz w:val="16"/>
              </w:rPr>
              <w:t>$</w:t>
              <w:tab/>
              <w:t>149.09</w:t>
            </w:r>
          </w:p>
        </w:tc>
        <w:tc>
          <w:tcPr>
            <w:tcW w:w="1080" w:type="dxa"/>
          </w:tcPr>
          <w:p>
            <w:pPr>
              <w:pStyle w:val="TableParagraph"/>
              <w:tabs>
                <w:tab w:pos="519" w:val="left" w:leader="none"/>
              </w:tabs>
              <w:spacing w:before="44"/>
              <w:ind w:left="80"/>
              <w:rPr>
                <w:sz w:val="16"/>
              </w:rPr>
            </w:pPr>
            <w:r>
              <w:rPr>
                <w:color w:val="231F20"/>
                <w:sz w:val="16"/>
              </w:rPr>
              <w:t>$</w:t>
              <w:tab/>
              <w:t>154.85</w:t>
            </w:r>
          </w:p>
        </w:tc>
        <w:tc>
          <w:tcPr>
            <w:tcW w:w="1080" w:type="dxa"/>
          </w:tcPr>
          <w:p>
            <w:pPr>
              <w:pStyle w:val="TableParagraph"/>
              <w:tabs>
                <w:tab w:pos="519" w:val="left" w:leader="none"/>
              </w:tabs>
              <w:spacing w:before="44"/>
              <w:ind w:left="80"/>
              <w:rPr>
                <w:sz w:val="16"/>
              </w:rPr>
            </w:pPr>
            <w:r>
              <w:rPr>
                <w:color w:val="231F20"/>
                <w:sz w:val="16"/>
              </w:rPr>
              <w:t>$</w:t>
              <w:tab/>
              <w:t>159.80</w:t>
            </w:r>
          </w:p>
        </w:tc>
        <w:tc>
          <w:tcPr>
            <w:tcW w:w="1080" w:type="dxa"/>
          </w:tcPr>
          <w:p>
            <w:pPr>
              <w:pStyle w:val="TableParagraph"/>
              <w:tabs>
                <w:tab w:pos="519" w:val="left" w:leader="none"/>
              </w:tabs>
              <w:spacing w:before="44"/>
              <w:ind w:left="80"/>
              <w:rPr>
                <w:sz w:val="16"/>
              </w:rPr>
            </w:pPr>
            <w:r>
              <w:rPr>
                <w:color w:val="231F20"/>
                <w:sz w:val="16"/>
              </w:rPr>
              <w:t>$</w:t>
              <w:tab/>
              <w:t>154.72</w:t>
            </w:r>
          </w:p>
        </w:tc>
        <w:tc>
          <w:tcPr>
            <w:tcW w:w="1080" w:type="dxa"/>
          </w:tcPr>
          <w:p>
            <w:pPr>
              <w:pStyle w:val="TableParagraph"/>
              <w:tabs>
                <w:tab w:pos="519" w:val="left" w:leader="none"/>
              </w:tabs>
              <w:spacing w:before="44"/>
              <w:ind w:left="80"/>
              <w:rPr>
                <w:sz w:val="16"/>
              </w:rPr>
            </w:pPr>
            <w:r>
              <w:rPr>
                <w:color w:val="231F20"/>
                <w:sz w:val="16"/>
              </w:rPr>
              <w:t>$</w:t>
              <w:tab/>
              <w:t>147.17</w:t>
            </w:r>
          </w:p>
        </w:tc>
      </w:tr>
      <w:tr>
        <w:trPr>
          <w:trHeight w:val="254" w:hRule="exact"/>
        </w:trPr>
        <w:tc>
          <w:tcPr>
            <w:tcW w:w="3773" w:type="dxa"/>
            <w:shd w:val="clear" w:color="auto" w:fill="D1D3D4"/>
          </w:tcPr>
          <w:p>
            <w:pPr>
              <w:pStyle w:val="TableParagraph"/>
              <w:spacing w:before="44"/>
              <w:ind w:left="160"/>
              <w:rPr>
                <w:sz w:val="16"/>
              </w:rPr>
            </w:pPr>
            <w:r>
              <w:rPr>
                <w:color w:val="231F20"/>
                <w:sz w:val="16"/>
              </w:rPr>
              <w:t>Passenger revenue yield per RPM (cents) (7)(11)</w:t>
            </w:r>
          </w:p>
        </w:tc>
        <w:tc>
          <w:tcPr>
            <w:tcW w:w="1027" w:type="dxa"/>
            <w:shd w:val="clear" w:color="auto" w:fill="D1D3D4"/>
          </w:tcPr>
          <w:p>
            <w:pPr>
              <w:pStyle w:val="TableParagraph"/>
              <w:spacing w:before="44"/>
              <w:ind w:right="119"/>
              <w:jc w:val="right"/>
              <w:rPr>
                <w:sz w:val="16"/>
              </w:rPr>
            </w:pPr>
            <w:r>
              <w:rPr>
                <w:color w:val="231F20"/>
                <w:sz w:val="16"/>
              </w:rPr>
              <w:t>14.90</w:t>
            </w:r>
          </w:p>
        </w:tc>
        <w:tc>
          <w:tcPr>
            <w:tcW w:w="1080" w:type="dxa"/>
            <w:shd w:val="clear" w:color="auto" w:fill="D1D3D4"/>
          </w:tcPr>
          <w:p>
            <w:pPr>
              <w:pStyle w:val="TableParagraph"/>
              <w:spacing w:before="44"/>
              <w:ind w:left="600"/>
              <w:rPr>
                <w:sz w:val="16"/>
              </w:rPr>
            </w:pPr>
            <w:r>
              <w:rPr>
                <w:color w:val="231F20"/>
                <w:sz w:val="16"/>
              </w:rPr>
              <w:t>15.57</w:t>
            </w:r>
          </w:p>
        </w:tc>
        <w:tc>
          <w:tcPr>
            <w:tcW w:w="1080" w:type="dxa"/>
            <w:shd w:val="clear" w:color="auto" w:fill="D1D3D4"/>
          </w:tcPr>
          <w:p>
            <w:pPr>
              <w:pStyle w:val="TableParagraph"/>
              <w:spacing w:before="44"/>
              <w:ind w:right="119"/>
              <w:jc w:val="right"/>
              <w:rPr>
                <w:sz w:val="16"/>
              </w:rPr>
            </w:pPr>
            <w:r>
              <w:rPr>
                <w:color w:val="231F20"/>
                <w:sz w:val="16"/>
              </w:rPr>
              <w:t>16.34</w:t>
            </w:r>
          </w:p>
        </w:tc>
        <w:tc>
          <w:tcPr>
            <w:tcW w:w="1080" w:type="dxa"/>
            <w:shd w:val="clear" w:color="auto" w:fill="D1D3D4"/>
          </w:tcPr>
          <w:p>
            <w:pPr>
              <w:pStyle w:val="TableParagraph"/>
              <w:spacing w:before="44"/>
              <w:ind w:left="600"/>
              <w:rPr>
                <w:sz w:val="16"/>
              </w:rPr>
            </w:pPr>
            <w:r>
              <w:rPr>
                <w:color w:val="231F20"/>
                <w:sz w:val="16"/>
              </w:rPr>
              <w:t>16.02</w:t>
            </w:r>
          </w:p>
        </w:tc>
        <w:tc>
          <w:tcPr>
            <w:tcW w:w="1080" w:type="dxa"/>
            <w:shd w:val="clear" w:color="auto" w:fill="D1D3D4"/>
          </w:tcPr>
          <w:p>
            <w:pPr>
              <w:pStyle w:val="TableParagraph"/>
              <w:spacing w:before="44"/>
              <w:ind w:right="118"/>
              <w:jc w:val="right"/>
              <w:rPr>
                <w:sz w:val="16"/>
              </w:rPr>
            </w:pPr>
            <w:r>
              <w:rPr>
                <w:color w:val="231F20"/>
                <w:sz w:val="16"/>
              </w:rPr>
              <w:t>15.64</w:t>
            </w:r>
          </w:p>
        </w:tc>
      </w:tr>
      <w:tr>
        <w:trPr>
          <w:trHeight w:val="254" w:hRule="exact"/>
        </w:trPr>
        <w:tc>
          <w:tcPr>
            <w:tcW w:w="3773" w:type="dxa"/>
          </w:tcPr>
          <w:p>
            <w:pPr>
              <w:pStyle w:val="TableParagraph"/>
              <w:spacing w:before="44"/>
              <w:ind w:left="160"/>
              <w:rPr>
                <w:sz w:val="16"/>
              </w:rPr>
            </w:pPr>
            <w:r>
              <w:rPr>
                <w:color w:val="231F20"/>
                <w:sz w:val="16"/>
              </w:rPr>
              <w:t>Operating revenue per ASM (cents) (8)</w:t>
            </w:r>
          </w:p>
        </w:tc>
        <w:tc>
          <w:tcPr>
            <w:tcW w:w="1027" w:type="dxa"/>
          </w:tcPr>
          <w:p>
            <w:pPr>
              <w:pStyle w:val="TableParagraph"/>
              <w:spacing w:before="44"/>
              <w:ind w:right="119"/>
              <w:jc w:val="right"/>
              <w:rPr>
                <w:sz w:val="16"/>
              </w:rPr>
            </w:pPr>
            <w:r>
              <w:rPr>
                <w:color w:val="231F20"/>
                <w:sz w:val="16"/>
              </w:rPr>
              <w:t>13.75</w:t>
            </w:r>
          </w:p>
        </w:tc>
        <w:tc>
          <w:tcPr>
            <w:tcW w:w="1080" w:type="dxa"/>
          </w:tcPr>
          <w:p>
            <w:pPr>
              <w:pStyle w:val="TableParagraph"/>
              <w:spacing w:before="44"/>
              <w:ind w:left="600"/>
              <w:rPr>
                <w:sz w:val="16"/>
              </w:rPr>
            </w:pPr>
            <w:r>
              <w:rPr>
                <w:color w:val="231F20"/>
                <w:sz w:val="16"/>
              </w:rPr>
              <w:t>13.98</w:t>
            </w:r>
          </w:p>
        </w:tc>
        <w:tc>
          <w:tcPr>
            <w:tcW w:w="1080" w:type="dxa"/>
          </w:tcPr>
          <w:p>
            <w:pPr>
              <w:pStyle w:val="TableParagraph"/>
              <w:spacing w:before="44"/>
              <w:ind w:right="119"/>
              <w:jc w:val="right"/>
              <w:rPr>
                <w:sz w:val="16"/>
              </w:rPr>
            </w:pPr>
            <w:r>
              <w:rPr>
                <w:color w:val="231F20"/>
                <w:sz w:val="16"/>
              </w:rPr>
              <w:t>14.20</w:t>
            </w:r>
          </w:p>
        </w:tc>
        <w:tc>
          <w:tcPr>
            <w:tcW w:w="1080" w:type="dxa"/>
          </w:tcPr>
          <w:p>
            <w:pPr>
              <w:pStyle w:val="TableParagraph"/>
              <w:spacing w:before="44"/>
              <w:ind w:left="600"/>
              <w:rPr>
                <w:sz w:val="16"/>
              </w:rPr>
            </w:pPr>
            <w:r>
              <w:rPr>
                <w:color w:val="231F20"/>
                <w:sz w:val="16"/>
              </w:rPr>
              <w:t>13.58</w:t>
            </w:r>
          </w:p>
        </w:tc>
        <w:tc>
          <w:tcPr>
            <w:tcW w:w="1080" w:type="dxa"/>
          </w:tcPr>
          <w:p>
            <w:pPr>
              <w:pStyle w:val="TableParagraph"/>
              <w:spacing w:before="44"/>
              <w:ind w:right="118"/>
              <w:jc w:val="right"/>
              <w:rPr>
                <w:sz w:val="16"/>
              </w:rPr>
            </w:pPr>
            <w:r>
              <w:rPr>
                <w:color w:val="231F20"/>
                <w:sz w:val="16"/>
              </w:rPr>
              <w:t>13.34</w:t>
            </w:r>
          </w:p>
        </w:tc>
      </w:tr>
      <w:tr>
        <w:trPr>
          <w:trHeight w:val="254" w:hRule="exact"/>
        </w:trPr>
        <w:tc>
          <w:tcPr>
            <w:tcW w:w="3773" w:type="dxa"/>
            <w:shd w:val="clear" w:color="auto" w:fill="D1D3D4"/>
          </w:tcPr>
          <w:p>
            <w:pPr>
              <w:pStyle w:val="TableParagraph"/>
              <w:spacing w:before="44"/>
              <w:ind w:left="160"/>
              <w:rPr>
                <w:sz w:val="16"/>
              </w:rPr>
            </w:pPr>
            <w:r>
              <w:rPr>
                <w:color w:val="231F20"/>
                <w:sz w:val="16"/>
              </w:rPr>
              <w:t>Passenger revenue per ASM (cents) (9)(11)</w:t>
            </w:r>
          </w:p>
        </w:tc>
        <w:tc>
          <w:tcPr>
            <w:tcW w:w="1027" w:type="dxa"/>
            <w:shd w:val="clear" w:color="auto" w:fill="D1D3D4"/>
          </w:tcPr>
          <w:p>
            <w:pPr>
              <w:pStyle w:val="TableParagraph"/>
              <w:spacing w:before="44"/>
              <w:ind w:right="119"/>
              <w:jc w:val="right"/>
              <w:rPr>
                <w:sz w:val="16"/>
              </w:rPr>
            </w:pPr>
            <w:r>
              <w:rPr>
                <w:color w:val="231F20"/>
                <w:sz w:val="16"/>
              </w:rPr>
              <w:t>12.52</w:t>
            </w:r>
          </w:p>
        </w:tc>
        <w:tc>
          <w:tcPr>
            <w:tcW w:w="1080" w:type="dxa"/>
            <w:shd w:val="clear" w:color="auto" w:fill="D1D3D4"/>
          </w:tcPr>
          <w:p>
            <w:pPr>
              <w:pStyle w:val="TableParagraph"/>
              <w:spacing w:before="44"/>
              <w:ind w:left="600"/>
              <w:rPr>
                <w:sz w:val="16"/>
              </w:rPr>
            </w:pPr>
            <w:r>
              <w:rPr>
                <w:color w:val="231F20"/>
                <w:sz w:val="16"/>
              </w:rPr>
              <w:t>13.02</w:t>
            </w:r>
          </w:p>
        </w:tc>
        <w:tc>
          <w:tcPr>
            <w:tcW w:w="1080" w:type="dxa"/>
            <w:shd w:val="clear" w:color="auto" w:fill="D1D3D4"/>
          </w:tcPr>
          <w:p>
            <w:pPr>
              <w:pStyle w:val="TableParagraph"/>
              <w:spacing w:before="44"/>
              <w:ind w:right="119"/>
              <w:jc w:val="right"/>
              <w:rPr>
                <w:sz w:val="16"/>
              </w:rPr>
            </w:pPr>
            <w:r>
              <w:rPr>
                <w:color w:val="231F20"/>
                <w:sz w:val="16"/>
              </w:rPr>
              <w:t>13.48</w:t>
            </w:r>
          </w:p>
        </w:tc>
        <w:tc>
          <w:tcPr>
            <w:tcW w:w="1080" w:type="dxa"/>
            <w:shd w:val="clear" w:color="auto" w:fill="D1D3D4"/>
          </w:tcPr>
          <w:p>
            <w:pPr>
              <w:pStyle w:val="TableParagraph"/>
              <w:spacing w:before="44"/>
              <w:ind w:left="600"/>
              <w:rPr>
                <w:sz w:val="16"/>
              </w:rPr>
            </w:pPr>
            <w:r>
              <w:rPr>
                <w:color w:val="231F20"/>
                <w:sz w:val="16"/>
              </w:rPr>
              <w:t>12.83</w:t>
            </w:r>
          </w:p>
        </w:tc>
        <w:tc>
          <w:tcPr>
            <w:tcW w:w="1080" w:type="dxa"/>
            <w:shd w:val="clear" w:color="auto" w:fill="D1D3D4"/>
          </w:tcPr>
          <w:p>
            <w:pPr>
              <w:pStyle w:val="TableParagraph"/>
              <w:spacing w:before="44"/>
              <w:ind w:right="118"/>
              <w:jc w:val="right"/>
              <w:rPr>
                <w:sz w:val="16"/>
              </w:rPr>
            </w:pPr>
            <w:r>
              <w:rPr>
                <w:color w:val="231F20"/>
                <w:sz w:val="16"/>
              </w:rPr>
              <w:t>12.56</w:t>
            </w:r>
          </w:p>
        </w:tc>
      </w:tr>
      <w:tr>
        <w:trPr>
          <w:trHeight w:val="254" w:hRule="exact"/>
        </w:trPr>
        <w:tc>
          <w:tcPr>
            <w:tcW w:w="3773" w:type="dxa"/>
          </w:tcPr>
          <w:p>
            <w:pPr>
              <w:pStyle w:val="TableParagraph"/>
              <w:spacing w:before="44"/>
              <w:ind w:left="160"/>
              <w:rPr>
                <w:sz w:val="16"/>
              </w:rPr>
            </w:pPr>
            <w:r>
              <w:rPr>
                <w:color w:val="231F20"/>
                <w:sz w:val="16"/>
              </w:rPr>
              <w:t>Operating expenses per ASM (cents) (10)</w:t>
            </w:r>
          </w:p>
        </w:tc>
        <w:tc>
          <w:tcPr>
            <w:tcW w:w="1027" w:type="dxa"/>
          </w:tcPr>
          <w:p>
            <w:pPr>
              <w:pStyle w:val="TableParagraph"/>
              <w:spacing w:before="44"/>
              <w:ind w:right="117"/>
              <w:jc w:val="right"/>
              <w:rPr>
                <w:sz w:val="16"/>
              </w:rPr>
            </w:pPr>
            <w:r>
              <w:rPr>
                <w:color w:val="231F20"/>
                <w:sz w:val="16"/>
              </w:rPr>
              <w:t>11.22</w:t>
            </w:r>
          </w:p>
        </w:tc>
        <w:tc>
          <w:tcPr>
            <w:tcW w:w="1080" w:type="dxa"/>
          </w:tcPr>
          <w:p>
            <w:pPr>
              <w:pStyle w:val="TableParagraph"/>
              <w:spacing w:before="44"/>
              <w:ind w:left="600"/>
              <w:rPr>
                <w:sz w:val="16"/>
              </w:rPr>
            </w:pPr>
            <w:r>
              <w:rPr>
                <w:color w:val="231F20"/>
                <w:sz w:val="16"/>
              </w:rPr>
              <w:t>11.18</w:t>
            </w:r>
          </w:p>
        </w:tc>
        <w:tc>
          <w:tcPr>
            <w:tcW w:w="1080" w:type="dxa"/>
          </w:tcPr>
          <w:p>
            <w:pPr>
              <w:pStyle w:val="TableParagraph"/>
              <w:spacing w:before="44"/>
              <w:ind w:right="117"/>
              <w:jc w:val="right"/>
              <w:rPr>
                <w:sz w:val="16"/>
              </w:rPr>
            </w:pPr>
            <w:r>
              <w:rPr>
                <w:color w:val="231F20"/>
                <w:sz w:val="16"/>
              </w:rPr>
              <w:t>12.50</w:t>
            </w:r>
          </w:p>
        </w:tc>
        <w:tc>
          <w:tcPr>
            <w:tcW w:w="1080" w:type="dxa"/>
          </w:tcPr>
          <w:p>
            <w:pPr>
              <w:pStyle w:val="TableParagraph"/>
              <w:spacing w:before="44"/>
              <w:ind w:left="600"/>
              <w:rPr>
                <w:sz w:val="16"/>
              </w:rPr>
            </w:pPr>
            <w:r>
              <w:rPr>
                <w:color w:val="231F20"/>
                <w:sz w:val="16"/>
              </w:rPr>
              <w:t>12.60</w:t>
            </w:r>
          </w:p>
        </w:tc>
        <w:tc>
          <w:tcPr>
            <w:tcW w:w="1080" w:type="dxa"/>
          </w:tcPr>
          <w:p>
            <w:pPr>
              <w:pStyle w:val="TableParagraph"/>
              <w:spacing w:before="44"/>
              <w:ind w:right="118"/>
              <w:jc w:val="right"/>
              <w:rPr>
                <w:sz w:val="16"/>
              </w:rPr>
            </w:pPr>
            <w:r>
              <w:rPr>
                <w:color w:val="231F20"/>
                <w:sz w:val="16"/>
              </w:rPr>
              <w:t>12.85</w:t>
            </w:r>
          </w:p>
        </w:tc>
      </w:tr>
      <w:tr>
        <w:trPr>
          <w:trHeight w:val="254" w:hRule="exact"/>
        </w:trPr>
        <w:tc>
          <w:tcPr>
            <w:tcW w:w="3773" w:type="dxa"/>
            <w:shd w:val="clear" w:color="auto" w:fill="D1D3D4"/>
          </w:tcPr>
          <w:p>
            <w:pPr>
              <w:pStyle w:val="TableParagraph"/>
              <w:spacing w:before="44"/>
              <w:ind w:left="160"/>
              <w:rPr>
                <w:sz w:val="16"/>
              </w:rPr>
            </w:pPr>
            <w:r>
              <w:rPr>
                <w:color w:val="231F20"/>
                <w:sz w:val="16"/>
              </w:rPr>
              <w:t>Operating expenses per ASM, excluding fuel (cents)</w:t>
            </w:r>
          </w:p>
        </w:tc>
        <w:tc>
          <w:tcPr>
            <w:tcW w:w="1027" w:type="dxa"/>
            <w:shd w:val="clear" w:color="auto" w:fill="D1D3D4"/>
          </w:tcPr>
          <w:p>
            <w:pPr>
              <w:pStyle w:val="TableParagraph"/>
              <w:spacing w:before="44"/>
              <w:ind w:right="117"/>
              <w:jc w:val="right"/>
              <w:rPr>
                <w:sz w:val="16"/>
              </w:rPr>
            </w:pPr>
            <w:r>
              <w:rPr>
                <w:color w:val="231F20"/>
                <w:sz w:val="16"/>
              </w:rPr>
              <w:t>8.76</w:t>
            </w:r>
          </w:p>
        </w:tc>
        <w:tc>
          <w:tcPr>
            <w:tcW w:w="1080" w:type="dxa"/>
            <w:shd w:val="clear" w:color="auto" w:fill="D1D3D4"/>
          </w:tcPr>
          <w:p>
            <w:pPr>
              <w:pStyle w:val="TableParagraph"/>
              <w:spacing w:before="44"/>
              <w:ind w:left="680"/>
              <w:rPr>
                <w:sz w:val="16"/>
              </w:rPr>
            </w:pPr>
            <w:r>
              <w:rPr>
                <w:color w:val="231F20"/>
                <w:sz w:val="16"/>
              </w:rPr>
              <w:t>8.60</w:t>
            </w:r>
          </w:p>
        </w:tc>
        <w:tc>
          <w:tcPr>
            <w:tcW w:w="1080" w:type="dxa"/>
            <w:shd w:val="clear" w:color="auto" w:fill="D1D3D4"/>
          </w:tcPr>
          <w:p>
            <w:pPr>
              <w:pStyle w:val="TableParagraph"/>
              <w:spacing w:before="44"/>
              <w:ind w:right="117"/>
              <w:jc w:val="right"/>
              <w:rPr>
                <w:sz w:val="16"/>
              </w:rPr>
            </w:pPr>
            <w:r>
              <w:rPr>
                <w:color w:val="231F20"/>
                <w:sz w:val="16"/>
              </w:rPr>
              <w:t>8.46</w:t>
            </w:r>
          </w:p>
        </w:tc>
        <w:tc>
          <w:tcPr>
            <w:tcW w:w="1080" w:type="dxa"/>
            <w:shd w:val="clear" w:color="auto" w:fill="D1D3D4"/>
          </w:tcPr>
          <w:p>
            <w:pPr>
              <w:pStyle w:val="TableParagraph"/>
              <w:spacing w:before="44"/>
              <w:ind w:left="680"/>
              <w:rPr>
                <w:sz w:val="16"/>
              </w:rPr>
            </w:pPr>
            <w:r>
              <w:rPr>
                <w:color w:val="231F20"/>
                <w:sz w:val="16"/>
              </w:rPr>
              <w:t>8.18</w:t>
            </w:r>
          </w:p>
        </w:tc>
        <w:tc>
          <w:tcPr>
            <w:tcW w:w="1080" w:type="dxa"/>
            <w:shd w:val="clear" w:color="auto" w:fill="D1D3D4"/>
          </w:tcPr>
          <w:p>
            <w:pPr>
              <w:pStyle w:val="TableParagraph"/>
              <w:spacing w:before="44"/>
              <w:ind w:right="118"/>
              <w:jc w:val="right"/>
              <w:rPr>
                <w:sz w:val="16"/>
              </w:rPr>
            </w:pPr>
            <w:r>
              <w:rPr>
                <w:color w:val="231F20"/>
                <w:sz w:val="16"/>
              </w:rPr>
              <w:t>8.07</w:t>
            </w:r>
          </w:p>
        </w:tc>
      </w:tr>
      <w:tr>
        <w:trPr>
          <w:trHeight w:val="448" w:hRule="exact"/>
        </w:trPr>
        <w:tc>
          <w:tcPr>
            <w:tcW w:w="3773" w:type="dxa"/>
          </w:tcPr>
          <w:p>
            <w:pPr>
              <w:pStyle w:val="TableParagraph"/>
              <w:spacing w:line="252" w:lineRule="auto" w:before="44"/>
              <w:ind w:left="320" w:hanging="160"/>
              <w:rPr>
                <w:sz w:val="16"/>
              </w:rPr>
            </w:pPr>
            <w:r>
              <w:rPr>
                <w:color w:val="231F20"/>
                <w:sz w:val="16"/>
              </w:rPr>
              <w:t>Operating expenses per ASM, excluding fuel and profitsharing (cents)</w:t>
            </w:r>
          </w:p>
        </w:tc>
        <w:tc>
          <w:tcPr>
            <w:tcW w:w="1027" w:type="dxa"/>
          </w:tcPr>
          <w:p>
            <w:pPr>
              <w:pStyle w:val="TableParagraph"/>
              <w:spacing w:before="8"/>
              <w:rPr>
                <w:b/>
                <w:sz w:val="20"/>
              </w:rPr>
            </w:pPr>
          </w:p>
          <w:p>
            <w:pPr>
              <w:pStyle w:val="TableParagraph"/>
              <w:spacing w:before="0"/>
              <w:ind w:right="119"/>
              <w:jc w:val="right"/>
              <w:rPr>
                <w:sz w:val="16"/>
              </w:rPr>
            </w:pPr>
            <w:r>
              <w:rPr>
                <w:color w:val="231F20"/>
                <w:sz w:val="16"/>
              </w:rPr>
              <w:t>8.37</w:t>
            </w:r>
          </w:p>
        </w:tc>
        <w:tc>
          <w:tcPr>
            <w:tcW w:w="1080" w:type="dxa"/>
          </w:tcPr>
          <w:p>
            <w:pPr>
              <w:pStyle w:val="TableParagraph"/>
              <w:spacing w:before="8"/>
              <w:rPr>
                <w:b/>
                <w:sz w:val="20"/>
              </w:rPr>
            </w:pPr>
          </w:p>
          <w:p>
            <w:pPr>
              <w:pStyle w:val="TableParagraph"/>
              <w:spacing w:before="0"/>
              <w:ind w:left="680"/>
              <w:rPr>
                <w:sz w:val="16"/>
              </w:rPr>
            </w:pPr>
            <w:r>
              <w:rPr>
                <w:color w:val="231F20"/>
                <w:sz w:val="16"/>
              </w:rPr>
              <w:t>8.16</w:t>
            </w:r>
          </w:p>
        </w:tc>
        <w:tc>
          <w:tcPr>
            <w:tcW w:w="1080" w:type="dxa"/>
          </w:tcPr>
          <w:p>
            <w:pPr>
              <w:pStyle w:val="TableParagraph"/>
              <w:spacing w:before="8"/>
              <w:rPr>
                <w:b/>
                <w:sz w:val="20"/>
              </w:rPr>
            </w:pPr>
          </w:p>
          <w:p>
            <w:pPr>
              <w:pStyle w:val="TableParagraph"/>
              <w:spacing w:before="0"/>
              <w:ind w:right="119"/>
              <w:jc w:val="right"/>
              <w:rPr>
                <w:sz w:val="16"/>
              </w:rPr>
            </w:pPr>
            <w:r>
              <w:rPr>
                <w:color w:val="231F20"/>
                <w:sz w:val="16"/>
              </w:rPr>
              <w:t>8.19</w:t>
            </w:r>
          </w:p>
        </w:tc>
        <w:tc>
          <w:tcPr>
            <w:tcW w:w="1080" w:type="dxa"/>
          </w:tcPr>
          <w:p>
            <w:pPr>
              <w:pStyle w:val="TableParagraph"/>
              <w:spacing w:before="8"/>
              <w:rPr>
                <w:b/>
                <w:sz w:val="20"/>
              </w:rPr>
            </w:pPr>
          </w:p>
          <w:p>
            <w:pPr>
              <w:pStyle w:val="TableParagraph"/>
              <w:spacing w:before="0"/>
              <w:ind w:left="680"/>
              <w:rPr>
                <w:sz w:val="16"/>
              </w:rPr>
            </w:pPr>
            <w:r>
              <w:rPr>
                <w:color w:val="231F20"/>
                <w:sz w:val="16"/>
              </w:rPr>
              <w:t>8.01</w:t>
            </w:r>
          </w:p>
        </w:tc>
        <w:tc>
          <w:tcPr>
            <w:tcW w:w="1080" w:type="dxa"/>
          </w:tcPr>
          <w:p>
            <w:pPr>
              <w:pStyle w:val="TableParagraph"/>
              <w:spacing w:before="8"/>
              <w:rPr>
                <w:b/>
                <w:sz w:val="20"/>
              </w:rPr>
            </w:pPr>
          </w:p>
          <w:p>
            <w:pPr>
              <w:pStyle w:val="TableParagraph"/>
              <w:spacing w:before="0"/>
              <w:ind w:right="118"/>
              <w:jc w:val="right"/>
              <w:rPr>
                <w:sz w:val="16"/>
              </w:rPr>
            </w:pPr>
            <w:r>
              <w:rPr>
                <w:color w:val="231F20"/>
                <w:sz w:val="16"/>
              </w:rPr>
              <w:t>7.98</w:t>
            </w:r>
          </w:p>
        </w:tc>
      </w:tr>
      <w:tr>
        <w:trPr>
          <w:trHeight w:val="254" w:hRule="exact"/>
        </w:trPr>
        <w:tc>
          <w:tcPr>
            <w:tcW w:w="3773" w:type="dxa"/>
            <w:shd w:val="clear" w:color="auto" w:fill="D1D3D4"/>
          </w:tcPr>
          <w:p>
            <w:pPr>
              <w:pStyle w:val="TableParagraph"/>
              <w:spacing w:before="44"/>
              <w:ind w:left="160"/>
              <w:rPr>
                <w:sz w:val="16"/>
              </w:rPr>
            </w:pPr>
            <w:r>
              <w:rPr>
                <w:color w:val="231F20"/>
                <w:sz w:val="16"/>
              </w:rPr>
              <w:t>Fuel costs per gallon, including fuel tax</w:t>
            </w:r>
          </w:p>
        </w:tc>
        <w:tc>
          <w:tcPr>
            <w:tcW w:w="1027" w:type="dxa"/>
            <w:shd w:val="clear" w:color="auto" w:fill="D1D3D4"/>
          </w:tcPr>
          <w:p>
            <w:pPr>
              <w:pStyle w:val="TableParagraph"/>
              <w:tabs>
                <w:tab w:pos="626" w:val="left" w:leader="none"/>
              </w:tabs>
              <w:spacing w:before="44"/>
              <w:ind w:left="26"/>
              <w:rPr>
                <w:sz w:val="16"/>
              </w:rPr>
            </w:pPr>
            <w:r>
              <w:rPr>
                <w:color w:val="231F20"/>
                <w:sz w:val="16"/>
              </w:rPr>
              <w:t>$</w:t>
              <w:tab/>
              <w:t>1.82</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1.90</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2.93</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3.16</w:t>
            </w:r>
          </w:p>
        </w:tc>
        <w:tc>
          <w:tcPr>
            <w:tcW w:w="1080" w:type="dxa"/>
            <w:shd w:val="clear" w:color="auto" w:fill="D1D3D4"/>
          </w:tcPr>
          <w:p>
            <w:pPr>
              <w:pStyle w:val="TableParagraph"/>
              <w:tabs>
                <w:tab w:pos="679" w:val="left" w:leader="none"/>
              </w:tabs>
              <w:spacing w:before="44"/>
              <w:ind w:left="80"/>
              <w:rPr>
                <w:sz w:val="16"/>
              </w:rPr>
            </w:pPr>
            <w:r>
              <w:rPr>
                <w:color w:val="231F20"/>
                <w:sz w:val="16"/>
              </w:rPr>
              <w:t>$</w:t>
              <w:tab/>
              <w:t>3.30</w:t>
            </w:r>
          </w:p>
        </w:tc>
      </w:tr>
      <w:tr>
        <w:trPr>
          <w:trHeight w:val="254" w:hRule="exact"/>
        </w:trPr>
        <w:tc>
          <w:tcPr>
            <w:tcW w:w="3773" w:type="dxa"/>
          </w:tcPr>
          <w:p>
            <w:pPr>
              <w:pStyle w:val="TableParagraph"/>
              <w:spacing w:before="44"/>
              <w:ind w:left="160"/>
              <w:rPr>
                <w:sz w:val="16"/>
              </w:rPr>
            </w:pPr>
            <w:r>
              <w:rPr>
                <w:color w:val="231F20"/>
                <w:sz w:val="16"/>
              </w:rPr>
              <w:t>Fuel costs per gallon, including fuel tax, economic</w:t>
            </w:r>
          </w:p>
        </w:tc>
        <w:tc>
          <w:tcPr>
            <w:tcW w:w="1027" w:type="dxa"/>
          </w:tcPr>
          <w:p>
            <w:pPr>
              <w:pStyle w:val="TableParagraph"/>
              <w:tabs>
                <w:tab w:pos="626" w:val="left" w:leader="none"/>
              </w:tabs>
              <w:spacing w:before="44"/>
              <w:ind w:left="26"/>
              <w:rPr>
                <w:sz w:val="16"/>
              </w:rPr>
            </w:pPr>
            <w:r>
              <w:rPr>
                <w:color w:val="231F20"/>
                <w:sz w:val="16"/>
              </w:rPr>
              <w:t>$</w:t>
              <w:tab/>
              <w:t>1.92</w:t>
            </w:r>
          </w:p>
        </w:tc>
        <w:tc>
          <w:tcPr>
            <w:tcW w:w="1080" w:type="dxa"/>
          </w:tcPr>
          <w:p>
            <w:pPr>
              <w:pStyle w:val="TableParagraph"/>
              <w:tabs>
                <w:tab w:pos="679" w:val="left" w:leader="none"/>
              </w:tabs>
              <w:spacing w:before="44"/>
              <w:ind w:left="80"/>
              <w:rPr>
                <w:sz w:val="16"/>
              </w:rPr>
            </w:pPr>
            <w:r>
              <w:rPr>
                <w:color w:val="231F20"/>
                <w:sz w:val="16"/>
              </w:rPr>
              <w:t>$</w:t>
              <w:tab/>
              <w:t>2.07</w:t>
            </w:r>
          </w:p>
        </w:tc>
        <w:tc>
          <w:tcPr>
            <w:tcW w:w="1080" w:type="dxa"/>
          </w:tcPr>
          <w:p>
            <w:pPr>
              <w:pStyle w:val="TableParagraph"/>
              <w:tabs>
                <w:tab w:pos="679" w:val="left" w:leader="none"/>
              </w:tabs>
              <w:spacing w:before="44"/>
              <w:ind w:left="80"/>
              <w:rPr>
                <w:sz w:val="16"/>
              </w:rPr>
            </w:pPr>
            <w:r>
              <w:rPr>
                <w:color w:val="231F20"/>
                <w:sz w:val="16"/>
              </w:rPr>
              <w:t>$</w:t>
              <w:tab/>
              <w:t>2.92</w:t>
            </w:r>
          </w:p>
        </w:tc>
        <w:tc>
          <w:tcPr>
            <w:tcW w:w="1080" w:type="dxa"/>
          </w:tcPr>
          <w:p>
            <w:pPr>
              <w:pStyle w:val="TableParagraph"/>
              <w:tabs>
                <w:tab w:pos="679" w:val="left" w:leader="none"/>
              </w:tabs>
              <w:spacing w:before="44"/>
              <w:ind w:left="80"/>
              <w:rPr>
                <w:sz w:val="16"/>
              </w:rPr>
            </w:pPr>
            <w:r>
              <w:rPr>
                <w:color w:val="231F20"/>
                <w:sz w:val="16"/>
              </w:rPr>
              <w:t>$</w:t>
              <w:tab/>
              <w:t>3.12</w:t>
            </w:r>
          </w:p>
        </w:tc>
        <w:tc>
          <w:tcPr>
            <w:tcW w:w="1080" w:type="dxa"/>
          </w:tcPr>
          <w:p>
            <w:pPr>
              <w:pStyle w:val="TableParagraph"/>
              <w:tabs>
                <w:tab w:pos="679" w:val="left" w:leader="none"/>
              </w:tabs>
              <w:spacing w:before="44"/>
              <w:ind w:left="80"/>
              <w:rPr>
                <w:sz w:val="16"/>
              </w:rPr>
            </w:pPr>
            <w:r>
              <w:rPr>
                <w:color w:val="231F20"/>
                <w:sz w:val="16"/>
              </w:rPr>
              <w:t>$</w:t>
              <w:tab/>
              <w:t>3.28</w:t>
            </w:r>
          </w:p>
        </w:tc>
      </w:tr>
      <w:tr>
        <w:trPr>
          <w:trHeight w:val="254" w:hRule="exact"/>
        </w:trPr>
        <w:tc>
          <w:tcPr>
            <w:tcW w:w="3773" w:type="dxa"/>
            <w:shd w:val="clear" w:color="auto" w:fill="D1D3D4"/>
          </w:tcPr>
          <w:p>
            <w:pPr>
              <w:pStyle w:val="TableParagraph"/>
              <w:spacing w:before="44"/>
              <w:ind w:left="160"/>
              <w:rPr>
                <w:sz w:val="16"/>
              </w:rPr>
            </w:pPr>
            <w:r>
              <w:rPr>
                <w:color w:val="231F20"/>
                <w:sz w:val="16"/>
              </w:rPr>
              <w:t>Fuel consumed, in gallons (millions)</w:t>
            </w:r>
          </w:p>
        </w:tc>
        <w:tc>
          <w:tcPr>
            <w:tcW w:w="1027" w:type="dxa"/>
            <w:shd w:val="clear" w:color="auto" w:fill="D1D3D4"/>
          </w:tcPr>
          <w:p>
            <w:pPr>
              <w:pStyle w:val="TableParagraph"/>
              <w:spacing w:before="44"/>
              <w:ind w:right="117"/>
              <w:jc w:val="right"/>
              <w:rPr>
                <w:sz w:val="16"/>
              </w:rPr>
            </w:pPr>
            <w:r>
              <w:rPr>
                <w:color w:val="231F20"/>
                <w:sz w:val="16"/>
              </w:rPr>
              <w:t>1,996</w:t>
            </w:r>
          </w:p>
        </w:tc>
        <w:tc>
          <w:tcPr>
            <w:tcW w:w="1080" w:type="dxa"/>
            <w:shd w:val="clear" w:color="auto" w:fill="D1D3D4"/>
          </w:tcPr>
          <w:p>
            <w:pPr>
              <w:pStyle w:val="TableParagraph"/>
              <w:spacing w:before="44"/>
              <w:ind w:left="600"/>
              <w:rPr>
                <w:sz w:val="16"/>
              </w:rPr>
            </w:pPr>
            <w:r>
              <w:rPr>
                <w:color w:val="231F20"/>
                <w:sz w:val="16"/>
              </w:rPr>
              <w:t>1,901</w:t>
            </w:r>
          </w:p>
        </w:tc>
        <w:tc>
          <w:tcPr>
            <w:tcW w:w="1080" w:type="dxa"/>
            <w:shd w:val="clear" w:color="auto" w:fill="D1D3D4"/>
          </w:tcPr>
          <w:p>
            <w:pPr>
              <w:pStyle w:val="TableParagraph"/>
              <w:spacing w:before="44"/>
              <w:ind w:right="117"/>
              <w:jc w:val="right"/>
              <w:rPr>
                <w:sz w:val="16"/>
              </w:rPr>
            </w:pPr>
            <w:r>
              <w:rPr>
                <w:color w:val="231F20"/>
                <w:sz w:val="16"/>
              </w:rPr>
              <w:t>1,801</w:t>
            </w:r>
          </w:p>
        </w:tc>
        <w:tc>
          <w:tcPr>
            <w:tcW w:w="1080" w:type="dxa"/>
            <w:shd w:val="clear" w:color="auto" w:fill="D1D3D4"/>
          </w:tcPr>
          <w:p>
            <w:pPr>
              <w:pStyle w:val="TableParagraph"/>
              <w:spacing w:before="44"/>
              <w:ind w:left="600"/>
              <w:rPr>
                <w:sz w:val="16"/>
              </w:rPr>
            </w:pPr>
            <w:r>
              <w:rPr>
                <w:color w:val="231F20"/>
                <w:sz w:val="16"/>
              </w:rPr>
              <w:t>1,818</w:t>
            </w:r>
          </w:p>
        </w:tc>
        <w:tc>
          <w:tcPr>
            <w:tcW w:w="1080" w:type="dxa"/>
            <w:shd w:val="clear" w:color="auto" w:fill="D1D3D4"/>
          </w:tcPr>
          <w:p>
            <w:pPr>
              <w:pStyle w:val="TableParagraph"/>
              <w:spacing w:before="44"/>
              <w:ind w:right="118"/>
              <w:jc w:val="right"/>
              <w:rPr>
                <w:sz w:val="16"/>
              </w:rPr>
            </w:pPr>
            <w:r>
              <w:rPr>
                <w:color w:val="231F20"/>
                <w:sz w:val="16"/>
              </w:rPr>
              <w:t>1,847</w:t>
            </w:r>
          </w:p>
        </w:tc>
      </w:tr>
      <w:tr>
        <w:trPr>
          <w:trHeight w:val="254" w:hRule="exact"/>
        </w:trPr>
        <w:tc>
          <w:tcPr>
            <w:tcW w:w="3773" w:type="dxa"/>
          </w:tcPr>
          <w:p>
            <w:pPr>
              <w:pStyle w:val="TableParagraph"/>
              <w:spacing w:before="44"/>
              <w:ind w:left="160"/>
              <w:rPr>
                <w:sz w:val="16"/>
              </w:rPr>
            </w:pPr>
            <w:r>
              <w:rPr>
                <w:color w:val="231F20"/>
                <w:sz w:val="16"/>
              </w:rPr>
              <w:t>Active fulltime equivalent Employees</w:t>
            </w:r>
          </w:p>
        </w:tc>
        <w:tc>
          <w:tcPr>
            <w:tcW w:w="1027" w:type="dxa"/>
          </w:tcPr>
          <w:p>
            <w:pPr>
              <w:pStyle w:val="TableParagraph"/>
              <w:spacing w:before="44"/>
              <w:ind w:right="119"/>
              <w:jc w:val="right"/>
              <w:rPr>
                <w:sz w:val="16"/>
              </w:rPr>
            </w:pPr>
            <w:r>
              <w:rPr>
                <w:color w:val="231F20"/>
                <w:sz w:val="16"/>
              </w:rPr>
              <w:t>53,536</w:t>
            </w:r>
          </w:p>
        </w:tc>
        <w:tc>
          <w:tcPr>
            <w:tcW w:w="1080" w:type="dxa"/>
          </w:tcPr>
          <w:p>
            <w:pPr>
              <w:pStyle w:val="TableParagraph"/>
              <w:spacing w:before="44"/>
              <w:ind w:left="520"/>
              <w:rPr>
                <w:sz w:val="16"/>
              </w:rPr>
            </w:pPr>
            <w:r>
              <w:rPr>
                <w:color w:val="231F20"/>
                <w:sz w:val="16"/>
              </w:rPr>
              <w:t>49,583</w:t>
            </w:r>
          </w:p>
        </w:tc>
        <w:tc>
          <w:tcPr>
            <w:tcW w:w="1080" w:type="dxa"/>
          </w:tcPr>
          <w:p>
            <w:pPr>
              <w:pStyle w:val="TableParagraph"/>
              <w:spacing w:before="44"/>
              <w:ind w:right="119"/>
              <w:jc w:val="right"/>
              <w:rPr>
                <w:sz w:val="16"/>
              </w:rPr>
            </w:pPr>
            <w:r>
              <w:rPr>
                <w:color w:val="231F20"/>
                <w:sz w:val="16"/>
              </w:rPr>
              <w:t>46,278</w:t>
            </w:r>
          </w:p>
        </w:tc>
        <w:tc>
          <w:tcPr>
            <w:tcW w:w="1080" w:type="dxa"/>
          </w:tcPr>
          <w:p>
            <w:pPr>
              <w:pStyle w:val="TableParagraph"/>
              <w:spacing w:before="44"/>
              <w:ind w:left="520"/>
              <w:rPr>
                <w:sz w:val="16"/>
              </w:rPr>
            </w:pPr>
            <w:r>
              <w:rPr>
                <w:color w:val="231F20"/>
                <w:sz w:val="16"/>
              </w:rPr>
              <w:t>44,381</w:t>
            </w:r>
          </w:p>
        </w:tc>
        <w:tc>
          <w:tcPr>
            <w:tcW w:w="1080" w:type="dxa"/>
          </w:tcPr>
          <w:p>
            <w:pPr>
              <w:pStyle w:val="TableParagraph"/>
              <w:spacing w:before="44"/>
              <w:ind w:right="118"/>
              <w:jc w:val="right"/>
              <w:rPr>
                <w:sz w:val="16"/>
              </w:rPr>
            </w:pPr>
            <w:r>
              <w:rPr>
                <w:color w:val="231F20"/>
                <w:sz w:val="16"/>
              </w:rPr>
              <w:t>45,861</w:t>
            </w:r>
          </w:p>
        </w:tc>
      </w:tr>
      <w:tr>
        <w:trPr>
          <w:trHeight w:val="254" w:hRule="exact"/>
        </w:trPr>
        <w:tc>
          <w:tcPr>
            <w:tcW w:w="3773" w:type="dxa"/>
            <w:shd w:val="clear" w:color="auto" w:fill="D1D3D4"/>
          </w:tcPr>
          <w:p>
            <w:pPr>
              <w:pStyle w:val="TableParagraph"/>
              <w:spacing w:before="44"/>
              <w:ind w:left="160"/>
              <w:rPr>
                <w:sz w:val="16"/>
              </w:rPr>
            </w:pPr>
            <w:r>
              <w:rPr>
                <w:color w:val="231F20"/>
                <w:sz w:val="16"/>
              </w:rPr>
              <w:t>Aircraft at end of period</w:t>
            </w:r>
          </w:p>
        </w:tc>
        <w:tc>
          <w:tcPr>
            <w:tcW w:w="1027" w:type="dxa"/>
            <w:shd w:val="clear" w:color="auto" w:fill="D1D3D4"/>
          </w:tcPr>
          <w:p>
            <w:pPr>
              <w:pStyle w:val="TableParagraph"/>
              <w:spacing w:before="44"/>
              <w:ind w:right="117"/>
              <w:jc w:val="right"/>
              <w:rPr>
                <w:sz w:val="16"/>
              </w:rPr>
            </w:pPr>
            <w:r>
              <w:rPr>
                <w:color w:val="231F20"/>
                <w:sz w:val="16"/>
              </w:rPr>
              <w:t>723</w:t>
            </w:r>
          </w:p>
        </w:tc>
        <w:tc>
          <w:tcPr>
            <w:tcW w:w="1080" w:type="dxa"/>
            <w:shd w:val="clear" w:color="auto" w:fill="D1D3D4"/>
          </w:tcPr>
          <w:p>
            <w:pPr>
              <w:pStyle w:val="TableParagraph"/>
              <w:spacing w:before="44"/>
              <w:ind w:right="117"/>
              <w:jc w:val="right"/>
              <w:rPr>
                <w:sz w:val="16"/>
              </w:rPr>
            </w:pPr>
            <w:r>
              <w:rPr>
                <w:color w:val="231F20"/>
                <w:sz w:val="16"/>
              </w:rPr>
              <w:t>704</w:t>
            </w:r>
          </w:p>
        </w:tc>
        <w:tc>
          <w:tcPr>
            <w:tcW w:w="1080" w:type="dxa"/>
            <w:shd w:val="clear" w:color="auto" w:fill="D1D3D4"/>
          </w:tcPr>
          <w:p>
            <w:pPr>
              <w:pStyle w:val="TableParagraph"/>
              <w:spacing w:before="44"/>
              <w:ind w:right="117"/>
              <w:jc w:val="right"/>
              <w:rPr>
                <w:sz w:val="16"/>
              </w:rPr>
            </w:pPr>
            <w:r>
              <w:rPr>
                <w:color w:val="231F20"/>
                <w:sz w:val="16"/>
              </w:rPr>
              <w:t>665</w:t>
            </w:r>
          </w:p>
        </w:tc>
        <w:tc>
          <w:tcPr>
            <w:tcW w:w="1080" w:type="dxa"/>
            <w:shd w:val="clear" w:color="auto" w:fill="D1D3D4"/>
          </w:tcPr>
          <w:p>
            <w:pPr>
              <w:pStyle w:val="TableParagraph"/>
              <w:spacing w:before="44"/>
              <w:ind w:right="117"/>
              <w:jc w:val="right"/>
              <w:rPr>
                <w:sz w:val="16"/>
              </w:rPr>
            </w:pPr>
            <w:r>
              <w:rPr>
                <w:color w:val="231F20"/>
                <w:sz w:val="16"/>
              </w:rPr>
              <w:t>681</w:t>
            </w:r>
          </w:p>
        </w:tc>
        <w:tc>
          <w:tcPr>
            <w:tcW w:w="1080" w:type="dxa"/>
            <w:shd w:val="clear" w:color="auto" w:fill="D1D3D4"/>
          </w:tcPr>
          <w:p>
            <w:pPr>
              <w:pStyle w:val="TableParagraph"/>
              <w:spacing w:before="44"/>
              <w:ind w:right="118"/>
              <w:jc w:val="right"/>
              <w:rPr>
                <w:sz w:val="16"/>
              </w:rPr>
            </w:pPr>
            <w:r>
              <w:rPr>
                <w:color w:val="231F20"/>
                <w:sz w:val="16"/>
              </w:rPr>
              <w:t>694</w:t>
            </w:r>
          </w:p>
        </w:tc>
      </w:tr>
    </w:tbl>
    <w:p>
      <w:pPr>
        <w:spacing w:after="0"/>
        <w:jc w:val="right"/>
        <w:rPr>
          <w:sz w:val="16"/>
        </w:rPr>
        <w:sectPr>
          <w:pgSz w:w="11880" w:h="15480"/>
          <w:pgMar w:header="0" w:footer="1240" w:top="1240" w:bottom="1420" w:left="1280" w:right="1260"/>
        </w:sectPr>
      </w:pPr>
    </w:p>
    <w:p>
      <w:pPr>
        <w:pStyle w:val="ListParagraph"/>
        <w:numPr>
          <w:ilvl w:val="0"/>
          <w:numId w:val="8"/>
        </w:numPr>
        <w:tabs>
          <w:tab w:pos="420" w:val="left" w:leader="none"/>
        </w:tabs>
        <w:spacing w:line="240" w:lineRule="auto" w:before="70" w:after="0"/>
        <w:ind w:left="420" w:right="0" w:hanging="320"/>
        <w:jc w:val="left"/>
        <w:rPr>
          <w:sz w:val="16"/>
        </w:rPr>
      </w:pPr>
      <w:r>
        <w:rPr>
          <w:color w:val="231F20"/>
          <w:sz w:val="16"/>
        </w:rPr>
        <w:t>Historical amounts have been restated to align with current</w:t>
      </w:r>
      <w:r>
        <w:rPr>
          <w:color w:val="231F20"/>
          <w:spacing w:val="-14"/>
          <w:sz w:val="16"/>
        </w:rPr>
        <w:t> </w:t>
      </w:r>
      <w:r>
        <w:rPr>
          <w:color w:val="231F20"/>
          <w:sz w:val="16"/>
        </w:rPr>
        <w:t>presentation.</w:t>
      </w:r>
    </w:p>
    <w:p>
      <w:pPr>
        <w:pStyle w:val="ListParagraph"/>
        <w:numPr>
          <w:ilvl w:val="0"/>
          <w:numId w:val="8"/>
        </w:numPr>
        <w:tabs>
          <w:tab w:pos="420" w:val="left" w:leader="none"/>
        </w:tabs>
        <w:spacing w:line="261" w:lineRule="auto" w:before="15" w:after="0"/>
        <w:ind w:left="420" w:right="117" w:hanging="320"/>
        <w:jc w:val="left"/>
        <w:rPr>
          <w:sz w:val="16"/>
        </w:rPr>
      </w:pPr>
      <w:r>
        <w:rPr>
          <w:color w:val="231F20"/>
          <w:sz w:val="16"/>
        </w:rPr>
        <w:t>A revenue passenger mile is one paying passenger flown one mile. Also referred to as “traffic,” which is a measure of demand for a given</w:t>
      </w:r>
      <w:r>
        <w:rPr>
          <w:color w:val="231F20"/>
          <w:spacing w:val="-1"/>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An available seat mile is one seat (empty or full) flown one mile. Also referred to as “capacity,” which is a measure of the space available to carry passengers in a given</w:t>
      </w:r>
      <w:r>
        <w:rPr>
          <w:color w:val="231F20"/>
          <w:spacing w:val="-9"/>
          <w:sz w:val="16"/>
        </w:rPr>
        <w:t> </w:t>
      </w:r>
      <w:r>
        <w:rPr>
          <w:color w:val="231F20"/>
          <w:sz w:val="16"/>
        </w:rPr>
        <w:t>period.</w:t>
      </w:r>
    </w:p>
    <w:p>
      <w:pPr>
        <w:pStyle w:val="ListParagraph"/>
        <w:numPr>
          <w:ilvl w:val="0"/>
          <w:numId w:val="8"/>
        </w:numPr>
        <w:tabs>
          <w:tab w:pos="420" w:val="left" w:leader="none"/>
        </w:tabs>
        <w:spacing w:line="240" w:lineRule="auto" w:before="0" w:after="0"/>
        <w:ind w:left="42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pStyle w:val="ListParagraph"/>
        <w:numPr>
          <w:ilvl w:val="0"/>
          <w:numId w:val="8"/>
        </w:numPr>
        <w:tabs>
          <w:tab w:pos="420" w:val="left" w:leader="none"/>
        </w:tabs>
        <w:spacing w:line="261" w:lineRule="auto" w:before="15" w:after="0"/>
        <w:ind w:left="420" w:right="117" w:hanging="320"/>
        <w:jc w:val="left"/>
        <w:rPr>
          <w:sz w:val="16"/>
        </w:rPr>
      </w:pPr>
      <w:r>
        <w:rPr>
          <w:color w:val="231F20"/>
          <w:sz w:val="16"/>
        </w:rPr>
        <w:t>Seats flown is calculated using total number of seats available by aircraft type multiplied by the total trips flown by the same aircraft type during a particular</w:t>
      </w:r>
      <w:r>
        <w:rPr>
          <w:color w:val="231F20"/>
          <w:spacing w:val="-6"/>
          <w:sz w:val="16"/>
        </w:rPr>
        <w:t> </w:t>
      </w:r>
      <w:r>
        <w:rPr>
          <w:color w:val="231F20"/>
          <w:sz w:val="16"/>
        </w:rPr>
        <w:t>period.</w:t>
      </w:r>
    </w:p>
    <w:p>
      <w:pPr>
        <w:pStyle w:val="ListParagraph"/>
        <w:numPr>
          <w:ilvl w:val="0"/>
          <w:numId w:val="8"/>
        </w:numPr>
        <w:tabs>
          <w:tab w:pos="420" w:val="left" w:leader="none"/>
        </w:tabs>
        <w:spacing w:line="240" w:lineRule="auto" w:before="0" w:after="0"/>
        <w:ind w:left="420" w:right="0" w:hanging="320"/>
        <w:jc w:val="left"/>
        <w:rPr>
          <w:sz w:val="16"/>
        </w:rPr>
      </w:pPr>
      <w:r>
        <w:rPr>
          <w:color w:val="231F20"/>
          <w:sz w:val="16"/>
        </w:rPr>
        <w:t>Seats per trip is calculated using seats flown divided by trips flown. Also referred to as</w:t>
      </w:r>
      <w:r>
        <w:rPr>
          <w:color w:val="231F20"/>
          <w:spacing w:val="-20"/>
          <w:sz w:val="16"/>
        </w:rPr>
        <w:t> </w:t>
      </w:r>
      <w:r>
        <w:rPr>
          <w:color w:val="231F20"/>
          <w:sz w:val="16"/>
        </w:rPr>
        <w:t>“gauge.”</w:t>
      </w:r>
    </w:p>
    <w:p>
      <w:pPr>
        <w:pStyle w:val="ListParagraph"/>
        <w:numPr>
          <w:ilvl w:val="0"/>
          <w:numId w:val="8"/>
        </w:numPr>
        <w:tabs>
          <w:tab w:pos="420" w:val="left" w:leader="none"/>
        </w:tabs>
        <w:spacing w:line="261" w:lineRule="auto" w:before="16" w:after="0"/>
        <w:ind w:left="420" w:right="117" w:hanging="320"/>
        <w:jc w:val="left"/>
        <w:rPr>
          <w:sz w:val="16"/>
        </w:rPr>
      </w:pPr>
      <w:r>
        <w:rPr>
          <w:color w:val="231F20"/>
          <w:sz w:val="16"/>
        </w:rPr>
        <w:t>Calculated as passenger revenue divided by revenue passenger miles. Also referred to as “yield,” this is the average cost paid by a paying passenger to fly one mile, which is a measure of revenue production and</w:t>
      </w:r>
      <w:r>
        <w:rPr>
          <w:color w:val="231F20"/>
          <w:spacing w:val="-17"/>
          <w:sz w:val="16"/>
        </w:rPr>
        <w:t> </w:t>
      </w:r>
      <w:r>
        <w:rPr>
          <w:color w:val="231F20"/>
          <w:sz w:val="16"/>
        </w:rPr>
        <w:t>fares.</w:t>
      </w:r>
    </w:p>
    <w:p>
      <w:pPr>
        <w:pStyle w:val="ListParagraph"/>
        <w:numPr>
          <w:ilvl w:val="0"/>
          <w:numId w:val="8"/>
        </w:numPr>
        <w:tabs>
          <w:tab w:pos="420" w:val="left" w:leader="none"/>
        </w:tabs>
        <w:spacing w:line="261" w:lineRule="auto" w:before="0" w:after="0"/>
        <w:ind w:left="420" w:right="117" w:hanging="320"/>
        <w:jc w:val="both"/>
        <w:rPr>
          <w:sz w:val="16"/>
        </w:rPr>
      </w:pPr>
      <w:r>
        <w:rPr>
          <w:color w:val="231F20"/>
          <w:sz w:val="16"/>
        </w:rPr>
        <w:t>Calculated as operating revenues divided by available seat miles. Also referred to as “operating unit revenues” or “RASM,” this is a measure of operating revenue production based on the total available seat miles flown during a particular period. Year ended 2015 RASM excludes a $172 million one-time special revenue adjustment. Including the special revenue adjustment, RASM would have been 14.11 cents for the year ended 2015. Additional information regarding this special item is provided in the Note Regarding Use of Non-GAAP Financial Measures and a reconciliation of revenue excluding special items related to accounting changes in the accompanying</w:t>
      </w:r>
      <w:r>
        <w:rPr>
          <w:color w:val="231F20"/>
          <w:spacing w:val="-2"/>
          <w:sz w:val="16"/>
        </w:rPr>
        <w:t> </w:t>
      </w:r>
      <w:r>
        <w:rPr>
          <w:color w:val="231F20"/>
          <w:sz w:val="16"/>
        </w:rPr>
        <w:t>pages.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passenger revenue divided by available seat miles. Also referred to as “passenger unit revenues,” this is a measure of passenger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Calculated as operating expenses divided by available seat miles. Also referred to as “unit costs” or “cost per available seat mile,” this</w:t>
      </w:r>
      <w:r>
        <w:rPr>
          <w:color w:val="231F20"/>
          <w:spacing w:val="-25"/>
          <w:sz w:val="16"/>
        </w:rPr>
        <w:t> </w:t>
      </w:r>
      <w:r>
        <w:rPr>
          <w:color w:val="231F20"/>
          <w:sz w:val="16"/>
        </w:rPr>
        <w:t>is the average cost to fly an aircraft seat (empty or full) one mile, which is a measure of cost</w:t>
      </w:r>
      <w:r>
        <w:rPr>
          <w:color w:val="231F20"/>
          <w:spacing w:val="-23"/>
          <w:sz w:val="16"/>
        </w:rPr>
        <w:t> </w:t>
      </w:r>
      <w:r>
        <w:rPr>
          <w:color w:val="231F20"/>
          <w:sz w:val="16"/>
        </w:rPr>
        <w:t>efficiencies.</w:t>
      </w:r>
    </w:p>
    <w:p>
      <w:pPr>
        <w:pStyle w:val="ListParagraph"/>
        <w:numPr>
          <w:ilvl w:val="0"/>
          <w:numId w:val="8"/>
        </w:numPr>
        <w:tabs>
          <w:tab w:pos="420" w:val="left" w:leader="none"/>
        </w:tabs>
        <w:spacing w:line="261" w:lineRule="auto" w:before="0" w:after="0"/>
        <w:ind w:left="420" w:right="117" w:hanging="320"/>
        <w:jc w:val="left"/>
        <w:rPr>
          <w:sz w:val="16"/>
        </w:rPr>
      </w:pPr>
      <w:r>
        <w:rPr>
          <w:color w:val="231F20"/>
          <w:sz w:val="16"/>
        </w:rPr>
        <w:t>Refer to Note 1 to the Consolidated Financial Statements for additional information regarding the impact from the Company’s July  2015 amended co-branded credit card agreement with Chase Bank USA,</w:t>
      </w:r>
      <w:r>
        <w:rPr>
          <w:color w:val="231F20"/>
          <w:spacing w:val="-8"/>
          <w:sz w:val="16"/>
        </w:rPr>
        <w:t> </w:t>
      </w:r>
      <w:r>
        <w:rPr>
          <w:color w:val="231F20"/>
          <w:sz w:val="16"/>
        </w:rPr>
        <w:t>N.A.</w:t>
      </w:r>
    </w:p>
    <w:p>
      <w:pPr>
        <w:spacing w:after="0" w:line="261" w:lineRule="auto"/>
        <w:jc w:val="left"/>
        <w:rPr>
          <w:sz w:val="16"/>
        </w:rPr>
        <w:sectPr>
          <w:pgSz w:w="11880" w:h="15480"/>
          <w:pgMar w:header="0" w:footer="1240" w:top="1240" w:bottom="1420" w:left="1360" w:right="1260"/>
        </w:sectPr>
      </w:pPr>
    </w:p>
    <w:p>
      <w:pPr>
        <w:pStyle w:val="Heading2"/>
        <w:tabs>
          <w:tab w:pos="1439" w:val="left" w:leader="none"/>
        </w:tabs>
        <w:spacing w:line="247" w:lineRule="auto" w:before="74"/>
        <w:ind w:left="120" w:right="796"/>
      </w:pPr>
      <w:bookmarkStart w:name="Item 7. Management's Discussion and Anal" w:id="15"/>
      <w:bookmarkEnd w:id="15"/>
      <w:r>
        <w:rPr>
          <w:b w:val="0"/>
          <w:i w:val="0"/>
        </w:rPr>
      </w:r>
      <w:r>
        <w:rPr>
          <w:i w:val="0"/>
          <w:color w:val="231F20"/>
        </w:rPr>
        <w:t>Item 7</w:t>
      </w:r>
      <w:r>
        <w:rPr>
          <w:b w:val="0"/>
          <w:i w:val="0"/>
          <w:color w:val="231F20"/>
        </w:rPr>
        <w:t>.</w:t>
        <w:tab/>
      </w:r>
      <w:r>
        <w:rPr>
          <w:i/>
          <w:color w:val="231F20"/>
        </w:rPr>
        <w:t>Management’s Discussion and Analysis of Financial Condition and</w:t>
      </w:r>
      <w:r>
        <w:rPr>
          <w:i/>
          <w:color w:val="231F20"/>
          <w:spacing w:val="-5"/>
        </w:rPr>
        <w:t> </w:t>
      </w:r>
      <w:r>
        <w:rPr>
          <w:i/>
          <w:color w:val="231F20"/>
        </w:rPr>
        <w:t>Results of</w:t>
      </w:r>
      <w:r>
        <w:rPr>
          <w:color w:val="231F20"/>
        </w:rPr>
        <w:t> Operations</w:t>
      </w:r>
    </w:p>
    <w:p>
      <w:pPr>
        <w:pStyle w:val="BodyText"/>
        <w:spacing w:before="10"/>
        <w:rPr>
          <w:b/>
          <w:i/>
          <w:sz w:val="21"/>
        </w:rPr>
      </w:pPr>
    </w:p>
    <w:p>
      <w:pPr>
        <w:spacing w:before="0"/>
        <w:ind w:left="120" w:right="0" w:firstLine="0"/>
        <w:jc w:val="both"/>
        <w:rPr>
          <w:b/>
          <w:sz w:val="22"/>
        </w:rPr>
      </w:pPr>
      <w:r>
        <w:rPr>
          <w:b/>
          <w:color w:val="231F20"/>
          <w:sz w:val="22"/>
        </w:rPr>
        <w:t>YEAR IN REVIEW</w:t>
      </w:r>
    </w:p>
    <w:p>
      <w:pPr>
        <w:pStyle w:val="BodyText"/>
        <w:spacing w:before="6"/>
        <w:rPr>
          <w:b/>
        </w:rPr>
      </w:pPr>
    </w:p>
    <w:p>
      <w:pPr>
        <w:pStyle w:val="BodyText"/>
        <w:spacing w:line="247" w:lineRule="auto"/>
        <w:ind w:left="119" w:right="117"/>
        <w:jc w:val="both"/>
      </w:pPr>
      <w:r>
        <w:rPr>
          <w:color w:val="231F20"/>
        </w:rPr>
        <w:t>For the 44</w:t>
      </w:r>
      <w:r>
        <w:rPr>
          <w:color w:val="231F20"/>
          <w:position w:val="5"/>
          <w:sz w:val="14"/>
        </w:rPr>
        <w:t>th </w:t>
      </w:r>
      <w:r>
        <w:rPr>
          <w:color w:val="231F20"/>
        </w:rPr>
        <w:t>consecutive year, the Company was profitable, recording GAAP and non-GAAP results   for 2016 and 2015 as noted in the following tables. See Note Regarding Use of Non-GAAP Financial Measures and the Reconciliation of Reported Amounts to Non-GAAP Financial Measures for additional detail regarding non-GAAP financial</w:t>
      </w:r>
      <w:r>
        <w:rPr>
          <w:color w:val="231F20"/>
          <w:spacing w:val="-2"/>
        </w:rPr>
        <w:t> </w:t>
      </w:r>
      <w:r>
        <w:rPr>
          <w:color w:val="231F20"/>
        </w:rPr>
        <w:t>measures.</w:t>
      </w:r>
    </w:p>
    <w:p>
      <w:pPr>
        <w:pStyle w:val="BodyText"/>
        <w:spacing w:before="8"/>
        <w:rPr>
          <w:sz w:val="9"/>
        </w:rPr>
      </w:pPr>
    </w:p>
    <w:p>
      <w:pPr>
        <w:spacing w:after="0"/>
        <w:rPr>
          <w:sz w:val="9"/>
        </w:rPr>
        <w:sectPr>
          <w:pgSz w:w="11880" w:h="15480"/>
          <w:pgMar w:header="0" w:footer="1240" w:top="1240" w:bottom="1420" w:left="1260" w:right="1260"/>
        </w:sectPr>
      </w:pPr>
    </w:p>
    <w:p>
      <w:pPr>
        <w:pStyle w:val="BodyText"/>
        <w:rPr>
          <w:sz w:val="26"/>
        </w:rPr>
      </w:pPr>
    </w:p>
    <w:p>
      <w:pPr>
        <w:spacing w:before="0"/>
        <w:ind w:left="120" w:right="0" w:firstLine="0"/>
        <w:jc w:val="left"/>
        <w:rPr>
          <w:sz w:val="20"/>
        </w:rPr>
      </w:pPr>
      <w:r>
        <w:rPr>
          <w:color w:val="231F20"/>
          <w:sz w:val="20"/>
        </w:rPr>
        <w:t>(in millions, except per share amounts)</w:t>
      </w:r>
    </w:p>
    <w:p>
      <w:pPr>
        <w:spacing w:line="200" w:lineRule="exact" w:before="126"/>
        <w:ind w:left="120" w:right="-19" w:firstLine="92"/>
        <w:jc w:val="left"/>
        <w:rPr>
          <w:b/>
          <w:sz w:val="20"/>
        </w:rPr>
      </w:pPr>
      <w:r>
        <w:rPr/>
        <w:br w:type="column"/>
      </w:r>
      <w:r>
        <w:rPr>
          <w:b/>
          <w:color w:val="231F20"/>
          <w:sz w:val="20"/>
        </w:rPr>
        <w:t>Year ended December 31,</w:t>
      </w:r>
    </w:p>
    <w:p>
      <w:pPr>
        <w:pStyle w:val="BodyText"/>
        <w:rPr>
          <w:b/>
        </w:rPr>
      </w:pPr>
      <w:r>
        <w:rPr/>
        <w:br w:type="column"/>
      </w:r>
      <w:r>
        <w:rPr>
          <w:b/>
        </w:rPr>
      </w:r>
    </w:p>
    <w:p>
      <w:pPr>
        <w:pStyle w:val="BodyText"/>
        <w:spacing w:before="4"/>
        <w:rPr>
          <w:b/>
          <w:sz w:val="28"/>
        </w:rPr>
      </w:pPr>
    </w:p>
    <w:p>
      <w:pPr>
        <w:spacing w:before="0"/>
        <w:ind w:left="120" w:right="0" w:firstLine="0"/>
        <w:jc w:val="left"/>
        <w:rPr>
          <w:b/>
          <w:sz w:val="20"/>
        </w:rPr>
      </w:pPr>
      <w:r>
        <w:rPr/>
        <w:pict>
          <v:line style="position:absolute;mso-position-horizontal-relative:page;mso-position-vertical-relative:paragraph;z-index:1744" from="343pt,-1.164075pt" to="461pt,-1.164075pt" stroked="true" strokeweight="1pt" strokecolor="#231f20">
            <v:stroke dashstyle="solid"/>
            <w10:wrap type="none"/>
          </v:line>
        </w:pict>
      </w:r>
      <w:r>
        <w:rPr/>
        <w:pict>
          <v:shape style="position:absolute;margin-left:69pt;margin-top:10.035925pt;width:456pt;height:123.3pt;mso-position-horizontal-relative:page;mso-position-vertical-relative:paragraph;z-index:17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200"/>
                    <w:gridCol w:w="1080"/>
                    <w:gridCol w:w="200"/>
                    <w:gridCol w:w="1080"/>
                    <w:gridCol w:w="200"/>
                    <w:gridCol w:w="1080"/>
                  </w:tblGrid>
                  <w:tr>
                    <w:trPr>
                      <w:trHeight w:val="256" w:hRule="exact"/>
                    </w:trPr>
                    <w:tc>
                      <w:tcPr>
                        <w:tcW w:w="5280" w:type="dxa"/>
                      </w:tcPr>
                      <w:p>
                        <w:pPr>
                          <w:pStyle w:val="TableParagraph"/>
                          <w:spacing w:line="229" w:lineRule="exact" w:before="0"/>
                          <w:ind w:left="50"/>
                          <w:rPr>
                            <w:sz w:val="20"/>
                          </w:rPr>
                        </w:pPr>
                        <w:r>
                          <w:rPr>
                            <w:color w:val="231F20"/>
                            <w:sz w:val="20"/>
                          </w:rPr>
                          <w:t>GAAP</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2016</w:t>
                        </w:r>
                      </w:p>
                    </w:tc>
                    <w:tc>
                      <w:tcPr>
                        <w:tcW w:w="200" w:type="dxa"/>
                      </w:tcPr>
                      <w:p>
                        <w:pPr/>
                      </w:p>
                    </w:tc>
                    <w:tc>
                      <w:tcPr>
                        <w:tcW w:w="108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line="229" w:lineRule="exact" w:before="0"/>
                          <w:ind w:left="152"/>
                          <w:rPr>
                            <w:b/>
                            <w:sz w:val="20"/>
                          </w:rPr>
                        </w:pPr>
                        <w:r>
                          <w:rPr>
                            <w:b/>
                            <w:color w:val="231F20"/>
                            <w:sz w:val="20"/>
                          </w:rPr>
                          <w:t>Change</w:t>
                        </w:r>
                      </w:p>
                    </w:tc>
                  </w:tr>
                  <w:tr>
                    <w:trPr>
                      <w:trHeight w:val="31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3,760</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629" w:val="left" w:leader="none"/>
                          </w:tabs>
                          <w:jc w:val="center"/>
                          <w:rPr>
                            <w:sz w:val="20"/>
                          </w:rPr>
                        </w:pPr>
                        <w:r>
                          <w:rPr>
                            <w:color w:val="231F20"/>
                            <w:sz w:val="20"/>
                          </w:rPr>
                          <w:t>$</w:t>
                          <w:tab/>
                          <w:t>4,116</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51"/>
                          <w:jc w:val="right"/>
                          <w:rPr>
                            <w:sz w:val="20"/>
                          </w:rPr>
                        </w:pPr>
                        <w:r>
                          <w:rPr>
                            <w:color w:val="231F20"/>
                            <w:sz w:val="20"/>
                          </w:rPr>
                          <w:t>(8.6)</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2,244</w:t>
                        </w:r>
                      </w:p>
                    </w:tc>
                    <w:tc>
                      <w:tcPr>
                        <w:tcW w:w="200" w:type="dxa"/>
                      </w:tcPr>
                      <w:p>
                        <w:pPr/>
                      </w:p>
                    </w:tc>
                    <w:tc>
                      <w:tcPr>
                        <w:tcW w:w="1080" w:type="dxa"/>
                      </w:tcPr>
                      <w:p>
                        <w:pPr>
                          <w:pStyle w:val="TableParagraph"/>
                          <w:tabs>
                            <w:tab w:pos="629" w:val="left" w:leader="none"/>
                          </w:tabs>
                          <w:jc w:val="center"/>
                          <w:rPr>
                            <w:sz w:val="20"/>
                          </w:rPr>
                        </w:pPr>
                        <w:r>
                          <w:rPr>
                            <w:color w:val="231F20"/>
                            <w:sz w:val="20"/>
                          </w:rPr>
                          <w:t>$</w:t>
                          <w:tab/>
                          <w:t>2,181</w:t>
                        </w:r>
                      </w:p>
                    </w:tc>
                    <w:tc>
                      <w:tcPr>
                        <w:tcW w:w="200" w:type="dxa"/>
                      </w:tcPr>
                      <w:p>
                        <w:pPr/>
                      </w:p>
                    </w:tc>
                    <w:tc>
                      <w:tcPr>
                        <w:tcW w:w="1080" w:type="dxa"/>
                      </w:tcPr>
                      <w:p>
                        <w:pPr>
                          <w:pStyle w:val="TableParagraph"/>
                          <w:ind w:right="119"/>
                          <w:jc w:val="right"/>
                          <w:rPr>
                            <w:sz w:val="20"/>
                          </w:rPr>
                        </w:pPr>
                        <w:r>
                          <w:rPr>
                            <w:color w:val="231F20"/>
                            <w:sz w:val="20"/>
                          </w:rPr>
                          <w:t>2.9</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3.55</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3.27</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8.6</w:t>
                        </w:r>
                      </w:p>
                    </w:tc>
                  </w:tr>
                  <w:tr>
                    <w:trPr>
                      <w:trHeight w:val="400" w:hRule="exact"/>
                    </w:trPr>
                    <w:tc>
                      <w:tcPr>
                        <w:tcW w:w="5280" w:type="dxa"/>
                      </w:tcPr>
                      <w:p>
                        <w:pPr>
                          <w:pStyle w:val="TableParagraph"/>
                          <w:spacing w:before="133"/>
                          <w:ind w:left="50"/>
                          <w:rPr>
                            <w:sz w:val="20"/>
                          </w:rPr>
                        </w:pPr>
                        <w:r>
                          <w:rPr>
                            <w:color w:val="231F20"/>
                            <w:sz w:val="20"/>
                          </w:rPr>
                          <w:t>Non-GAAP</w:t>
                        </w:r>
                      </w:p>
                    </w:tc>
                    <w:tc>
                      <w:tcPr>
                        <w:tcW w:w="200" w:type="dxa"/>
                      </w:tcPr>
                      <w:p>
                        <w:pPr/>
                      </w:p>
                    </w:tc>
                    <w:tc>
                      <w:tcPr>
                        <w:tcW w:w="1080" w:type="dxa"/>
                      </w:tcPr>
                      <w:p>
                        <w:pPr/>
                      </w:p>
                    </w:tc>
                    <w:tc>
                      <w:tcPr>
                        <w:tcW w:w="200" w:type="dxa"/>
                      </w:tcPr>
                      <w:p>
                        <w:pPr/>
                      </w:p>
                    </w:tc>
                    <w:tc>
                      <w:tcPr>
                        <w:tcW w:w="1080" w:type="dxa"/>
                      </w:tcPr>
                      <w:p>
                        <w:pPr/>
                      </w:p>
                    </w:tc>
                    <w:tc>
                      <w:tcPr>
                        <w:tcW w:w="200" w:type="dxa"/>
                      </w:tcPr>
                      <w:p>
                        <w:pPr/>
                      </w:p>
                    </w:tc>
                    <w:tc>
                      <w:tcPr>
                        <w:tcW w:w="1080" w:type="dxa"/>
                      </w:tcPr>
                      <w:p>
                        <w:pPr/>
                      </w:p>
                    </w:tc>
                  </w:tr>
                  <w:tr>
                    <w:trPr>
                      <w:trHeight w:val="300" w:hRule="exact"/>
                    </w:trPr>
                    <w:tc>
                      <w:tcPr>
                        <w:tcW w:w="5280" w:type="dxa"/>
                        <w:shd w:val="clear" w:color="auto" w:fill="D1D3D4"/>
                      </w:tcPr>
                      <w:p>
                        <w:pPr>
                          <w:pStyle w:val="TableParagraph"/>
                          <w:ind w:left="5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3,957</w:t>
                        </w:r>
                      </w:p>
                    </w:tc>
                    <w:tc>
                      <w:tcPr>
                        <w:tcW w:w="200" w:type="dxa"/>
                        <w:shd w:val="clear" w:color="auto" w:fill="D1D3D4"/>
                      </w:tcPr>
                      <w:p>
                        <w:pPr/>
                      </w:p>
                    </w:tc>
                    <w:tc>
                      <w:tcPr>
                        <w:tcW w:w="1080" w:type="dxa"/>
                        <w:shd w:val="clear" w:color="auto" w:fill="D1D3D4"/>
                      </w:tcPr>
                      <w:p>
                        <w:pPr>
                          <w:pStyle w:val="TableParagraph"/>
                          <w:tabs>
                            <w:tab w:pos="629" w:val="left" w:leader="none"/>
                          </w:tabs>
                          <w:jc w:val="center"/>
                          <w:rPr>
                            <w:sz w:val="20"/>
                          </w:rPr>
                        </w:pPr>
                        <w:r>
                          <w:rPr>
                            <w:color w:val="231F20"/>
                            <w:sz w:val="20"/>
                          </w:rPr>
                          <w:t>$</w:t>
                          <w:tab/>
                          <w:t>3,957</w:t>
                        </w:r>
                      </w:p>
                    </w:tc>
                    <w:tc>
                      <w:tcPr>
                        <w:tcW w:w="200" w:type="dxa"/>
                        <w:shd w:val="clear" w:color="auto" w:fill="D1D3D4"/>
                      </w:tcPr>
                      <w:p>
                        <w:pPr/>
                      </w:p>
                    </w:tc>
                    <w:tc>
                      <w:tcPr>
                        <w:tcW w:w="1080" w:type="dxa"/>
                        <w:shd w:val="clear" w:color="auto" w:fill="D1D3D4"/>
                      </w:tcPr>
                      <w:p>
                        <w:pPr>
                          <w:pStyle w:val="TableParagraph"/>
                          <w:ind w:right="117"/>
                          <w:jc w:val="right"/>
                          <w:rPr>
                            <w:sz w:val="20"/>
                          </w:rPr>
                        </w:pPr>
                        <w:r>
                          <w:rPr>
                            <w:color w:val="231F20"/>
                            <w:sz w:val="20"/>
                          </w:rPr>
                          <w:t>—</w:t>
                        </w:r>
                      </w:p>
                    </w:tc>
                  </w:tr>
                  <w:tr>
                    <w:trPr>
                      <w:trHeight w:val="300" w:hRule="exact"/>
                    </w:trPr>
                    <w:tc>
                      <w:tcPr>
                        <w:tcW w:w="5280" w:type="dxa"/>
                      </w:tcPr>
                      <w:p>
                        <w:pPr>
                          <w:pStyle w:val="TableParagraph"/>
                          <w:ind w:left="50"/>
                          <w:rPr>
                            <w:sz w:val="20"/>
                          </w:rPr>
                        </w:pPr>
                        <w:r>
                          <w:rPr>
                            <w:color w:val="231F20"/>
                            <w:sz w:val="20"/>
                          </w:rPr>
                          <w:t>Net income</w:t>
                        </w:r>
                      </w:p>
                    </w:tc>
                    <w:tc>
                      <w:tcPr>
                        <w:tcW w:w="200" w:type="dxa"/>
                      </w:tcPr>
                      <w:p>
                        <w:pPr/>
                      </w:p>
                    </w:tc>
                    <w:tc>
                      <w:tcPr>
                        <w:tcW w:w="1080" w:type="dxa"/>
                      </w:tcPr>
                      <w:p>
                        <w:pPr>
                          <w:pStyle w:val="TableParagraph"/>
                          <w:tabs>
                            <w:tab w:pos="629" w:val="left" w:leader="none"/>
                          </w:tabs>
                          <w:jc w:val="center"/>
                          <w:rPr>
                            <w:sz w:val="20"/>
                          </w:rPr>
                        </w:pPr>
                        <w:r>
                          <w:rPr>
                            <w:color w:val="231F20"/>
                            <w:sz w:val="20"/>
                          </w:rPr>
                          <w:t>$</w:t>
                          <w:tab/>
                          <w:t>2,370</w:t>
                        </w:r>
                      </w:p>
                    </w:tc>
                    <w:tc>
                      <w:tcPr>
                        <w:tcW w:w="200" w:type="dxa"/>
                      </w:tcPr>
                      <w:p>
                        <w:pPr/>
                      </w:p>
                    </w:tc>
                    <w:tc>
                      <w:tcPr>
                        <w:tcW w:w="1080" w:type="dxa"/>
                      </w:tcPr>
                      <w:p>
                        <w:pPr>
                          <w:pStyle w:val="TableParagraph"/>
                          <w:tabs>
                            <w:tab w:pos="629" w:val="left" w:leader="none"/>
                          </w:tabs>
                          <w:jc w:val="center"/>
                          <w:rPr>
                            <w:sz w:val="20"/>
                          </w:rPr>
                        </w:pPr>
                        <w:r>
                          <w:rPr>
                            <w:color w:val="231F20"/>
                            <w:sz w:val="20"/>
                          </w:rPr>
                          <w:t>$</w:t>
                          <w:tab/>
                          <w:t>2,355</w:t>
                        </w:r>
                      </w:p>
                    </w:tc>
                    <w:tc>
                      <w:tcPr>
                        <w:tcW w:w="200" w:type="dxa"/>
                      </w:tcPr>
                      <w:p>
                        <w:pPr/>
                      </w:p>
                    </w:tc>
                    <w:tc>
                      <w:tcPr>
                        <w:tcW w:w="1080" w:type="dxa"/>
                      </w:tcPr>
                      <w:p>
                        <w:pPr>
                          <w:pStyle w:val="TableParagraph"/>
                          <w:ind w:right="119"/>
                          <w:jc w:val="right"/>
                          <w:rPr>
                            <w:sz w:val="20"/>
                          </w:rPr>
                        </w:pPr>
                        <w:r>
                          <w:rPr>
                            <w:color w:val="231F20"/>
                            <w:sz w:val="20"/>
                          </w:rPr>
                          <w:t>0.6</w:t>
                        </w:r>
                      </w:p>
                    </w:tc>
                  </w:tr>
                  <w:tr>
                    <w:trPr>
                      <w:trHeight w:val="300" w:hRule="exact"/>
                    </w:trPr>
                    <w:tc>
                      <w:tcPr>
                        <w:tcW w:w="5280" w:type="dxa"/>
                        <w:shd w:val="clear" w:color="auto" w:fill="D1D3D4"/>
                      </w:tcPr>
                      <w:p>
                        <w:pPr>
                          <w:pStyle w:val="TableParagraph"/>
                          <w:ind w:left="50"/>
                          <w:rPr>
                            <w:sz w:val="20"/>
                          </w:rPr>
                        </w:pPr>
                        <w:r>
                          <w:rPr>
                            <w:color w:val="231F20"/>
                            <w:sz w:val="20"/>
                          </w:rPr>
                          <w:t>Net income per share, diluted</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3.75</w:t>
                        </w:r>
                      </w:p>
                    </w:tc>
                    <w:tc>
                      <w:tcPr>
                        <w:tcW w:w="200" w:type="dxa"/>
                        <w:shd w:val="clear" w:color="auto" w:fill="D1D3D4"/>
                      </w:tcPr>
                      <w:p>
                        <w:pPr/>
                      </w:p>
                    </w:tc>
                    <w:tc>
                      <w:tcPr>
                        <w:tcW w:w="1080" w:type="dxa"/>
                        <w:shd w:val="clear" w:color="auto" w:fill="D1D3D4"/>
                      </w:tcPr>
                      <w:p>
                        <w:pPr>
                          <w:pStyle w:val="TableParagraph"/>
                          <w:tabs>
                            <w:tab w:pos="729" w:val="left" w:leader="none"/>
                          </w:tabs>
                          <w:jc w:val="center"/>
                          <w:rPr>
                            <w:sz w:val="20"/>
                          </w:rPr>
                        </w:pPr>
                        <w:r>
                          <w:rPr>
                            <w:color w:val="231F20"/>
                            <w:sz w:val="20"/>
                          </w:rPr>
                          <w:t>$</w:t>
                          <w:tab/>
                          <w:t>3.52</w:t>
                        </w:r>
                      </w:p>
                    </w:tc>
                    <w:tc>
                      <w:tcPr>
                        <w:tcW w:w="200" w:type="dxa"/>
                        <w:shd w:val="clear" w:color="auto" w:fill="D1D3D4"/>
                      </w:tcPr>
                      <w:p>
                        <w:pPr/>
                      </w:p>
                    </w:tc>
                    <w:tc>
                      <w:tcPr>
                        <w:tcW w:w="1080" w:type="dxa"/>
                        <w:shd w:val="clear" w:color="auto" w:fill="D1D3D4"/>
                      </w:tcPr>
                      <w:p>
                        <w:pPr>
                          <w:pStyle w:val="TableParagraph"/>
                          <w:ind w:right="119"/>
                          <w:jc w:val="right"/>
                          <w:rPr>
                            <w:sz w:val="20"/>
                          </w:rPr>
                        </w:pPr>
                        <w:r>
                          <w:rPr>
                            <w:color w:val="231F20"/>
                            <w:sz w:val="20"/>
                          </w:rPr>
                          <w:t>6.5</w:t>
                        </w:r>
                      </w:p>
                    </w:tc>
                  </w:tr>
                </w:tbl>
                <w:p>
                  <w:pPr>
                    <w:pStyle w:val="BodyText"/>
                  </w:pPr>
                </w:p>
              </w:txbxContent>
            </v:textbox>
            <w10:wrap type="none"/>
          </v:shape>
        </w:pict>
      </w:r>
      <w:r>
        <w:rPr>
          <w:b/>
          <w:color w:val="231F20"/>
          <w:sz w:val="20"/>
        </w:rPr>
        <w:t>Percent</w:t>
      </w:r>
    </w:p>
    <w:p>
      <w:pPr>
        <w:spacing w:after="0"/>
        <w:jc w:val="left"/>
        <w:rPr>
          <w:sz w:val="20"/>
        </w:rPr>
        <w:sectPr>
          <w:type w:val="continuous"/>
          <w:pgSz w:w="11880" w:h="15480"/>
          <w:pgMar w:top="1260" w:bottom="280" w:left="1260" w:right="1260"/>
          <w:cols w:num="3" w:equalWidth="0">
            <w:col w:w="3248" w:space="2828"/>
            <w:col w:w="1288" w:space="828"/>
            <w:col w:w="1168"/>
          </w:cols>
        </w:sectPr>
      </w:pPr>
    </w:p>
    <w:p>
      <w:pPr>
        <w:pStyle w:val="BodyText"/>
        <w:spacing w:before="9"/>
        <w:rPr>
          <w:b/>
          <w:sz w:val="18"/>
        </w:rPr>
      </w:pPr>
    </w:p>
    <w:p>
      <w:pPr>
        <w:pStyle w:val="BodyText"/>
        <w:spacing w:line="20" w:lineRule="exact"/>
        <w:ind w:left="110"/>
        <w:rPr>
          <w:sz w:val="2"/>
        </w:rPr>
      </w:pPr>
      <w:r>
        <w:rPr>
          <w:sz w:val="2"/>
        </w:rPr>
        <w:pict>
          <v:group style="width:265pt;height:1pt;mso-position-horizontal-relative:char;mso-position-vertical-relative:line" coordorigin="0,0" coordsize="5300,20">
            <v:line style="position:absolute" from="10,10" to="5290,10" stroked="true" strokeweight="1pt" strokecolor="#231f2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7"/>
        </w:rPr>
      </w:pPr>
      <w:r>
        <w:rPr/>
        <w:pict>
          <v:line style="position:absolute;mso-position-horizontal-relative:page;mso-position-vertical-relative:paragraph;z-index:1720;mso-wrap-distance-left:0;mso-wrap-distance-right:0" from="69pt,18.503906pt" to="333pt,18.503906pt" stroked="true" strokeweight="1pt" strokecolor="#231f2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p>
    <w:p>
      <w:pPr>
        <w:pStyle w:val="BodyText"/>
        <w:spacing w:line="247" w:lineRule="auto"/>
        <w:ind w:left="120" w:right="118"/>
        <w:jc w:val="both"/>
      </w:pPr>
      <w:r>
        <w:rPr>
          <w:color w:val="231F20"/>
        </w:rPr>
        <w:t>Net income for the year ended December 31, 2016, was a Company record $2.24 billion, a 2.9 percent increase  year-over-year,  or  $3.55  per  diluted  share.  This  increase  was  primarily  driven  by  a</w:t>
      </w:r>
    </w:p>
    <w:p>
      <w:pPr>
        <w:pStyle w:val="ListParagraph"/>
        <w:numPr>
          <w:ilvl w:val="1"/>
          <w:numId w:val="9"/>
        </w:numPr>
        <w:tabs>
          <w:tab w:pos="607" w:val="left" w:leader="none"/>
        </w:tabs>
        <w:spacing w:line="247" w:lineRule="auto" w:before="0" w:after="0"/>
        <w:ind w:left="120" w:right="117" w:firstLine="0"/>
        <w:jc w:val="both"/>
        <w:rPr>
          <w:sz w:val="22"/>
        </w:rPr>
      </w:pPr>
      <w:r>
        <w:rPr>
          <w:color w:val="231F20"/>
          <w:sz w:val="22"/>
        </w:rPr>
        <w:t>percent increase in Other operating revenues due to the Company’s July 2015 amended co- branded credit card agreement (“Agreement”) with Chase Bank USA, N.A. (“Chase”) and a resulting required change in accounting methodology (see Note 1 to the Consolidated Financial Statements for further information), coupled with increased Passenger revenues driven by strong demand for low-fare air travel and a 5.7 percent year-over-year capacity growth. This increase was partially offset by an increase in Salaries, wages, and benefits expense, an increase in Depreciation and amortization expense, and an increase in Other operating expenses. These items are discussed in more detail below. Excluding special items in both years, non-GAAP Net income was a record $2.37 billion, a 0.6 percent increase year-over-year, or $3.75 per diluted share. Year ended December 31, 2016 Operating income was $3.8 billion and non-GAAP Operating income was $4.0</w:t>
      </w:r>
      <w:r>
        <w:rPr>
          <w:color w:val="231F20"/>
          <w:spacing w:val="-2"/>
          <w:sz w:val="22"/>
        </w:rPr>
        <w:t> </w:t>
      </w:r>
      <w:r>
        <w:rPr>
          <w:color w:val="231F20"/>
          <w:sz w:val="22"/>
        </w:rPr>
        <w:t>billion.</w:t>
      </w:r>
    </w:p>
    <w:p>
      <w:pPr>
        <w:pStyle w:val="BodyText"/>
      </w:pPr>
    </w:p>
    <w:p>
      <w:pPr>
        <w:pStyle w:val="BodyText"/>
        <w:spacing w:line="247" w:lineRule="auto"/>
        <w:ind w:left="120" w:right="118"/>
        <w:jc w:val="both"/>
      </w:pPr>
      <w:r>
        <w:rPr>
          <w:color w:val="231F20"/>
        </w:rPr>
        <w:t>For the twelve months ended December 31, 2016, the Company produced a 30.0 percent Return on invested capital (“ROIC”), compared with 32.7 percent for the twelve months ended December 31, 2015. See the Company’s calculation of ROIC in the accompanying reconciliation tables as well as the Note Regarding Use of Non-GAAP Financial Measures.</w:t>
      </w:r>
    </w:p>
    <w:p>
      <w:pPr>
        <w:pStyle w:val="BodyText"/>
        <w:spacing w:before="10"/>
        <w:rPr>
          <w:sz w:val="21"/>
        </w:rPr>
      </w:pPr>
    </w:p>
    <w:p>
      <w:pPr>
        <w:pStyle w:val="BodyText"/>
        <w:spacing w:line="247" w:lineRule="auto"/>
        <w:ind w:left="120" w:right="117"/>
        <w:jc w:val="both"/>
      </w:pPr>
      <w:r>
        <w:rPr>
          <w:color w:val="231F20"/>
        </w:rPr>
        <w:t>During 2016, the Company continued to return significant value to its Shareholders. The Company returned a record $2.0 billion to Shareholders through a combined $222 million in dividend payments and $1.75 billion through five separate accelerated share repurchase programs. During November  2016, the Company launched the Fourth Quarter 2016 ASR Program by advancing $300 million to a financial institution in a privately negotiated transaction. During December 2016, the Company received  an  initial  delivery  of  4.7  million  shares  of  common  stock,  representing  an  estimated  75</w:t>
      </w:r>
      <w:r>
        <w:rPr>
          <w:color w:val="231F20"/>
          <w:spacing w:val="20"/>
        </w:rPr>
        <w:t> </w:t>
      </w:r>
      <w:r>
        <w:rPr>
          <w:color w:val="231F20"/>
        </w:rPr>
        <w:t>percent</w:t>
      </w:r>
      <w:r>
        <w:rPr>
          <w:color w:val="231F20"/>
          <w:spacing w:val="20"/>
        </w:rPr>
        <w:t> </w:t>
      </w:r>
      <w:r>
        <w:rPr>
          <w:color w:val="231F20"/>
        </w:rPr>
        <w:t>of</w:t>
      </w:r>
      <w:r>
        <w:rPr>
          <w:color w:val="231F20"/>
          <w:spacing w:val="19"/>
        </w:rPr>
        <w:t> </w:t>
      </w:r>
      <w:r>
        <w:rPr>
          <w:color w:val="231F20"/>
        </w:rPr>
        <w:t>shares</w:t>
      </w:r>
      <w:r>
        <w:rPr>
          <w:color w:val="231F20"/>
          <w:spacing w:val="21"/>
        </w:rPr>
        <w:t> </w:t>
      </w:r>
      <w:r>
        <w:rPr>
          <w:color w:val="231F20"/>
        </w:rPr>
        <w:t>to</w:t>
      </w:r>
      <w:r>
        <w:rPr>
          <w:color w:val="231F20"/>
          <w:spacing w:val="19"/>
        </w:rPr>
        <w:t> </w:t>
      </w:r>
      <w:r>
        <w:rPr>
          <w:color w:val="231F20"/>
        </w:rPr>
        <w:t>be</w:t>
      </w:r>
      <w:r>
        <w:rPr>
          <w:color w:val="231F20"/>
          <w:spacing w:val="20"/>
        </w:rPr>
        <w:t> </w:t>
      </w:r>
      <w:r>
        <w:rPr>
          <w:color w:val="231F20"/>
        </w:rPr>
        <w:t>purchased</w:t>
      </w:r>
      <w:r>
        <w:rPr>
          <w:color w:val="231F20"/>
          <w:spacing w:val="21"/>
        </w:rPr>
        <w:t> </w:t>
      </w:r>
      <w:r>
        <w:rPr>
          <w:color w:val="231F20"/>
        </w:rPr>
        <w:t>by</w:t>
      </w:r>
      <w:r>
        <w:rPr>
          <w:color w:val="231F20"/>
          <w:spacing w:val="20"/>
        </w:rPr>
        <w:t> </w:t>
      </w:r>
      <w:r>
        <w:rPr>
          <w:color w:val="231F20"/>
        </w:rPr>
        <w:t>the</w:t>
      </w:r>
      <w:r>
        <w:rPr>
          <w:color w:val="231F20"/>
          <w:spacing w:val="20"/>
        </w:rPr>
        <w:t> </w:t>
      </w:r>
      <w:r>
        <w:rPr>
          <w:color w:val="231F20"/>
        </w:rPr>
        <w:t>Company</w:t>
      </w:r>
      <w:r>
        <w:rPr>
          <w:color w:val="231F20"/>
          <w:spacing w:val="19"/>
        </w:rPr>
        <w:t> </w:t>
      </w:r>
      <w:r>
        <w:rPr>
          <w:color w:val="231F20"/>
        </w:rPr>
        <w:t>under</w:t>
      </w:r>
      <w:r>
        <w:rPr>
          <w:color w:val="231F20"/>
          <w:spacing w:val="19"/>
        </w:rPr>
        <w:t> </w:t>
      </w:r>
      <w:r>
        <w:rPr>
          <w:color w:val="231F20"/>
        </w:rPr>
        <w:t>the</w:t>
      </w:r>
      <w:r>
        <w:rPr>
          <w:color w:val="231F20"/>
          <w:spacing w:val="19"/>
        </w:rPr>
        <w:t> </w:t>
      </w:r>
      <w:r>
        <w:rPr>
          <w:color w:val="231F20"/>
        </w:rPr>
        <w:t>Fourth</w:t>
      </w:r>
      <w:r>
        <w:rPr>
          <w:color w:val="231F20"/>
          <w:spacing w:val="18"/>
        </w:rPr>
        <w:t> </w:t>
      </w:r>
      <w:r>
        <w:rPr>
          <w:color w:val="231F20"/>
        </w:rPr>
        <w:t>Quarter</w:t>
      </w:r>
      <w:r>
        <w:rPr>
          <w:color w:val="231F20"/>
          <w:spacing w:val="19"/>
        </w:rPr>
        <w:t> </w:t>
      </w:r>
      <w:r>
        <w:rPr>
          <w:color w:val="231F20"/>
        </w:rPr>
        <w:t>2016</w:t>
      </w:r>
      <w:r>
        <w:rPr>
          <w:color w:val="231F20"/>
          <w:spacing w:val="19"/>
        </w:rPr>
        <w:t> </w:t>
      </w:r>
      <w:r>
        <w:rPr>
          <w:color w:val="231F20"/>
        </w:rPr>
        <w:t>ASR</w:t>
      </w:r>
      <w:r>
        <w:rPr>
          <w:color w:val="231F20"/>
          <w:spacing w:val="19"/>
        </w:rPr>
        <w:t> </w:t>
      </w:r>
      <w:r>
        <w:rPr>
          <w:color w:val="231F20"/>
        </w:rPr>
        <w:t>Program.</w:t>
      </w:r>
    </w:p>
    <w:p>
      <w:pPr>
        <w:spacing w:after="0" w:line="247" w:lineRule="auto"/>
        <w:jc w:val="both"/>
        <w:sectPr>
          <w:type w:val="continuous"/>
          <w:pgSz w:w="11880" w:h="15480"/>
          <w:pgMar w:top="1260" w:bottom="280" w:left="1260" w:right="1260"/>
        </w:sectPr>
      </w:pPr>
    </w:p>
    <w:p>
      <w:pPr>
        <w:pStyle w:val="BodyText"/>
        <w:spacing w:line="247" w:lineRule="auto" w:before="74"/>
        <w:ind w:left="100" w:right="117"/>
        <w:jc w:val="both"/>
      </w:pPr>
      <w:r>
        <w:rPr>
          <w:color w:val="231F20"/>
        </w:rPr>
        <w:t>The specific number of shares that the Company ultimately will repurchase under the Fourth Quarter 2016 ASR Program will be determined based generally on a discount to the volume-weighted average price per share of the Company’s common stock during a calculation period to be completed in February 2017. The purchase was recorded as a treasury share purchase for purposes of calculating earnings per share. See Part II, Item 5 for further information on the Company’s share repurchase authorizations.</w:t>
      </w:r>
    </w:p>
    <w:p>
      <w:pPr>
        <w:pStyle w:val="BodyText"/>
        <w:spacing w:before="9"/>
        <w:rPr>
          <w:sz w:val="20"/>
        </w:rPr>
      </w:pPr>
    </w:p>
    <w:p>
      <w:pPr>
        <w:pStyle w:val="Heading1"/>
      </w:pPr>
      <w:r>
        <w:rPr>
          <w:color w:val="231F20"/>
        </w:rPr>
        <w:t>Company Overview</w:t>
      </w:r>
    </w:p>
    <w:p>
      <w:pPr>
        <w:pStyle w:val="BodyText"/>
        <w:spacing w:before="5"/>
        <w:rPr>
          <w:b/>
          <w:sz w:val="21"/>
        </w:rPr>
      </w:pPr>
    </w:p>
    <w:p>
      <w:pPr>
        <w:pStyle w:val="BodyText"/>
        <w:spacing w:line="247" w:lineRule="auto"/>
        <w:ind w:left="100" w:right="117"/>
        <w:jc w:val="both"/>
      </w:pPr>
      <w:r>
        <w:rPr>
          <w:color w:val="231F20"/>
        </w:rPr>
        <w:t>During 2016, the Company began scheduled service to Long Beach, California and scheduled service  to three Cuban cities: Havana, Varadero, and Santa Clara. With the addition of these new markets, the Company now serves 101 cities across nine countries and operates over 3,900 departures a day. Also in January 2017, the Company filed an application with the DOT to serve Owen Roberts International Airport in Grand Cayman, and  announced  plans  to  launch  service  to  Cincinnati/Northern  Kentucky International Airport, both scheduled to begin in June</w:t>
      </w:r>
      <w:r>
        <w:rPr>
          <w:color w:val="231F20"/>
          <w:spacing w:val="-4"/>
        </w:rPr>
        <w:t> </w:t>
      </w:r>
      <w:r>
        <w:rPr>
          <w:color w:val="231F20"/>
        </w:rPr>
        <w:t>2017.</w:t>
      </w:r>
    </w:p>
    <w:p>
      <w:pPr>
        <w:pStyle w:val="BodyText"/>
        <w:spacing w:before="9"/>
        <w:rPr>
          <w:sz w:val="20"/>
        </w:rPr>
      </w:pPr>
    </w:p>
    <w:p>
      <w:pPr>
        <w:pStyle w:val="BodyText"/>
        <w:spacing w:line="247" w:lineRule="auto"/>
        <w:ind w:left="100" w:right="118"/>
        <w:jc w:val="both"/>
      </w:pPr>
      <w:r>
        <w:rPr>
          <w:color w:val="231F20"/>
        </w:rPr>
        <w:t>The Company plans to continue its route network and schedule optimization efforts through the addition of new markets and itineraries, while also pruning less profitable flights from its schedule.  The Company currently plans to grow its 2017 available seat miles approximately 3.5 percent, year- over-year, with approximately 2.5 points of that increase relating to domestic</w:t>
      </w:r>
      <w:r>
        <w:rPr>
          <w:color w:val="231F20"/>
          <w:spacing w:val="-3"/>
        </w:rPr>
        <w:t> </w:t>
      </w:r>
      <w:r>
        <w:rPr>
          <w:color w:val="231F20"/>
        </w:rPr>
        <w:t>growth.</w:t>
      </w:r>
    </w:p>
    <w:p>
      <w:pPr>
        <w:pStyle w:val="BodyText"/>
        <w:spacing w:before="9"/>
        <w:rPr>
          <w:sz w:val="20"/>
        </w:rPr>
      </w:pPr>
    </w:p>
    <w:p>
      <w:pPr>
        <w:pStyle w:val="BodyText"/>
        <w:spacing w:line="247" w:lineRule="auto"/>
        <w:ind w:left="100" w:right="117"/>
        <w:jc w:val="both"/>
      </w:pPr>
      <w:r>
        <w:rPr>
          <w:color w:val="231F20"/>
        </w:rPr>
        <w:t>During 2016, the Company took delivery of 38 737-800 aircraft from Boeing and 23 pre-owned  Boeing 737-700 aircraft from third parties. The Company also retired 31 Boeing 737-300 (“Classic”) aircraft and its remaining 11 Boeing 737-500 aircraft during the year. By the end of third quarter 2017, the Company intends to retire the 87 Classic aircraft remaining in its fleet at December 31, 2016. After taking into account scheduled deliveries for new and pre-owned aircraft in 2017, this accelerated retirement schedule is expected to decrease the Company’s fleet to 703 aircraft by year-end 2017. For 2018, the Company’s current firm aircraft commitments would result in 743 aircraft by year-end 2018, including nine Boeing 737-800 options exercised during 2016, and two Boeing 737-800 options exercised in January 2017. See Note 4 to the Consolidated Financial Statements for further  information.</w:t>
      </w:r>
    </w:p>
    <w:p>
      <w:pPr>
        <w:pStyle w:val="BodyText"/>
        <w:spacing w:before="9"/>
        <w:rPr>
          <w:sz w:val="20"/>
        </w:rPr>
      </w:pPr>
    </w:p>
    <w:p>
      <w:pPr>
        <w:pStyle w:val="BodyText"/>
        <w:spacing w:line="247" w:lineRule="auto"/>
        <w:ind w:left="100" w:right="117"/>
        <w:jc w:val="both"/>
      </w:pPr>
      <w:r>
        <w:rPr>
          <w:color w:val="231F20"/>
        </w:rPr>
        <w:t>The Company is the launch customer for Boeing’s new, more fuel-efficient 737-8 aircraft, which is expected to enter service in fourth quarter 2017. The 737-8 is expected to reduce fuel burn and CO2 emissions approximately 20 percent, compared with the 737-300 and 737-500 aircraft when they first entered service. Southwest is also the launch customer for the Boeing 737-7 series aircraft, with deliveries expected to begin in 2019. Currently, the Company has firm orders in place for 170 737-8 aircraft and 30 737-7 aircraft. See Note 4 to the Consolidated Financial Statements for further information.</w:t>
      </w:r>
    </w:p>
    <w:p>
      <w:pPr>
        <w:pStyle w:val="BodyText"/>
        <w:spacing w:before="9"/>
        <w:rPr>
          <w:sz w:val="20"/>
        </w:rPr>
      </w:pPr>
    </w:p>
    <w:p>
      <w:pPr>
        <w:pStyle w:val="BodyText"/>
        <w:spacing w:line="247" w:lineRule="auto"/>
        <w:ind w:left="100" w:right="117"/>
        <w:jc w:val="both"/>
      </w:pPr>
      <w:r>
        <w:rPr>
          <w:color w:val="231F20"/>
        </w:rPr>
        <w:t>The Company is in the midst of a multi-year project to completely replace its reservation system. In 2014, the Company launched the Amadeus Altéa reservations solution to support the Company’s international service. The Company has since begun implementing Amadeus’ Altéa reservations solution as the Company’s future single reservation system for both domestic and international reservations. The implementation consists of two foundational releases. Release 1 was completed in December 2016, and added functionality to enable the sale of domestic tickets on the new reservation system. Release 2 is expected to be completed on May 9, 2017 and will add functionality to enable operational capabilities such as passenger check-in and boarding and baggage check-in on the new</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reservation system. Subsequent releases will add functionality to enable revenue enhancements, further schedule optimization, support for international growth, and additional foundational and operational capabilities.</w:t>
      </w:r>
    </w:p>
    <w:p>
      <w:pPr>
        <w:pStyle w:val="BodyText"/>
        <w:spacing w:before="1"/>
        <w:rPr>
          <w:sz w:val="20"/>
        </w:rPr>
      </w:pPr>
    </w:p>
    <w:p>
      <w:pPr>
        <w:pStyle w:val="BodyText"/>
        <w:spacing w:line="247" w:lineRule="auto"/>
        <w:ind w:left="100" w:right="117"/>
        <w:jc w:val="both"/>
      </w:pPr>
      <w:r>
        <w:rPr>
          <w:color w:val="231F20"/>
        </w:rPr>
        <w:t>During 2016, the following events took place regarding the Company’s unionized Employee groups in contract negotiations:</w:t>
      </w:r>
    </w:p>
    <w:p>
      <w:pPr>
        <w:pStyle w:val="BodyText"/>
        <w:rPr>
          <w:sz w:val="20"/>
        </w:rPr>
      </w:pPr>
    </w:p>
    <w:p>
      <w:pPr>
        <w:pStyle w:val="ListParagraph"/>
        <w:numPr>
          <w:ilvl w:val="2"/>
          <w:numId w:val="9"/>
        </w:numPr>
        <w:tabs>
          <w:tab w:pos="900" w:val="left" w:leader="none"/>
        </w:tabs>
        <w:spacing w:line="249" w:lineRule="auto" w:before="0" w:after="0"/>
        <w:ind w:left="900" w:right="118" w:hanging="400"/>
        <w:jc w:val="both"/>
        <w:rPr>
          <w:sz w:val="20"/>
        </w:rPr>
      </w:pPr>
      <w:r>
        <w:rPr>
          <w:color w:val="231F20"/>
          <w:sz w:val="20"/>
        </w:rPr>
        <w:t>The Company’s Flight Crew Training Instructors, represented by Transport Workers Union (“TWU”) Local 557, ratified a new collective-bargaining agreement with the Company. The newly ratified contract becomes amendable in December</w:t>
      </w:r>
      <w:r>
        <w:rPr>
          <w:color w:val="231F20"/>
          <w:spacing w:val="4"/>
          <w:sz w:val="20"/>
        </w:rPr>
        <w:t> </w:t>
      </w:r>
      <w:r>
        <w:rPr>
          <w:color w:val="231F20"/>
          <w:sz w:val="20"/>
        </w:rPr>
        <w:t>2019.</w:t>
      </w:r>
    </w:p>
    <w:p>
      <w:pPr>
        <w:pStyle w:val="BodyText"/>
        <w:spacing w:before="2"/>
        <w:rPr>
          <w:sz w:val="20"/>
        </w:rPr>
      </w:pPr>
    </w:p>
    <w:p>
      <w:pPr>
        <w:pStyle w:val="ListParagraph"/>
        <w:numPr>
          <w:ilvl w:val="2"/>
          <w:numId w:val="9"/>
        </w:numPr>
        <w:tabs>
          <w:tab w:pos="900" w:val="left" w:leader="none"/>
        </w:tabs>
        <w:spacing w:line="249" w:lineRule="auto" w:before="1" w:after="0"/>
        <w:ind w:left="900" w:right="117" w:hanging="400"/>
        <w:jc w:val="both"/>
        <w:rPr>
          <w:sz w:val="20"/>
        </w:rPr>
      </w:pPr>
      <w:r>
        <w:rPr>
          <w:color w:val="231F20"/>
          <w:sz w:val="20"/>
        </w:rPr>
        <w:t>The Company’s Ramp, Operations, Provisioning, and Freight Agents, represented by TWU Local 555, ratified a new collective-bargaining agreement with the Company. The newly ratified contract becomes amendable in February</w:t>
      </w:r>
      <w:r>
        <w:rPr>
          <w:color w:val="231F20"/>
          <w:spacing w:val="2"/>
          <w:sz w:val="20"/>
        </w:rPr>
        <w:t> </w:t>
      </w:r>
      <w:r>
        <w:rPr>
          <w:color w:val="231F20"/>
          <w:sz w:val="20"/>
        </w:rPr>
        <w:t>2021.</w:t>
      </w:r>
    </w:p>
    <w:p>
      <w:pPr>
        <w:pStyle w:val="BodyText"/>
        <w:spacing w:before="3"/>
        <w:rPr>
          <w:sz w:val="20"/>
        </w:rPr>
      </w:pPr>
    </w:p>
    <w:p>
      <w:pPr>
        <w:pStyle w:val="ListParagraph"/>
        <w:numPr>
          <w:ilvl w:val="2"/>
          <w:numId w:val="9"/>
        </w:numPr>
        <w:tabs>
          <w:tab w:pos="900" w:val="left" w:leader="none"/>
        </w:tabs>
        <w:spacing w:line="249" w:lineRule="auto" w:before="0" w:after="0"/>
        <w:ind w:left="900" w:right="117" w:hanging="400"/>
        <w:jc w:val="both"/>
        <w:rPr>
          <w:sz w:val="20"/>
        </w:rPr>
      </w:pPr>
      <w:r>
        <w:rPr>
          <w:color w:val="231F20"/>
          <w:sz w:val="20"/>
        </w:rPr>
        <w:t>The Company’s Pilots, represented by the Southwest Airlines Pilots’ Association, ratified a new collective-bargaining agreement. The newly ratified contract becomes amendable in September</w:t>
      </w:r>
      <w:r>
        <w:rPr>
          <w:color w:val="231F20"/>
          <w:spacing w:val="13"/>
          <w:sz w:val="20"/>
        </w:rPr>
        <w:t> </w:t>
      </w:r>
      <w:r>
        <w:rPr>
          <w:color w:val="231F20"/>
          <w:sz w:val="20"/>
        </w:rPr>
        <w:t>2020.</w:t>
      </w:r>
    </w:p>
    <w:p>
      <w:pPr>
        <w:pStyle w:val="BodyText"/>
        <w:spacing w:before="2"/>
        <w:rPr>
          <w:sz w:val="20"/>
        </w:rPr>
      </w:pPr>
    </w:p>
    <w:p>
      <w:pPr>
        <w:pStyle w:val="ListParagraph"/>
        <w:numPr>
          <w:ilvl w:val="2"/>
          <w:numId w:val="9"/>
        </w:numPr>
        <w:tabs>
          <w:tab w:pos="900" w:val="left" w:leader="none"/>
        </w:tabs>
        <w:spacing w:line="249" w:lineRule="auto" w:before="1" w:after="0"/>
        <w:ind w:left="900" w:right="118" w:hanging="400"/>
        <w:jc w:val="both"/>
        <w:rPr>
          <w:sz w:val="20"/>
        </w:rPr>
      </w:pPr>
      <w:r>
        <w:rPr>
          <w:color w:val="231F20"/>
          <w:sz w:val="20"/>
        </w:rPr>
        <w:t>The Company’s Flight Attendants, represented by TWU Local 556, ratified a new collective-  bargaining agreement with the Company. The newly ratified contract becomes amendable in November 2018.</w:t>
      </w:r>
    </w:p>
    <w:p>
      <w:pPr>
        <w:pStyle w:val="BodyText"/>
        <w:spacing w:before="3"/>
        <w:rPr>
          <w:sz w:val="20"/>
        </w:rPr>
      </w:pPr>
    </w:p>
    <w:p>
      <w:pPr>
        <w:pStyle w:val="ListParagraph"/>
        <w:numPr>
          <w:ilvl w:val="2"/>
          <w:numId w:val="9"/>
        </w:numPr>
        <w:tabs>
          <w:tab w:pos="900" w:val="left" w:leader="none"/>
        </w:tabs>
        <w:spacing w:line="249" w:lineRule="auto" w:before="0" w:after="0"/>
        <w:ind w:left="900" w:right="118" w:hanging="400"/>
        <w:jc w:val="both"/>
        <w:rPr>
          <w:sz w:val="20"/>
        </w:rPr>
      </w:pPr>
      <w:r>
        <w:rPr>
          <w:color w:val="231F20"/>
          <w:sz w:val="20"/>
        </w:rPr>
        <w:t>The Company’s Aircraft Appearance Technicians, represented by the Aircraft Mechanics Fraternal Association (“AMFA”), ratified a new collective-bargaining agreement with the Company. The newly ratified contract becomes amendable in November</w:t>
      </w:r>
      <w:r>
        <w:rPr>
          <w:color w:val="231F20"/>
          <w:spacing w:val="5"/>
          <w:sz w:val="20"/>
        </w:rPr>
        <w:t> </w:t>
      </w:r>
      <w:r>
        <w:rPr>
          <w:color w:val="231F20"/>
          <w:sz w:val="20"/>
        </w:rPr>
        <w:t>2020.</w:t>
      </w:r>
    </w:p>
    <w:p>
      <w:pPr>
        <w:pStyle w:val="BodyText"/>
        <w:spacing w:before="2"/>
        <w:rPr>
          <w:sz w:val="20"/>
        </w:rPr>
      </w:pPr>
    </w:p>
    <w:p>
      <w:pPr>
        <w:pStyle w:val="ListParagraph"/>
        <w:numPr>
          <w:ilvl w:val="2"/>
          <w:numId w:val="9"/>
        </w:numPr>
        <w:tabs>
          <w:tab w:pos="900" w:val="left" w:leader="none"/>
        </w:tabs>
        <w:spacing w:line="249" w:lineRule="auto" w:before="1" w:after="0"/>
        <w:ind w:left="900" w:right="117" w:hanging="400"/>
        <w:jc w:val="both"/>
        <w:rPr>
          <w:sz w:val="20"/>
        </w:rPr>
      </w:pPr>
      <w:r>
        <w:rPr>
          <w:color w:val="231F20"/>
          <w:sz w:val="20"/>
        </w:rPr>
        <w:t>The Company’s Facilities Maintenance Technicians, represented by AMFA, reached a tentative collective-bargaining agreement with the Company, which was announced in October 2016. The Facilities Maintenance Technicians failed to ratify this agreement, as announced by the Company on December 29, 2016, and the parties will continue</w:t>
      </w:r>
      <w:r>
        <w:rPr>
          <w:color w:val="231F20"/>
          <w:spacing w:val="3"/>
          <w:sz w:val="20"/>
        </w:rPr>
        <w:t> </w:t>
      </w:r>
      <w:r>
        <w:rPr>
          <w:color w:val="231F20"/>
          <w:sz w:val="20"/>
        </w:rPr>
        <w:t>negotiations.</w:t>
      </w:r>
    </w:p>
    <w:p>
      <w:pPr>
        <w:pStyle w:val="BodyText"/>
        <w:spacing w:before="5"/>
        <w:rPr>
          <w:sz w:val="30"/>
        </w:rPr>
      </w:pPr>
    </w:p>
    <w:p>
      <w:pPr>
        <w:pStyle w:val="Heading2"/>
        <w:ind w:left="100"/>
        <w:jc w:val="both"/>
        <w:rPr>
          <w:i/>
        </w:rPr>
      </w:pPr>
      <w:r>
        <w:rPr>
          <w:i/>
          <w:color w:val="231F20"/>
        </w:rPr>
        <w:t>2016 Compared with 2015</w:t>
      </w:r>
    </w:p>
    <w:p>
      <w:pPr>
        <w:pStyle w:val="BodyText"/>
        <w:spacing w:before="8"/>
        <w:rPr>
          <w:b/>
          <w:i/>
          <w:sz w:val="20"/>
        </w:rPr>
      </w:pPr>
    </w:p>
    <w:p>
      <w:pPr>
        <w:spacing w:before="0"/>
        <w:ind w:left="100" w:right="0" w:firstLine="0"/>
        <w:jc w:val="both"/>
        <w:rPr>
          <w:b/>
          <w:sz w:val="22"/>
        </w:rPr>
      </w:pPr>
      <w:r>
        <w:rPr>
          <w:b/>
          <w:color w:val="231F20"/>
          <w:sz w:val="22"/>
        </w:rPr>
        <w:t>Operating Revenues</w:t>
      </w:r>
    </w:p>
    <w:p>
      <w:pPr>
        <w:pStyle w:val="BodyText"/>
        <w:spacing w:before="8"/>
        <w:rPr>
          <w:b/>
          <w:sz w:val="20"/>
        </w:rPr>
      </w:pPr>
    </w:p>
    <w:p>
      <w:pPr>
        <w:pStyle w:val="BodyText"/>
        <w:spacing w:line="247" w:lineRule="auto"/>
        <w:ind w:left="100" w:right="117"/>
        <w:jc w:val="both"/>
      </w:pPr>
      <w:r>
        <w:rPr>
          <w:color w:val="231F20"/>
        </w:rPr>
        <w:t>Passenger revenues for 2016 increased by $295 million, or 1.6 percent, compared with 2015. Holding all other factors constant, the increase was primarily attributable to a 5.7 percent increase in capacity as strong Customer demand for low-fare air travel enabled the Company to fill the additional seats, as evidenced by a Company record annual load factor of 84.0 percent. On a unit basis,  Passenger revenues decreased 3.8 percent, year-over-year, largely driven by a 4.3 percent decrease in passenger revenue yield, year-over-year, which included a reduction to 2016 Passenger revenues associated with the Agreement with Chase, as a result of the required change in accounting methodology in 2015. The Agreement resulted in an acceleration of the timing of revenue recognition on a prospective basis beginning July 1, 2015, as well as a change in classification. The transportation element of the consideration received is now allocated a lower relative value, resulting in a reduction in the revenues classified as Passenger on a prospective basis, and the higher relative value associated with the non- transportation elements results in an increase in the portion of revenues classified as Other within the Consolidated Statement of Income; however, the precise revenue impact for future periods is not determinable until the volume of future transactions for the period is known. See Note 1 to the Consolidated Financial Statements for further</w:t>
      </w:r>
      <w:r>
        <w:rPr>
          <w:color w:val="231F20"/>
          <w:spacing w:val="-2"/>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Freight revenues for 2016 decreased by $8 million, or 4.5 percent, compared with 2015, primarily due to sluggish demand. Based on current trends, the Company currently expects Freight revenues in      first quarter 2017 to be comparable with first quarter</w:t>
      </w:r>
      <w:r>
        <w:rPr>
          <w:color w:val="231F20"/>
          <w:spacing w:val="-6"/>
        </w:rPr>
        <w:t> </w:t>
      </w:r>
      <w:r>
        <w:rPr>
          <w:color w:val="231F20"/>
        </w:rPr>
        <w:t>2016.</w:t>
      </w:r>
    </w:p>
    <w:p>
      <w:pPr>
        <w:pStyle w:val="BodyText"/>
        <w:spacing w:before="8"/>
        <w:rPr>
          <w:sz w:val="19"/>
        </w:rPr>
      </w:pPr>
    </w:p>
    <w:p>
      <w:pPr>
        <w:pStyle w:val="BodyText"/>
        <w:spacing w:line="247" w:lineRule="auto"/>
        <w:ind w:left="100" w:right="117"/>
        <w:jc w:val="both"/>
      </w:pPr>
      <w:r>
        <w:rPr>
          <w:color w:val="231F20"/>
        </w:rPr>
        <w:t>The Company recorded a Special revenue adjustment during 2015 of $172 million. This adjustment represented a one-time non-cash reduction to deferred revenue liability as a result of the Agreement with Chase and the resulting required change in accounting methodology, and is classified as a special item and thus excluded from the Company’s 2015 non-GAAP financial results. See Note 1 to the Consolidated Financial Statements and the Note Regarding Use of Non-GAAP Financial Measures for further information.</w:t>
      </w:r>
    </w:p>
    <w:p>
      <w:pPr>
        <w:pStyle w:val="BodyText"/>
        <w:spacing w:before="8"/>
        <w:rPr>
          <w:sz w:val="19"/>
        </w:rPr>
      </w:pPr>
    </w:p>
    <w:p>
      <w:pPr>
        <w:pStyle w:val="BodyText"/>
        <w:spacing w:line="247" w:lineRule="auto"/>
        <w:ind w:left="100" w:right="117"/>
        <w:jc w:val="both"/>
      </w:pPr>
      <w:r>
        <w:rPr>
          <w:color w:val="231F20"/>
        </w:rPr>
        <w:t>Other revenues for 2016 increased $490 million, or 41.9 percent, compared with 2015, primarily as a result of the Agreement with Chase and the resulting required change in accounting methodology. This change resulted in approximately 90 percent of the increase to Other revenue year-over-year.  Excluding this impact of the Agreement with Chase, Other revenues increased primarily due to higher ancillary revenues associated with EarlyBird Check-in</w:t>
      </w:r>
      <w:r>
        <w:rPr>
          <w:color w:val="231F20"/>
          <w:position w:val="5"/>
          <w:sz w:val="16"/>
        </w:rPr>
        <w:t>® </w:t>
      </w:r>
      <w:r>
        <w:rPr>
          <w:color w:val="231F20"/>
        </w:rPr>
        <w:t>and A1-15 select boarding positions sold at the airport. The Company currently expects Other revenues in first quarter 2017 to increase, compared  with first quarter</w:t>
      </w:r>
      <w:r>
        <w:rPr>
          <w:color w:val="231F20"/>
          <w:spacing w:val="-3"/>
        </w:rPr>
        <w:t> </w:t>
      </w:r>
      <w:r>
        <w:rPr>
          <w:color w:val="231F20"/>
        </w:rPr>
        <w:t>2016.</w:t>
      </w:r>
    </w:p>
    <w:p>
      <w:pPr>
        <w:pStyle w:val="BodyText"/>
        <w:spacing w:before="8"/>
        <w:rPr>
          <w:sz w:val="19"/>
        </w:rPr>
      </w:pPr>
    </w:p>
    <w:p>
      <w:pPr>
        <w:pStyle w:val="BodyText"/>
        <w:spacing w:line="247" w:lineRule="auto"/>
        <w:ind w:left="100" w:right="117"/>
        <w:jc w:val="both"/>
      </w:pPr>
      <w:r>
        <w:rPr>
          <w:color w:val="231F20"/>
        </w:rPr>
        <w:t>Based on revenue and booking trends thus far in first quarter 2017, the Company is  currently  expecting first quarter 2017 operating unit revenues to be flat to down one percent, compared with first quarter</w:t>
      </w:r>
      <w:r>
        <w:rPr>
          <w:color w:val="231F20"/>
          <w:spacing w:val="-1"/>
        </w:rPr>
        <w:t> </w:t>
      </w:r>
      <w:r>
        <w:rPr>
          <w:color w:val="231F20"/>
        </w:rPr>
        <w:t>2016.</w:t>
      </w:r>
    </w:p>
    <w:p>
      <w:pPr>
        <w:pStyle w:val="BodyText"/>
        <w:spacing w:before="8"/>
        <w:rPr>
          <w:sz w:val="19"/>
        </w:rPr>
      </w:pPr>
    </w:p>
    <w:p>
      <w:pPr>
        <w:pStyle w:val="Heading1"/>
      </w:pPr>
      <w:r>
        <w:rPr>
          <w:color w:val="231F20"/>
        </w:rPr>
        <w:t>Operating Expenses</w:t>
      </w:r>
    </w:p>
    <w:p>
      <w:pPr>
        <w:pStyle w:val="BodyText"/>
        <w:spacing w:before="4"/>
        <w:rPr>
          <w:b/>
          <w:sz w:val="20"/>
        </w:rPr>
      </w:pPr>
    </w:p>
    <w:p>
      <w:pPr>
        <w:pStyle w:val="BodyText"/>
        <w:spacing w:line="247" w:lineRule="auto"/>
        <w:ind w:left="100" w:right="117"/>
        <w:jc w:val="both"/>
      </w:pPr>
      <w:r>
        <w:rPr>
          <w:color w:val="231F20"/>
        </w:rPr>
        <w:t>Operating expenses for 2016 increased $961 million, or 6.1 percent, compared with 2015, while capacity increased 5.7 percent over the same period. Historically, except for changes in the price of fuel, changes in Operating expenses for airlines have been largely driven by changes in capacity, or ASMs. The following table presents the Company’s Operating expenses per ASM for 2016 and 2015, followed by explanations of these changes on a per ASM basis and dollar basis:</w:t>
      </w:r>
    </w:p>
    <w:p>
      <w:pPr>
        <w:pStyle w:val="BodyText"/>
        <w:spacing w:before="2"/>
        <w:rPr>
          <w:sz w:val="16"/>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1280"/>
        <w:gridCol w:w="200"/>
        <w:gridCol w:w="1080"/>
        <w:gridCol w:w="200"/>
        <w:gridCol w:w="1080"/>
      </w:tblGrid>
      <w:tr>
        <w:trPr>
          <w:trHeight w:val="256" w:hRule="exact"/>
        </w:trPr>
        <w:tc>
          <w:tcPr>
            <w:tcW w:w="4200" w:type="dxa"/>
          </w:tcPr>
          <w:p>
            <w:pPr/>
          </w:p>
        </w:tc>
        <w:tc>
          <w:tcPr>
            <w:tcW w:w="1080" w:type="dxa"/>
            <w:tcBorders>
              <w:bottom w:val="single" w:sz="8" w:space="0" w:color="231F20"/>
            </w:tcBorders>
          </w:tcPr>
          <w:p>
            <w:pPr>
              <w:pStyle w:val="TableParagraph"/>
              <w:spacing w:line="229" w:lineRule="exact" w:before="0"/>
              <w:ind w:right="14"/>
              <w:jc w:val="right"/>
              <w:rPr>
                <w:b/>
                <w:sz w:val="20"/>
              </w:rPr>
            </w:pPr>
            <w:r>
              <w:rPr>
                <w:b/>
                <w:color w:val="231F20"/>
                <w:sz w:val="20"/>
              </w:rPr>
              <w:t>Year ended</w:t>
            </w:r>
          </w:p>
        </w:tc>
        <w:tc>
          <w:tcPr>
            <w:tcW w:w="1280" w:type="dxa"/>
            <w:tcBorders>
              <w:bottom w:val="single" w:sz="8" w:space="0" w:color="231F20"/>
            </w:tcBorders>
          </w:tcPr>
          <w:p>
            <w:pPr>
              <w:pStyle w:val="TableParagraph"/>
              <w:spacing w:line="229" w:lineRule="exact" w:before="0"/>
              <w:ind w:left="33"/>
              <w:rPr>
                <w:b/>
                <w:sz w:val="20"/>
              </w:rPr>
            </w:pPr>
            <w:r>
              <w:rPr>
                <w:b/>
                <w:color w:val="231F20"/>
                <w:sz w:val="20"/>
              </w:rPr>
              <w:t>December 31,</w:t>
            </w:r>
          </w:p>
        </w:tc>
        <w:tc>
          <w:tcPr>
            <w:tcW w:w="200" w:type="dxa"/>
          </w:tcPr>
          <w:p>
            <w:pPr/>
          </w:p>
        </w:tc>
        <w:tc>
          <w:tcPr>
            <w:tcW w:w="1080" w:type="dxa"/>
          </w:tcPr>
          <w:p>
            <w:pPr>
              <w:pStyle w:val="TableParagraph"/>
              <w:spacing w:line="229" w:lineRule="exact" w:before="0"/>
              <w:ind w:left="142"/>
              <w:rPr>
                <w:b/>
                <w:sz w:val="20"/>
              </w:rPr>
            </w:pPr>
            <w:r>
              <w:rPr>
                <w:b/>
                <w:color w:val="231F20"/>
                <w:sz w:val="20"/>
              </w:rPr>
              <w:t>Per ASM</w:t>
            </w:r>
          </w:p>
        </w:tc>
        <w:tc>
          <w:tcPr>
            <w:tcW w:w="200" w:type="dxa"/>
          </w:tcPr>
          <w:p>
            <w:pPr/>
          </w:p>
        </w:tc>
        <w:tc>
          <w:tcPr>
            <w:tcW w:w="1080" w:type="dxa"/>
          </w:tcPr>
          <w:p>
            <w:pPr>
              <w:pStyle w:val="TableParagraph"/>
              <w:spacing w:line="229" w:lineRule="exact" w:before="0"/>
              <w:ind w:left="212"/>
              <w:rPr>
                <w:b/>
                <w:sz w:val="20"/>
              </w:rPr>
            </w:pPr>
            <w:r>
              <w:rPr>
                <w:b/>
                <w:color w:val="231F20"/>
                <w:sz w:val="20"/>
              </w:rPr>
              <w:t>Percent</w:t>
            </w:r>
          </w:p>
        </w:tc>
      </w:tr>
      <w:tr>
        <w:trPr>
          <w:trHeight w:val="280" w:hRule="exact"/>
        </w:trPr>
        <w:tc>
          <w:tcPr>
            <w:tcW w:w="4200" w:type="dxa"/>
          </w:tcPr>
          <w:p>
            <w:pPr>
              <w:pStyle w:val="TableParagraph"/>
              <w:spacing w:before="23"/>
              <w:ind w:left="59"/>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13"/>
              <w:ind w:left="339"/>
              <w:rPr>
                <w:b/>
                <w:sz w:val="20"/>
              </w:rPr>
            </w:pPr>
            <w:r>
              <w:rPr>
                <w:b/>
                <w:color w:val="231F20"/>
                <w:sz w:val="20"/>
              </w:rPr>
              <w:t>2016</w:t>
            </w:r>
          </w:p>
        </w:tc>
        <w:tc>
          <w:tcPr>
            <w:tcW w:w="1280" w:type="dxa"/>
            <w:tcBorders>
              <w:top w:val="single" w:sz="8" w:space="0" w:color="231F20"/>
              <w:bottom w:val="single" w:sz="8" w:space="0" w:color="231F20"/>
            </w:tcBorders>
          </w:tcPr>
          <w:p>
            <w:pPr>
              <w:pStyle w:val="TableParagraph"/>
              <w:spacing w:before="13"/>
              <w:ind w:left="540"/>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before="23"/>
              <w:ind w:left="240"/>
              <w:rPr>
                <w:b/>
                <w:sz w:val="20"/>
              </w:rPr>
            </w:pPr>
            <w:r>
              <w:rPr>
                <w:b/>
                <w:color w:val="231F20"/>
                <w:sz w:val="20"/>
              </w:rPr>
              <w:t>change</w:t>
            </w:r>
          </w:p>
        </w:tc>
        <w:tc>
          <w:tcPr>
            <w:tcW w:w="200" w:type="dxa"/>
          </w:tcPr>
          <w:p>
            <w:pPr/>
          </w:p>
        </w:tc>
        <w:tc>
          <w:tcPr>
            <w:tcW w:w="1080" w:type="dxa"/>
            <w:tcBorders>
              <w:bottom w:val="single" w:sz="8" w:space="0" w:color="231F20"/>
            </w:tcBorders>
          </w:tcPr>
          <w:p>
            <w:pPr>
              <w:pStyle w:val="TableParagraph"/>
              <w:spacing w:before="23"/>
              <w:ind w:left="240"/>
              <w:rPr>
                <w:b/>
                <w:sz w:val="20"/>
              </w:rPr>
            </w:pPr>
            <w:r>
              <w:rPr>
                <w:b/>
                <w:color w:val="231F20"/>
                <w:sz w:val="20"/>
              </w:rPr>
              <w:t>change</w:t>
            </w:r>
          </w:p>
        </w:tc>
      </w:tr>
      <w:tr>
        <w:trPr>
          <w:trHeight w:val="310" w:hRule="exact"/>
        </w:trPr>
        <w:tc>
          <w:tcPr>
            <w:tcW w:w="4200" w:type="dxa"/>
            <w:shd w:val="clear" w:color="auto" w:fill="D1D3D4"/>
          </w:tcPr>
          <w:p>
            <w:pPr>
              <w:pStyle w:val="TableParagraph"/>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ind w:right="19"/>
              <w:jc w:val="right"/>
              <w:rPr>
                <w:sz w:val="20"/>
              </w:rPr>
            </w:pPr>
            <w:r>
              <w:rPr>
                <w:color w:val="231F20"/>
                <w:sz w:val="20"/>
              </w:rPr>
              <w:t>4.57¢</w:t>
            </w:r>
          </w:p>
        </w:tc>
        <w:tc>
          <w:tcPr>
            <w:tcW w:w="1280" w:type="dxa"/>
            <w:tcBorders>
              <w:top w:val="single" w:sz="8" w:space="0" w:color="231F20"/>
            </w:tcBorders>
            <w:shd w:val="clear" w:color="auto" w:fill="D1D3D4"/>
          </w:tcPr>
          <w:p>
            <w:pPr>
              <w:pStyle w:val="TableParagraph"/>
              <w:ind w:right="19"/>
              <w:jc w:val="right"/>
              <w:rPr>
                <w:sz w:val="20"/>
              </w:rPr>
            </w:pPr>
            <w:r>
              <w:rPr>
                <w:color w:val="231F20"/>
                <w:sz w:val="20"/>
              </w:rPr>
              <w:t>4.54¢</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19"/>
              <w:jc w:val="right"/>
              <w:rPr>
                <w:sz w:val="20"/>
              </w:rPr>
            </w:pPr>
            <w:r>
              <w:rPr>
                <w:color w:val="231F20"/>
                <w:sz w:val="20"/>
              </w:rPr>
              <w:t>0.03¢</w:t>
            </w:r>
          </w:p>
        </w:tc>
        <w:tc>
          <w:tcPr>
            <w:tcW w:w="200" w:type="dxa"/>
            <w:shd w:val="clear" w:color="auto" w:fill="D1D3D4"/>
          </w:tcPr>
          <w:p>
            <w:pPr/>
          </w:p>
        </w:tc>
        <w:tc>
          <w:tcPr>
            <w:tcW w:w="1080" w:type="dxa"/>
            <w:tcBorders>
              <w:top w:val="single" w:sz="8" w:space="0" w:color="231F20"/>
            </w:tcBorders>
            <w:shd w:val="clear" w:color="auto" w:fill="D1D3D4"/>
          </w:tcPr>
          <w:p>
            <w:pPr>
              <w:pStyle w:val="TableParagraph"/>
              <w:ind w:right="31"/>
              <w:jc w:val="right"/>
              <w:rPr>
                <w:sz w:val="20"/>
              </w:rPr>
            </w:pPr>
            <w:r>
              <w:rPr>
                <w:color w:val="231F20"/>
                <w:sz w:val="20"/>
              </w:rPr>
              <w:t>0.7%</w:t>
            </w:r>
          </w:p>
        </w:tc>
      </w:tr>
      <w:tr>
        <w:trPr>
          <w:trHeight w:val="300" w:hRule="exact"/>
        </w:trPr>
        <w:tc>
          <w:tcPr>
            <w:tcW w:w="4200" w:type="dxa"/>
          </w:tcPr>
          <w:p>
            <w:pPr>
              <w:pStyle w:val="TableParagraph"/>
              <w:ind w:left="60"/>
              <w:rPr>
                <w:sz w:val="20"/>
              </w:rPr>
            </w:pPr>
            <w:r>
              <w:rPr>
                <w:color w:val="231F20"/>
                <w:sz w:val="20"/>
              </w:rPr>
              <w:t>Fuel and oil</w:t>
            </w:r>
          </w:p>
        </w:tc>
        <w:tc>
          <w:tcPr>
            <w:tcW w:w="1080" w:type="dxa"/>
          </w:tcPr>
          <w:p>
            <w:pPr>
              <w:pStyle w:val="TableParagraph"/>
              <w:ind w:right="119"/>
              <w:jc w:val="right"/>
              <w:rPr>
                <w:sz w:val="20"/>
              </w:rPr>
            </w:pPr>
            <w:r>
              <w:rPr>
                <w:color w:val="231F20"/>
                <w:sz w:val="20"/>
              </w:rPr>
              <w:t>2.46</w:t>
            </w:r>
          </w:p>
        </w:tc>
        <w:tc>
          <w:tcPr>
            <w:tcW w:w="1280" w:type="dxa"/>
          </w:tcPr>
          <w:p>
            <w:pPr>
              <w:pStyle w:val="TableParagraph"/>
              <w:ind w:right="119"/>
              <w:jc w:val="right"/>
              <w:rPr>
                <w:sz w:val="20"/>
              </w:rPr>
            </w:pPr>
            <w:r>
              <w:rPr>
                <w:color w:val="231F20"/>
                <w:sz w:val="20"/>
              </w:rPr>
              <w:t>2.58</w:t>
            </w:r>
          </w:p>
        </w:tc>
        <w:tc>
          <w:tcPr>
            <w:tcW w:w="200" w:type="dxa"/>
          </w:tcPr>
          <w:p>
            <w:pPr/>
          </w:p>
        </w:tc>
        <w:tc>
          <w:tcPr>
            <w:tcW w:w="1080" w:type="dxa"/>
          </w:tcPr>
          <w:p>
            <w:pPr>
              <w:pStyle w:val="TableParagraph"/>
              <w:ind w:right="51"/>
              <w:jc w:val="right"/>
              <w:rPr>
                <w:sz w:val="20"/>
              </w:rPr>
            </w:pPr>
            <w:r>
              <w:rPr>
                <w:color w:val="231F20"/>
                <w:sz w:val="20"/>
              </w:rPr>
              <w:t>(0.12)</w:t>
            </w:r>
          </w:p>
        </w:tc>
        <w:tc>
          <w:tcPr>
            <w:tcW w:w="200" w:type="dxa"/>
          </w:tcPr>
          <w:p>
            <w:pPr/>
          </w:p>
        </w:tc>
        <w:tc>
          <w:tcPr>
            <w:tcW w:w="1080" w:type="dxa"/>
          </w:tcPr>
          <w:p>
            <w:pPr>
              <w:pStyle w:val="TableParagraph"/>
              <w:ind w:right="131"/>
              <w:jc w:val="right"/>
              <w:rPr>
                <w:sz w:val="20"/>
              </w:rPr>
            </w:pPr>
            <w:r>
              <w:rPr>
                <w:color w:val="231F20"/>
                <w:sz w:val="20"/>
              </w:rPr>
              <w:t>(4.7)</w:t>
            </w:r>
          </w:p>
        </w:tc>
      </w:tr>
      <w:tr>
        <w:trPr>
          <w:trHeight w:val="300" w:hRule="exact"/>
        </w:trPr>
        <w:tc>
          <w:tcPr>
            <w:tcW w:w="4200" w:type="dxa"/>
            <w:shd w:val="clear" w:color="auto" w:fill="D1D3D4"/>
          </w:tcPr>
          <w:p>
            <w:pPr>
              <w:pStyle w:val="TableParagraph"/>
              <w:ind w:left="60"/>
              <w:rPr>
                <w:sz w:val="20"/>
              </w:rPr>
            </w:pPr>
            <w:r>
              <w:rPr>
                <w:color w:val="231F20"/>
                <w:sz w:val="20"/>
              </w:rPr>
              <w:t>Maintenance materials and repairs</w:t>
            </w:r>
          </w:p>
        </w:tc>
        <w:tc>
          <w:tcPr>
            <w:tcW w:w="1080" w:type="dxa"/>
            <w:shd w:val="clear" w:color="auto" w:fill="D1D3D4"/>
          </w:tcPr>
          <w:p>
            <w:pPr>
              <w:pStyle w:val="TableParagraph"/>
              <w:ind w:right="117"/>
              <w:jc w:val="right"/>
              <w:rPr>
                <w:sz w:val="20"/>
              </w:rPr>
            </w:pPr>
            <w:r>
              <w:rPr>
                <w:color w:val="231F20"/>
                <w:sz w:val="20"/>
              </w:rPr>
              <w:t>0.70</w:t>
            </w:r>
          </w:p>
        </w:tc>
        <w:tc>
          <w:tcPr>
            <w:tcW w:w="1280" w:type="dxa"/>
            <w:shd w:val="clear" w:color="auto" w:fill="D1D3D4"/>
          </w:tcPr>
          <w:p>
            <w:pPr>
              <w:pStyle w:val="TableParagraph"/>
              <w:ind w:right="117"/>
              <w:jc w:val="right"/>
              <w:rPr>
                <w:sz w:val="20"/>
              </w:rPr>
            </w:pPr>
            <w:r>
              <w:rPr>
                <w:color w:val="231F20"/>
                <w:sz w:val="20"/>
              </w:rPr>
              <w:t>0.72</w:t>
            </w:r>
          </w:p>
        </w:tc>
        <w:tc>
          <w:tcPr>
            <w:tcW w:w="200" w:type="dxa"/>
            <w:shd w:val="clear" w:color="auto" w:fill="D1D3D4"/>
          </w:tcPr>
          <w:p>
            <w:pPr/>
          </w:p>
        </w:tc>
        <w:tc>
          <w:tcPr>
            <w:tcW w:w="1080" w:type="dxa"/>
            <w:shd w:val="clear" w:color="auto" w:fill="D1D3D4"/>
          </w:tcPr>
          <w:p>
            <w:pPr>
              <w:pStyle w:val="TableParagraph"/>
              <w:ind w:right="51"/>
              <w:jc w:val="right"/>
              <w:rPr>
                <w:sz w:val="20"/>
              </w:rPr>
            </w:pPr>
            <w:r>
              <w:rPr>
                <w:color w:val="231F20"/>
                <w:sz w:val="20"/>
              </w:rPr>
              <w:t>(0.02)</w:t>
            </w:r>
          </w:p>
        </w:tc>
        <w:tc>
          <w:tcPr>
            <w:tcW w:w="200" w:type="dxa"/>
            <w:shd w:val="clear" w:color="auto" w:fill="D1D3D4"/>
          </w:tcPr>
          <w:p>
            <w:pPr/>
          </w:p>
        </w:tc>
        <w:tc>
          <w:tcPr>
            <w:tcW w:w="1080" w:type="dxa"/>
            <w:shd w:val="clear" w:color="auto" w:fill="D1D3D4"/>
          </w:tcPr>
          <w:p>
            <w:pPr>
              <w:pStyle w:val="TableParagraph"/>
              <w:ind w:right="131"/>
              <w:jc w:val="right"/>
              <w:rPr>
                <w:sz w:val="20"/>
              </w:rPr>
            </w:pPr>
            <w:r>
              <w:rPr>
                <w:color w:val="231F20"/>
                <w:sz w:val="20"/>
              </w:rPr>
              <w:t>(2.8)</w:t>
            </w:r>
          </w:p>
        </w:tc>
      </w:tr>
      <w:tr>
        <w:trPr>
          <w:trHeight w:val="300" w:hRule="exact"/>
        </w:trPr>
        <w:tc>
          <w:tcPr>
            <w:tcW w:w="4200" w:type="dxa"/>
          </w:tcPr>
          <w:p>
            <w:pPr>
              <w:pStyle w:val="TableParagraph"/>
              <w:ind w:left="60"/>
              <w:rPr>
                <w:sz w:val="20"/>
              </w:rPr>
            </w:pPr>
            <w:r>
              <w:rPr>
                <w:color w:val="231F20"/>
                <w:sz w:val="20"/>
              </w:rPr>
              <w:t>Aircraft rentals</w:t>
            </w:r>
          </w:p>
        </w:tc>
        <w:tc>
          <w:tcPr>
            <w:tcW w:w="1080" w:type="dxa"/>
          </w:tcPr>
          <w:p>
            <w:pPr>
              <w:pStyle w:val="TableParagraph"/>
              <w:ind w:right="119"/>
              <w:jc w:val="right"/>
              <w:rPr>
                <w:sz w:val="20"/>
              </w:rPr>
            </w:pPr>
            <w:r>
              <w:rPr>
                <w:color w:val="231F20"/>
                <w:sz w:val="20"/>
              </w:rPr>
              <w:t>0.15</w:t>
            </w:r>
          </w:p>
        </w:tc>
        <w:tc>
          <w:tcPr>
            <w:tcW w:w="1280" w:type="dxa"/>
          </w:tcPr>
          <w:p>
            <w:pPr>
              <w:pStyle w:val="TableParagraph"/>
              <w:ind w:right="119"/>
              <w:jc w:val="right"/>
              <w:rPr>
                <w:sz w:val="20"/>
              </w:rPr>
            </w:pPr>
            <w:r>
              <w:rPr>
                <w:color w:val="231F20"/>
                <w:sz w:val="20"/>
              </w:rPr>
              <w:t>0.17</w:t>
            </w:r>
          </w:p>
        </w:tc>
        <w:tc>
          <w:tcPr>
            <w:tcW w:w="200" w:type="dxa"/>
          </w:tcPr>
          <w:p>
            <w:pPr/>
          </w:p>
        </w:tc>
        <w:tc>
          <w:tcPr>
            <w:tcW w:w="1080" w:type="dxa"/>
          </w:tcPr>
          <w:p>
            <w:pPr>
              <w:pStyle w:val="TableParagraph"/>
              <w:ind w:right="51"/>
              <w:jc w:val="right"/>
              <w:rPr>
                <w:sz w:val="20"/>
              </w:rPr>
            </w:pPr>
            <w:r>
              <w:rPr>
                <w:color w:val="231F20"/>
                <w:sz w:val="20"/>
              </w:rPr>
              <w:t>(0.02)</w:t>
            </w:r>
          </w:p>
        </w:tc>
        <w:tc>
          <w:tcPr>
            <w:tcW w:w="200" w:type="dxa"/>
          </w:tcPr>
          <w:p>
            <w:pPr/>
          </w:p>
        </w:tc>
        <w:tc>
          <w:tcPr>
            <w:tcW w:w="1080" w:type="dxa"/>
          </w:tcPr>
          <w:p>
            <w:pPr>
              <w:pStyle w:val="TableParagraph"/>
              <w:ind w:right="131"/>
              <w:jc w:val="right"/>
              <w:rPr>
                <w:sz w:val="20"/>
              </w:rPr>
            </w:pPr>
            <w:r>
              <w:rPr>
                <w:color w:val="231F20"/>
                <w:sz w:val="20"/>
              </w:rPr>
              <w:t>(11.8)</w:t>
            </w:r>
          </w:p>
        </w:tc>
      </w:tr>
      <w:tr>
        <w:trPr>
          <w:trHeight w:val="300" w:hRule="exact"/>
        </w:trPr>
        <w:tc>
          <w:tcPr>
            <w:tcW w:w="4200" w:type="dxa"/>
            <w:shd w:val="clear" w:color="auto" w:fill="D1D3D4"/>
          </w:tcPr>
          <w:p>
            <w:pPr>
              <w:pStyle w:val="TableParagraph"/>
              <w:ind w:left="60"/>
              <w:rPr>
                <w:sz w:val="20"/>
              </w:rPr>
            </w:pPr>
            <w:r>
              <w:rPr>
                <w:color w:val="231F20"/>
                <w:sz w:val="20"/>
              </w:rPr>
              <w:t>Landing fees and other rentals</w:t>
            </w:r>
          </w:p>
        </w:tc>
        <w:tc>
          <w:tcPr>
            <w:tcW w:w="1080" w:type="dxa"/>
            <w:shd w:val="clear" w:color="auto" w:fill="D1D3D4"/>
          </w:tcPr>
          <w:p>
            <w:pPr>
              <w:pStyle w:val="TableParagraph"/>
              <w:ind w:right="119"/>
              <w:jc w:val="right"/>
              <w:rPr>
                <w:sz w:val="20"/>
              </w:rPr>
            </w:pPr>
            <w:r>
              <w:rPr>
                <w:color w:val="231F20"/>
                <w:sz w:val="20"/>
              </w:rPr>
              <w:t>0.82</w:t>
            </w:r>
          </w:p>
        </w:tc>
        <w:tc>
          <w:tcPr>
            <w:tcW w:w="1280" w:type="dxa"/>
            <w:shd w:val="clear" w:color="auto" w:fill="D1D3D4"/>
          </w:tcPr>
          <w:p>
            <w:pPr>
              <w:pStyle w:val="TableParagraph"/>
              <w:ind w:right="119"/>
              <w:jc w:val="right"/>
              <w:rPr>
                <w:sz w:val="20"/>
              </w:rPr>
            </w:pPr>
            <w:r>
              <w:rPr>
                <w:color w:val="231F20"/>
                <w:sz w:val="20"/>
              </w:rPr>
              <w:t>0.83</w:t>
            </w:r>
          </w:p>
        </w:tc>
        <w:tc>
          <w:tcPr>
            <w:tcW w:w="200" w:type="dxa"/>
            <w:shd w:val="clear" w:color="auto" w:fill="D1D3D4"/>
          </w:tcPr>
          <w:p>
            <w:pPr/>
          </w:p>
        </w:tc>
        <w:tc>
          <w:tcPr>
            <w:tcW w:w="1080" w:type="dxa"/>
            <w:shd w:val="clear" w:color="auto" w:fill="D1D3D4"/>
          </w:tcPr>
          <w:p>
            <w:pPr>
              <w:pStyle w:val="TableParagraph"/>
              <w:ind w:right="51"/>
              <w:jc w:val="right"/>
              <w:rPr>
                <w:sz w:val="20"/>
              </w:rPr>
            </w:pPr>
            <w:r>
              <w:rPr>
                <w:color w:val="231F20"/>
                <w:sz w:val="20"/>
              </w:rPr>
              <w:t>(0.01)</w:t>
            </w:r>
          </w:p>
        </w:tc>
        <w:tc>
          <w:tcPr>
            <w:tcW w:w="200" w:type="dxa"/>
            <w:shd w:val="clear" w:color="auto" w:fill="D1D3D4"/>
          </w:tcPr>
          <w:p>
            <w:pPr/>
          </w:p>
        </w:tc>
        <w:tc>
          <w:tcPr>
            <w:tcW w:w="1080" w:type="dxa"/>
            <w:shd w:val="clear" w:color="auto" w:fill="D1D3D4"/>
          </w:tcPr>
          <w:p>
            <w:pPr>
              <w:pStyle w:val="TableParagraph"/>
              <w:ind w:right="131"/>
              <w:jc w:val="right"/>
              <w:rPr>
                <w:sz w:val="20"/>
              </w:rPr>
            </w:pPr>
            <w:r>
              <w:rPr>
                <w:color w:val="231F20"/>
                <w:sz w:val="20"/>
              </w:rPr>
              <w:t>(1.2)</w:t>
            </w:r>
          </w:p>
        </w:tc>
      </w:tr>
      <w:tr>
        <w:trPr>
          <w:trHeight w:val="300" w:hRule="exact"/>
        </w:trPr>
        <w:tc>
          <w:tcPr>
            <w:tcW w:w="4200" w:type="dxa"/>
          </w:tcPr>
          <w:p>
            <w:pPr>
              <w:pStyle w:val="TableParagraph"/>
              <w:ind w:left="60"/>
              <w:rPr>
                <w:sz w:val="20"/>
              </w:rPr>
            </w:pPr>
            <w:r>
              <w:rPr>
                <w:color w:val="231F20"/>
                <w:sz w:val="20"/>
              </w:rPr>
              <w:t>Depreciation and amortization</w:t>
            </w:r>
          </w:p>
        </w:tc>
        <w:tc>
          <w:tcPr>
            <w:tcW w:w="1080" w:type="dxa"/>
          </w:tcPr>
          <w:p>
            <w:pPr>
              <w:pStyle w:val="TableParagraph"/>
              <w:ind w:right="117"/>
              <w:jc w:val="right"/>
              <w:rPr>
                <w:sz w:val="20"/>
              </w:rPr>
            </w:pPr>
            <w:r>
              <w:rPr>
                <w:color w:val="231F20"/>
                <w:sz w:val="20"/>
              </w:rPr>
              <w:t>0.82</w:t>
            </w:r>
          </w:p>
        </w:tc>
        <w:tc>
          <w:tcPr>
            <w:tcW w:w="1280" w:type="dxa"/>
          </w:tcPr>
          <w:p>
            <w:pPr>
              <w:pStyle w:val="TableParagraph"/>
              <w:ind w:right="117"/>
              <w:jc w:val="right"/>
              <w:rPr>
                <w:sz w:val="20"/>
              </w:rPr>
            </w:pPr>
            <w:r>
              <w:rPr>
                <w:color w:val="231F20"/>
                <w:sz w:val="20"/>
              </w:rPr>
              <w:t>0.72</w:t>
            </w:r>
          </w:p>
        </w:tc>
        <w:tc>
          <w:tcPr>
            <w:tcW w:w="200" w:type="dxa"/>
          </w:tcPr>
          <w:p>
            <w:pPr/>
          </w:p>
        </w:tc>
        <w:tc>
          <w:tcPr>
            <w:tcW w:w="1080" w:type="dxa"/>
          </w:tcPr>
          <w:p>
            <w:pPr>
              <w:pStyle w:val="TableParagraph"/>
              <w:ind w:left="610"/>
              <w:rPr>
                <w:sz w:val="20"/>
              </w:rPr>
            </w:pPr>
            <w:r>
              <w:rPr>
                <w:color w:val="231F20"/>
                <w:sz w:val="20"/>
              </w:rPr>
              <w:t>0.10</w:t>
            </w:r>
          </w:p>
        </w:tc>
        <w:tc>
          <w:tcPr>
            <w:tcW w:w="200" w:type="dxa"/>
          </w:tcPr>
          <w:p>
            <w:pPr/>
          </w:p>
        </w:tc>
        <w:tc>
          <w:tcPr>
            <w:tcW w:w="1080" w:type="dxa"/>
          </w:tcPr>
          <w:p>
            <w:pPr>
              <w:pStyle w:val="TableParagraph"/>
              <w:ind w:left="530"/>
              <w:rPr>
                <w:sz w:val="20"/>
              </w:rPr>
            </w:pPr>
            <w:r>
              <w:rPr>
                <w:color w:val="231F20"/>
                <w:sz w:val="20"/>
              </w:rPr>
              <w:t>13.9</w:t>
            </w:r>
          </w:p>
        </w:tc>
      </w:tr>
      <w:tr>
        <w:trPr>
          <w:trHeight w:val="300" w:hRule="exact"/>
        </w:trPr>
        <w:tc>
          <w:tcPr>
            <w:tcW w:w="4200" w:type="dxa"/>
            <w:shd w:val="clear" w:color="auto" w:fill="D1D3D4"/>
          </w:tcPr>
          <w:p>
            <w:pPr>
              <w:pStyle w:val="TableParagraph"/>
              <w:ind w:left="60"/>
              <w:rPr>
                <w:sz w:val="20"/>
              </w:rPr>
            </w:pPr>
            <w:r>
              <w:rPr>
                <w:color w:val="231F20"/>
                <w:sz w:val="20"/>
              </w:rPr>
              <w:t>Acquisition and integration</w:t>
            </w:r>
          </w:p>
        </w:tc>
        <w:tc>
          <w:tcPr>
            <w:tcW w:w="1080" w:type="dxa"/>
            <w:shd w:val="clear" w:color="auto" w:fill="D1D3D4"/>
          </w:tcPr>
          <w:p>
            <w:pPr>
              <w:pStyle w:val="TableParagraph"/>
              <w:ind w:right="117"/>
              <w:jc w:val="right"/>
              <w:rPr>
                <w:sz w:val="20"/>
              </w:rPr>
            </w:pPr>
            <w:r>
              <w:rPr>
                <w:color w:val="231F20"/>
                <w:sz w:val="20"/>
              </w:rPr>
              <w:t>—</w:t>
            </w:r>
          </w:p>
        </w:tc>
        <w:tc>
          <w:tcPr>
            <w:tcW w:w="1280" w:type="dxa"/>
            <w:shd w:val="clear" w:color="auto" w:fill="D1D3D4"/>
          </w:tcPr>
          <w:p>
            <w:pPr>
              <w:pStyle w:val="TableParagraph"/>
              <w:ind w:right="117"/>
              <w:jc w:val="right"/>
              <w:rPr>
                <w:sz w:val="20"/>
              </w:rPr>
            </w:pPr>
            <w:r>
              <w:rPr>
                <w:color w:val="231F20"/>
                <w:sz w:val="20"/>
              </w:rPr>
              <w:t>0.03</w:t>
            </w:r>
          </w:p>
        </w:tc>
        <w:tc>
          <w:tcPr>
            <w:tcW w:w="200" w:type="dxa"/>
            <w:shd w:val="clear" w:color="auto" w:fill="D1D3D4"/>
          </w:tcPr>
          <w:p>
            <w:pPr/>
          </w:p>
        </w:tc>
        <w:tc>
          <w:tcPr>
            <w:tcW w:w="1080" w:type="dxa"/>
            <w:shd w:val="clear" w:color="auto" w:fill="D1D3D4"/>
          </w:tcPr>
          <w:p>
            <w:pPr>
              <w:pStyle w:val="TableParagraph"/>
              <w:ind w:right="51"/>
              <w:jc w:val="right"/>
              <w:rPr>
                <w:sz w:val="20"/>
              </w:rPr>
            </w:pPr>
            <w:r>
              <w:rPr>
                <w:color w:val="231F20"/>
                <w:sz w:val="20"/>
              </w:rPr>
              <w:t>(0.03)</w:t>
            </w:r>
          </w:p>
        </w:tc>
        <w:tc>
          <w:tcPr>
            <w:tcW w:w="200" w:type="dxa"/>
            <w:shd w:val="clear" w:color="auto" w:fill="D1D3D4"/>
          </w:tcPr>
          <w:p>
            <w:pPr/>
          </w:p>
        </w:tc>
        <w:tc>
          <w:tcPr>
            <w:tcW w:w="1080" w:type="dxa"/>
            <w:shd w:val="clear" w:color="auto" w:fill="D1D3D4"/>
          </w:tcPr>
          <w:p>
            <w:pPr>
              <w:pStyle w:val="TableParagraph"/>
              <w:ind w:left="524"/>
              <w:rPr>
                <w:sz w:val="20"/>
              </w:rPr>
            </w:pPr>
            <w:r>
              <w:rPr>
                <w:color w:val="231F20"/>
                <w:sz w:val="20"/>
              </w:rPr>
              <w:t>n.m.</w:t>
            </w:r>
          </w:p>
        </w:tc>
      </w:tr>
      <w:tr>
        <w:trPr>
          <w:trHeight w:val="315" w:hRule="exact"/>
        </w:trPr>
        <w:tc>
          <w:tcPr>
            <w:tcW w:w="4200" w:type="dxa"/>
          </w:tcPr>
          <w:p>
            <w:pPr>
              <w:pStyle w:val="TableParagraph"/>
              <w:ind w:left="60"/>
              <w:rPr>
                <w:sz w:val="20"/>
              </w:rPr>
            </w:pPr>
            <w:r>
              <w:rPr>
                <w:color w:val="231F20"/>
                <w:sz w:val="20"/>
              </w:rPr>
              <w:t>Other operating expenses</w:t>
            </w:r>
          </w:p>
        </w:tc>
        <w:tc>
          <w:tcPr>
            <w:tcW w:w="1080" w:type="dxa"/>
            <w:tcBorders>
              <w:bottom w:val="single" w:sz="4" w:space="0" w:color="231F20"/>
            </w:tcBorders>
          </w:tcPr>
          <w:p>
            <w:pPr>
              <w:pStyle w:val="TableParagraph"/>
              <w:ind w:right="117"/>
              <w:jc w:val="right"/>
              <w:rPr>
                <w:sz w:val="20"/>
              </w:rPr>
            </w:pPr>
            <w:r>
              <w:rPr>
                <w:color w:val="231F20"/>
                <w:sz w:val="20"/>
              </w:rPr>
              <w:t>1.70</w:t>
            </w:r>
          </w:p>
        </w:tc>
        <w:tc>
          <w:tcPr>
            <w:tcW w:w="1280" w:type="dxa"/>
            <w:tcBorders>
              <w:bottom w:val="single" w:sz="4" w:space="0" w:color="231F20"/>
            </w:tcBorders>
          </w:tcPr>
          <w:p>
            <w:pPr>
              <w:pStyle w:val="TableParagraph"/>
              <w:ind w:right="117"/>
              <w:jc w:val="right"/>
              <w:rPr>
                <w:sz w:val="20"/>
              </w:rPr>
            </w:pPr>
            <w:r>
              <w:rPr>
                <w:color w:val="231F20"/>
                <w:sz w:val="20"/>
              </w:rPr>
              <w:t>1.59</w:t>
            </w:r>
          </w:p>
        </w:tc>
        <w:tc>
          <w:tcPr>
            <w:tcW w:w="200" w:type="dxa"/>
          </w:tcPr>
          <w:p>
            <w:pPr/>
          </w:p>
        </w:tc>
        <w:tc>
          <w:tcPr>
            <w:tcW w:w="1080" w:type="dxa"/>
            <w:tcBorders>
              <w:bottom w:val="single" w:sz="4" w:space="0" w:color="231F20"/>
            </w:tcBorders>
          </w:tcPr>
          <w:p>
            <w:pPr>
              <w:pStyle w:val="TableParagraph"/>
              <w:ind w:left="610"/>
              <w:rPr>
                <w:sz w:val="20"/>
              </w:rPr>
            </w:pPr>
            <w:r>
              <w:rPr>
                <w:color w:val="231F20"/>
                <w:sz w:val="20"/>
              </w:rPr>
              <w:t>0.11</w:t>
            </w:r>
          </w:p>
        </w:tc>
        <w:tc>
          <w:tcPr>
            <w:tcW w:w="200" w:type="dxa"/>
          </w:tcPr>
          <w:p>
            <w:pPr/>
          </w:p>
        </w:tc>
        <w:tc>
          <w:tcPr>
            <w:tcW w:w="1080" w:type="dxa"/>
            <w:tcBorders>
              <w:bottom w:val="single" w:sz="4" w:space="0" w:color="231F20"/>
            </w:tcBorders>
          </w:tcPr>
          <w:p>
            <w:pPr>
              <w:pStyle w:val="TableParagraph"/>
              <w:ind w:left="630"/>
              <w:rPr>
                <w:sz w:val="20"/>
              </w:rPr>
            </w:pPr>
            <w:r>
              <w:rPr>
                <w:color w:val="231F20"/>
                <w:sz w:val="20"/>
              </w:rPr>
              <w:t>6.9</w:t>
            </w:r>
          </w:p>
        </w:tc>
      </w:tr>
      <w:tr>
        <w:trPr>
          <w:trHeight w:val="360" w:hRule="exact"/>
        </w:trPr>
        <w:tc>
          <w:tcPr>
            <w:tcW w:w="4200" w:type="dxa"/>
            <w:shd w:val="clear" w:color="auto" w:fill="D1D3D4"/>
          </w:tcPr>
          <w:p>
            <w:pPr>
              <w:pStyle w:val="TableParagraph"/>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ind w:right="19"/>
              <w:jc w:val="right"/>
              <w:rPr>
                <w:sz w:val="20"/>
              </w:rPr>
            </w:pPr>
            <w:r>
              <w:rPr>
                <w:color w:val="231F20"/>
                <w:sz w:val="20"/>
              </w:rPr>
              <w:t>11.22¢</w:t>
            </w:r>
          </w:p>
        </w:tc>
        <w:tc>
          <w:tcPr>
            <w:tcW w:w="1280" w:type="dxa"/>
            <w:tcBorders>
              <w:top w:val="single" w:sz="4" w:space="0" w:color="231F20"/>
              <w:bottom w:val="single" w:sz="4" w:space="0" w:color="231F20"/>
            </w:tcBorders>
            <w:shd w:val="clear" w:color="auto" w:fill="D1D3D4"/>
          </w:tcPr>
          <w:p>
            <w:pPr>
              <w:pStyle w:val="TableParagraph"/>
              <w:ind w:right="19"/>
              <w:jc w:val="right"/>
              <w:rPr>
                <w:sz w:val="20"/>
              </w:rPr>
            </w:pPr>
            <w:r>
              <w:rPr>
                <w:color w:val="231F20"/>
                <w:sz w:val="20"/>
              </w:rPr>
              <w:t>11.18¢</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ind w:right="19"/>
              <w:jc w:val="right"/>
              <w:rPr>
                <w:sz w:val="20"/>
              </w:rPr>
            </w:pPr>
            <w:r>
              <w:rPr>
                <w:color w:val="231F20"/>
                <w:sz w:val="20"/>
              </w:rPr>
              <w:t>0.04¢</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48"/>
              <w:ind w:right="31"/>
              <w:jc w:val="right"/>
              <w:rPr>
                <w:sz w:val="20"/>
              </w:rPr>
            </w:pPr>
            <w:r>
              <w:rPr>
                <w:color w:val="231F20"/>
                <w:sz w:val="20"/>
              </w:rPr>
              <w:t>0.4%</w:t>
            </w:r>
          </w:p>
        </w:tc>
      </w:tr>
    </w:tbl>
    <w:p>
      <w:pPr>
        <w:pStyle w:val="BodyText"/>
        <w:spacing w:before="1"/>
        <w:rPr>
          <w:sz w:val="24"/>
        </w:rPr>
      </w:pPr>
    </w:p>
    <w:p>
      <w:pPr>
        <w:pStyle w:val="BodyText"/>
        <w:spacing w:line="247" w:lineRule="auto"/>
        <w:ind w:left="100" w:right="117"/>
        <w:jc w:val="both"/>
      </w:pPr>
      <w:r>
        <w:rPr/>
        <w:pict>
          <v:line style="position:absolute;mso-position-horizontal-relative:page;mso-position-vertical-relative:paragraph;z-index:-377296" from="279pt,-16.380472pt" to="333pt,-16.380472pt" stroked="true" strokeweight=".5pt" strokecolor="#231f20">
            <v:stroke dashstyle="solid"/>
            <w10:wrap type="none"/>
          </v:line>
        </w:pict>
      </w:r>
      <w:r>
        <w:rPr/>
        <w:pict>
          <v:line style="position:absolute;mso-position-horizontal-relative:page;mso-position-vertical-relative:paragraph;z-index:-377272" from="343pt,-16.380472pt" to="397pt,-16.380472pt" stroked="true" strokeweight=".5pt" strokecolor="#231f20">
            <v:stroke dashstyle="solid"/>
            <w10:wrap type="none"/>
          </v:line>
        </w:pict>
      </w:r>
      <w:r>
        <w:rPr/>
        <w:pict>
          <v:line style="position:absolute;mso-position-horizontal-relative:page;mso-position-vertical-relative:paragraph;z-index:-377248" from="407pt,-16.380472pt" to="461pt,-16.380472pt" stroked="true" strokeweight=".5pt" strokecolor="#231f20">
            <v:stroke dashstyle="solid"/>
            <w10:wrap type="none"/>
          </v:line>
        </w:pict>
      </w:r>
      <w:r>
        <w:rPr>
          <w:color w:val="231F20"/>
        </w:rPr>
        <w:t>Operating expenses per ASM for 2016 increased by 0.4 percent, compared with 2015, primarily due to the accelerated depreciation expense associated with the planned early retirement of the Classic fleet, higher contract programming and consulting expenses associated with large technology projects, and higher wage rates due to new labor agreements. These increases were partially offset by lower jet   fuel</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prices and lower profitsharing expense. See Note 1 to the Consolidated Financial Statements for further information on the early retirement of the Classic fleet. Operating expenses per ASM for 2016, excluding  Fuel  and  oil  expense  and  special  items  (a  non-GAAP  financial  measure),      increased</w:t>
      </w:r>
    </w:p>
    <w:p>
      <w:pPr>
        <w:pStyle w:val="BodyText"/>
        <w:spacing w:line="247" w:lineRule="auto"/>
        <w:ind w:left="120" w:right="117"/>
        <w:jc w:val="both"/>
      </w:pPr>
      <w:r>
        <w:rPr>
          <w:color w:val="231F20"/>
        </w:rPr>
        <w:t>1.6 percent year-over-year. See Note Regarding Use of Non-GAAP Financial Measures and the Reconciliation of Reported Amounts to Non-GAAP Financial Measures for additional detail regarding non-GAAP financial measures. Based on current trends and excluding Fuel and oil expense, special items, and profitsharing expense, the Company expects its first quarter 2017 unit costs to increase in  the six to seven percent range, compared with first quarter 2016, largely due to amended union contracts. The year-over-year projections do not reflect the potential impact of Fuel and oil expense, profitsharing expense, and special items in both years because the Company cannot reliably predict or estimate those items or expenses or their impact to its financial statements in future periods, especially considering the significant volatility of the Fuel and oil expense line item. Accordingly, the Company believes a reconciliation of non–GAAP financial measures to the equivalent GAAP financial measures for projected results is not meaningful or available without unreasonable effort. The Company currently expects to record a charge during 2017 associated with the grounding of its remaining Classic fleet. See Note 1 to the Consolidated Financial Statements for further information. This charge primarily relates to future contractual payments due to lessors for leased Classic aircraft with lease terms extending beyond third quarter 2017. The Company continues to negotiate with these lessors in order to attempt to terminate certain leases early  and  potentially  buy-out  the  remainder  of  the  lease. Therefore, the Company cannot yet accurately predict the amounts and/or timing of such charges during the first three quarters of</w:t>
      </w:r>
      <w:r>
        <w:rPr>
          <w:color w:val="231F20"/>
          <w:spacing w:val="-3"/>
        </w:rPr>
        <w:t> </w:t>
      </w:r>
      <w:r>
        <w:rPr>
          <w:color w:val="231F20"/>
        </w:rPr>
        <w:t>2017.</w:t>
      </w:r>
    </w:p>
    <w:p>
      <w:pPr>
        <w:pStyle w:val="BodyText"/>
        <w:spacing w:before="10"/>
        <w:rPr>
          <w:sz w:val="20"/>
        </w:rPr>
      </w:pPr>
    </w:p>
    <w:p>
      <w:pPr>
        <w:pStyle w:val="BodyText"/>
        <w:spacing w:line="247" w:lineRule="auto"/>
        <w:ind w:left="120" w:right="117"/>
        <w:jc w:val="both"/>
      </w:pPr>
      <w:r>
        <w:rPr>
          <w:color w:val="231F20"/>
        </w:rPr>
        <w:t>Salaries, wages, and benefits expense for 2016 increased $415 million, or 6.5 percent, compared with 2015. Salaries, wages, and benefits expense per ASM for 2016 increased 0.7 percent, compared with 2015. On both a dollar and per ASM basis, the increase was primarily due to wage rate increases as a result of agreements reached with multiple workgroups, increased training, additional headcount, and contractual increases. Based on current cost trends and anticipated capacity, the Company expects first quarter  2017  Salaries,  wages,  and  benefits  expense  per  ASM,  excluding  profitsharing  expense,  to increase, compared with first quarter 2016. The year-over-year projection does not reflect the potential impact of profitsharing expense in both years because the Company cannot reliably predict or estimate that expense or its impact to the Company’s financial statements in future periods. Accordingly, the Company believes a reconciliation of non-GAAP financial measures to the equivalent GAAP financial measures for projected results is not meaningful or available without unreasonable effort.</w:t>
      </w:r>
    </w:p>
    <w:p>
      <w:pPr>
        <w:pStyle w:val="BodyText"/>
        <w:spacing w:before="9"/>
        <w:rPr>
          <w:sz w:val="20"/>
        </w:rPr>
      </w:pPr>
    </w:p>
    <w:p>
      <w:pPr>
        <w:pStyle w:val="BodyText"/>
        <w:spacing w:line="247" w:lineRule="auto"/>
        <w:ind w:left="120" w:right="118"/>
        <w:jc w:val="both"/>
      </w:pPr>
      <w:r>
        <w:rPr>
          <w:color w:val="231F20"/>
        </w:rPr>
        <w:t>During 2016, the Company conducted negotiations with various unionized Employee groups. See the above discussion in Company Overview for agreements reached during the year. The following table sets forth the Company’s unionized Employee groups that are currently in negotiations on collective- bargaining agreements:</w:t>
      </w:r>
    </w:p>
    <w:p>
      <w:pPr>
        <w:pStyle w:val="BodyText"/>
        <w:spacing w:before="1"/>
        <w:rPr>
          <w:sz w:val="16"/>
        </w:rPr>
      </w:pPr>
    </w:p>
    <w:tbl>
      <w:tblPr>
        <w:tblW w:w="0" w:type="auto"/>
        <w:jc w:val="left"/>
        <w:tblInd w:w="12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849"/>
        <w:gridCol w:w="1374"/>
        <w:gridCol w:w="2849"/>
        <w:gridCol w:w="2028"/>
      </w:tblGrid>
      <w:tr>
        <w:trPr>
          <w:trHeight w:val="640" w:hRule="exact"/>
        </w:trPr>
        <w:tc>
          <w:tcPr>
            <w:tcW w:w="2849" w:type="dxa"/>
          </w:tcPr>
          <w:p>
            <w:pPr>
              <w:pStyle w:val="TableParagraph"/>
              <w:spacing w:before="0"/>
              <w:rPr>
                <w:sz w:val="22"/>
              </w:rPr>
            </w:pPr>
          </w:p>
          <w:p>
            <w:pPr>
              <w:pStyle w:val="TableParagraph"/>
              <w:spacing w:before="140"/>
              <w:ind w:left="40"/>
              <w:rPr>
                <w:b/>
                <w:sz w:val="20"/>
              </w:rPr>
            </w:pPr>
            <w:r>
              <w:rPr>
                <w:b/>
                <w:color w:val="231F20"/>
                <w:sz w:val="20"/>
              </w:rPr>
              <w:t>Employee Group</w:t>
            </w:r>
          </w:p>
        </w:tc>
        <w:tc>
          <w:tcPr>
            <w:tcW w:w="1374" w:type="dxa"/>
          </w:tcPr>
          <w:p>
            <w:pPr>
              <w:pStyle w:val="TableParagraph"/>
              <w:spacing w:line="200" w:lineRule="exact" w:before="20"/>
              <w:ind w:left="180" w:right="20"/>
              <w:rPr>
                <w:b/>
                <w:sz w:val="20"/>
              </w:rPr>
            </w:pPr>
            <w:r>
              <w:rPr>
                <w:b/>
                <w:color w:val="231F20"/>
                <w:sz w:val="20"/>
              </w:rPr>
              <w:t>Approximate Number of Employees</w:t>
            </w:r>
          </w:p>
        </w:tc>
        <w:tc>
          <w:tcPr>
            <w:tcW w:w="2849" w:type="dxa"/>
          </w:tcPr>
          <w:p>
            <w:pPr>
              <w:pStyle w:val="TableParagraph"/>
              <w:spacing w:before="0"/>
              <w:rPr>
                <w:sz w:val="22"/>
              </w:rPr>
            </w:pPr>
          </w:p>
          <w:p>
            <w:pPr>
              <w:pStyle w:val="TableParagraph"/>
              <w:spacing w:before="140"/>
              <w:ind w:left="120"/>
              <w:rPr>
                <w:b/>
                <w:sz w:val="20"/>
              </w:rPr>
            </w:pPr>
            <w:r>
              <w:rPr>
                <w:b/>
                <w:color w:val="231F20"/>
                <w:sz w:val="20"/>
              </w:rPr>
              <w:t>Representatives</w:t>
            </w:r>
          </w:p>
        </w:tc>
        <w:tc>
          <w:tcPr>
            <w:tcW w:w="2028" w:type="dxa"/>
          </w:tcPr>
          <w:p>
            <w:pPr>
              <w:pStyle w:val="TableParagraph"/>
              <w:spacing w:before="0"/>
              <w:rPr>
                <w:sz w:val="22"/>
              </w:rPr>
            </w:pPr>
          </w:p>
          <w:p>
            <w:pPr>
              <w:pStyle w:val="TableParagraph"/>
              <w:spacing w:before="140"/>
              <w:ind w:left="200"/>
              <w:rPr>
                <w:b/>
                <w:sz w:val="20"/>
              </w:rPr>
            </w:pPr>
            <w:r>
              <w:rPr>
                <w:b/>
                <w:color w:val="231F20"/>
                <w:sz w:val="20"/>
              </w:rPr>
              <w:t>Amendable Date</w:t>
            </w:r>
          </w:p>
        </w:tc>
      </w:tr>
      <w:tr>
        <w:trPr>
          <w:trHeight w:val="460" w:hRule="exact"/>
        </w:trPr>
        <w:tc>
          <w:tcPr>
            <w:tcW w:w="2849" w:type="dxa"/>
            <w:shd w:val="clear" w:color="auto" w:fill="D1D3D4"/>
          </w:tcPr>
          <w:p>
            <w:pPr>
              <w:pStyle w:val="TableParagraph"/>
              <w:spacing w:line="200" w:lineRule="exact" w:before="40"/>
              <w:ind w:left="40" w:right="319"/>
              <w:rPr>
                <w:sz w:val="18"/>
              </w:rPr>
            </w:pPr>
            <w:r>
              <w:rPr>
                <w:color w:val="231F20"/>
                <w:sz w:val="18"/>
              </w:rPr>
              <w:t>Southwest Material Specialists (formerly known as Stock Clerks)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300</w:t>
            </w:r>
          </w:p>
        </w:tc>
        <w:tc>
          <w:tcPr>
            <w:tcW w:w="2849" w:type="dxa"/>
            <w:shd w:val="clear" w:color="auto" w:fill="D1D3D4"/>
          </w:tcPr>
          <w:p>
            <w:pPr>
              <w:pStyle w:val="TableParagraph"/>
              <w:spacing w:line="200" w:lineRule="exact" w:before="40"/>
              <w:ind w:left="120" w:right="384"/>
              <w:rPr>
                <w:sz w:val="18"/>
              </w:rPr>
            </w:pPr>
            <w:r>
              <w:rPr>
                <w:color w:val="231F20"/>
                <w:sz w:val="18"/>
              </w:rPr>
              <w:t>International Brotherhood of Teamsters, Local 19 (“IBT 19”)</w:t>
            </w:r>
          </w:p>
        </w:tc>
        <w:tc>
          <w:tcPr>
            <w:tcW w:w="2028" w:type="dxa"/>
            <w:shd w:val="clear" w:color="auto" w:fill="D1D3D4"/>
          </w:tcPr>
          <w:p>
            <w:pPr>
              <w:pStyle w:val="TableParagraph"/>
              <w:spacing w:before="1"/>
              <w:rPr>
                <w:sz w:val="20"/>
              </w:rPr>
            </w:pPr>
          </w:p>
          <w:p>
            <w:pPr>
              <w:pStyle w:val="TableParagraph"/>
              <w:spacing w:before="1"/>
              <w:ind w:left="200"/>
              <w:rPr>
                <w:sz w:val="18"/>
              </w:rPr>
            </w:pPr>
            <w:r>
              <w:rPr>
                <w:color w:val="231F20"/>
                <w:sz w:val="18"/>
              </w:rPr>
              <w:t>August 2013</w:t>
            </w:r>
          </w:p>
        </w:tc>
      </w:tr>
      <w:tr>
        <w:trPr>
          <w:trHeight w:val="460" w:hRule="exact"/>
        </w:trPr>
        <w:tc>
          <w:tcPr>
            <w:tcW w:w="2849" w:type="dxa"/>
          </w:tcPr>
          <w:p>
            <w:pPr>
              <w:pStyle w:val="TableParagraph"/>
              <w:spacing w:before="1"/>
              <w:rPr>
                <w:sz w:val="20"/>
              </w:rPr>
            </w:pPr>
          </w:p>
          <w:p>
            <w:pPr>
              <w:pStyle w:val="TableParagraph"/>
              <w:spacing w:before="1"/>
              <w:ind w:left="40"/>
              <w:rPr>
                <w:sz w:val="18"/>
              </w:rPr>
            </w:pPr>
            <w:r>
              <w:rPr>
                <w:color w:val="231F20"/>
                <w:sz w:val="18"/>
              </w:rPr>
              <w:t>Southwest Mechanics</w:t>
            </w:r>
          </w:p>
        </w:tc>
        <w:tc>
          <w:tcPr>
            <w:tcW w:w="1374" w:type="dxa"/>
          </w:tcPr>
          <w:p>
            <w:pPr>
              <w:pStyle w:val="TableParagraph"/>
              <w:spacing w:before="1"/>
              <w:rPr>
                <w:sz w:val="20"/>
              </w:rPr>
            </w:pPr>
          </w:p>
          <w:p>
            <w:pPr>
              <w:pStyle w:val="TableParagraph"/>
              <w:spacing w:before="1"/>
              <w:ind w:left="179"/>
              <w:rPr>
                <w:sz w:val="18"/>
              </w:rPr>
            </w:pPr>
            <w:r>
              <w:rPr>
                <w:color w:val="231F20"/>
                <w:sz w:val="18"/>
              </w:rPr>
              <w:t>2,400</w:t>
            </w:r>
          </w:p>
        </w:tc>
        <w:tc>
          <w:tcPr>
            <w:tcW w:w="2849" w:type="dxa"/>
          </w:tcPr>
          <w:p>
            <w:pPr>
              <w:pStyle w:val="TableParagraph"/>
              <w:spacing w:line="200" w:lineRule="exact" w:before="40"/>
              <w:ind w:left="120" w:right="600"/>
              <w:rPr>
                <w:sz w:val="18"/>
              </w:rPr>
            </w:pPr>
            <w:r>
              <w:rPr>
                <w:color w:val="231F20"/>
                <w:sz w:val="18"/>
              </w:rPr>
              <w:t>Aircraft Mechanics Fraternal Association (“AMFA”)</w:t>
            </w:r>
          </w:p>
        </w:tc>
        <w:tc>
          <w:tcPr>
            <w:tcW w:w="2028" w:type="dxa"/>
          </w:tcPr>
          <w:p>
            <w:pPr>
              <w:pStyle w:val="TableParagraph"/>
              <w:spacing w:before="1"/>
              <w:rPr>
                <w:sz w:val="20"/>
              </w:rPr>
            </w:pPr>
          </w:p>
          <w:p>
            <w:pPr>
              <w:pStyle w:val="TableParagraph"/>
              <w:spacing w:before="1"/>
              <w:ind w:left="200"/>
              <w:rPr>
                <w:sz w:val="18"/>
              </w:rPr>
            </w:pPr>
            <w:r>
              <w:rPr>
                <w:color w:val="231F20"/>
                <w:sz w:val="18"/>
              </w:rPr>
              <w:t>August 2012</w:t>
            </w:r>
          </w:p>
        </w:tc>
      </w:tr>
      <w:tr>
        <w:trPr>
          <w:trHeight w:val="460" w:hRule="exact"/>
        </w:trPr>
        <w:tc>
          <w:tcPr>
            <w:tcW w:w="2849" w:type="dxa"/>
            <w:shd w:val="clear" w:color="auto" w:fill="D1D3D4"/>
          </w:tcPr>
          <w:p>
            <w:pPr>
              <w:pStyle w:val="TableParagraph"/>
              <w:spacing w:line="200" w:lineRule="exact" w:before="40"/>
              <w:ind w:left="40" w:right="339"/>
              <w:rPr>
                <w:sz w:val="18"/>
              </w:rPr>
            </w:pPr>
            <w:r>
              <w:rPr>
                <w:color w:val="231F20"/>
                <w:sz w:val="18"/>
              </w:rPr>
              <w:t>Southwest Facilities Maintenance Technicians</w:t>
            </w:r>
          </w:p>
        </w:tc>
        <w:tc>
          <w:tcPr>
            <w:tcW w:w="1374" w:type="dxa"/>
            <w:shd w:val="clear" w:color="auto" w:fill="D1D3D4"/>
          </w:tcPr>
          <w:p>
            <w:pPr>
              <w:pStyle w:val="TableParagraph"/>
              <w:spacing w:before="1"/>
              <w:rPr>
                <w:sz w:val="20"/>
              </w:rPr>
            </w:pPr>
          </w:p>
          <w:p>
            <w:pPr>
              <w:pStyle w:val="TableParagraph"/>
              <w:spacing w:before="1"/>
              <w:ind w:left="179"/>
              <w:rPr>
                <w:sz w:val="18"/>
              </w:rPr>
            </w:pPr>
            <w:r>
              <w:rPr>
                <w:color w:val="231F20"/>
                <w:sz w:val="18"/>
              </w:rPr>
              <w:t>40</w:t>
            </w:r>
          </w:p>
        </w:tc>
        <w:tc>
          <w:tcPr>
            <w:tcW w:w="2849" w:type="dxa"/>
            <w:shd w:val="clear" w:color="auto" w:fill="D1D3D4"/>
          </w:tcPr>
          <w:p>
            <w:pPr>
              <w:pStyle w:val="TableParagraph"/>
              <w:spacing w:before="1"/>
              <w:rPr>
                <w:sz w:val="20"/>
              </w:rPr>
            </w:pPr>
          </w:p>
          <w:p>
            <w:pPr>
              <w:pStyle w:val="TableParagraph"/>
              <w:spacing w:before="1"/>
              <w:ind w:left="119"/>
              <w:rPr>
                <w:sz w:val="18"/>
              </w:rPr>
            </w:pPr>
            <w:r>
              <w:rPr>
                <w:color w:val="231F20"/>
                <w:sz w:val="18"/>
              </w:rPr>
              <w:t>AMFA</w:t>
            </w:r>
          </w:p>
        </w:tc>
        <w:tc>
          <w:tcPr>
            <w:tcW w:w="2028" w:type="dxa"/>
            <w:shd w:val="clear" w:color="auto" w:fill="D1D3D4"/>
          </w:tcPr>
          <w:p>
            <w:pPr>
              <w:pStyle w:val="TableParagraph"/>
              <w:spacing w:before="1"/>
              <w:rPr>
                <w:sz w:val="20"/>
              </w:rPr>
            </w:pPr>
          </w:p>
          <w:p>
            <w:pPr>
              <w:pStyle w:val="TableParagraph"/>
              <w:spacing w:before="1"/>
              <w:ind w:left="199"/>
              <w:rPr>
                <w:sz w:val="18"/>
              </w:rPr>
            </w:pPr>
            <w:r>
              <w:rPr>
                <w:color w:val="231F20"/>
                <w:sz w:val="18"/>
              </w:rPr>
              <w:t>N/A</w:t>
            </w:r>
          </w:p>
        </w:tc>
      </w:tr>
    </w:tbl>
    <w:p>
      <w:pPr>
        <w:spacing w:after="0"/>
        <w:rPr>
          <w:sz w:val="18"/>
        </w:rPr>
        <w:sectPr>
          <w:pgSz w:w="11880" w:h="15480"/>
          <w:pgMar w:header="0" w:footer="1240" w:top="1240" w:bottom="1420" w:left="1260" w:right="1260"/>
        </w:sectPr>
      </w:pPr>
    </w:p>
    <w:p>
      <w:pPr>
        <w:pStyle w:val="BodyText"/>
        <w:spacing w:line="247" w:lineRule="auto" w:before="74"/>
        <w:ind w:left="120" w:right="117"/>
        <w:jc w:val="both"/>
      </w:pPr>
      <w:r>
        <w:rPr>
          <w:color w:val="231F20"/>
        </w:rPr>
        <w:t>Fuel and oil expense for 2016 increased by $31 million, or 0.9 percent, compared with 2015. On a per ASM basis, Fuel and oil expense for 2016 decreased 4.7 percent, compared with 2015, as the dollar increases were more than offset by the 5.7 percent increase in capacity. On a dollar basis, the increase was attributable to the $566 million increase in net losses resulting from the Company’s fuel hedging program.  Excluding  the  impact  of  hedging,  Fuel  and  oil  expense  would  have  decreased  by</w:t>
      </w:r>
    </w:p>
    <w:p>
      <w:pPr>
        <w:pStyle w:val="BodyText"/>
        <w:spacing w:line="247" w:lineRule="auto"/>
        <w:ind w:left="120" w:right="117"/>
        <w:jc w:val="both"/>
      </w:pPr>
      <w:r>
        <w:rPr>
          <w:color w:val="231F20"/>
        </w:rPr>
        <w:t>$535 million, or 15.9 percent, compared with 2015, due to lower market jet fuel prices. See Note Regarding Use of Non-GAAP Financial Measures and the Reconciliation of Reported Amounts to Non-GAAP Financial Measures for additional detail regarding non-GAAP financial measures. The Company’s average economic jet fuel price per gallon decreased 7.2 percent year-over-year, from</w:t>
      </w:r>
    </w:p>
    <w:p>
      <w:pPr>
        <w:pStyle w:val="BodyText"/>
        <w:spacing w:line="247" w:lineRule="auto"/>
        <w:ind w:left="120" w:right="118"/>
        <w:jc w:val="both"/>
      </w:pPr>
      <w:r>
        <w:rPr>
          <w:color w:val="231F20"/>
        </w:rPr>
        <w:t>$2.07 for 2015 to $1.92 for 2016. Fuel gallons consumed increased 5.0 percent, compared with 2015, while year-over-year capacity increased 5.7 percent. As a result of the Company’s fuel hedging program, the Company recognized net losses totaling $820 million in Fuel and oil expense for 2016, compared with net losses totaling $254 million for 2015. These totals include cash settlements realized from the settlement of fuel derivative contracts associated with the Company’s “economic” fuel hedge totaling $1.0 billion paid to counterparties for 2016, compared with $577 million paid to counterparties for 2015. Additionally, these totals exclude gains and/or losses recognized from hedge ineffectiveness and from derivatives that did not qualify for hedge accounting. Those items are recorded as a component of Other (gains) losses, net. See Note 10 to the Consolidated Financial Statements.</w:t>
      </w:r>
    </w:p>
    <w:p>
      <w:pPr>
        <w:pStyle w:val="BodyText"/>
        <w:spacing w:before="9"/>
        <w:rPr>
          <w:sz w:val="20"/>
        </w:rPr>
      </w:pPr>
    </w:p>
    <w:p>
      <w:pPr>
        <w:pStyle w:val="BodyText"/>
        <w:spacing w:line="247" w:lineRule="auto"/>
        <w:ind w:left="120" w:right="118"/>
        <w:jc w:val="both"/>
      </w:pPr>
      <w:r>
        <w:rPr>
          <w:color w:val="231F20"/>
        </w:rPr>
        <w:t>As of January 20, 2017, on an economic basis, the Company had derivative contracts in place related   to expected future fuel consumption as</w:t>
      </w:r>
      <w:r>
        <w:rPr>
          <w:color w:val="231F20"/>
          <w:spacing w:val="-2"/>
        </w:rPr>
        <w:t> </w:t>
      </w:r>
      <w:r>
        <w:rPr>
          <w:color w:val="231F20"/>
        </w:rPr>
        <w:t>follows:</w:t>
      </w:r>
    </w:p>
    <w:p>
      <w:pPr>
        <w:spacing w:before="198"/>
        <w:ind w:left="2117" w:right="95" w:firstLine="0"/>
        <w:jc w:val="center"/>
        <w:rPr>
          <w:b/>
          <w:sz w:val="20"/>
        </w:rPr>
      </w:pPr>
      <w:r>
        <w:rPr>
          <w:b/>
          <w:color w:val="231F20"/>
          <w:sz w:val="20"/>
        </w:rPr>
        <w:t>Maximum percent of estimated fuel consumption covered by</w:t>
      </w:r>
    </w:p>
    <w:p>
      <w:pPr>
        <w:spacing w:before="9"/>
        <w:ind w:left="2116" w:right="95" w:firstLine="0"/>
        <w:jc w:val="center"/>
        <w:rPr>
          <w:b/>
          <w:sz w:val="20"/>
        </w:rPr>
      </w:pPr>
      <w:r>
        <w:rPr>
          <w:b/>
          <w:color w:val="231F20"/>
          <w:sz w:val="20"/>
        </w:rPr>
        <w:t>fuel derivative contracts at varying West Texas Intermediate/Brent Crude Oil,</w:t>
      </w:r>
    </w:p>
    <w:p>
      <w:pPr>
        <w:tabs>
          <w:tab w:pos="797" w:val="left" w:leader="none"/>
          <w:tab w:pos="2037" w:val="left" w:leader="none"/>
          <w:tab w:pos="3003" w:val="left" w:leader="none"/>
          <w:tab w:pos="5615" w:val="left" w:leader="none"/>
          <w:tab w:pos="9234" w:val="left" w:leader="none"/>
        </w:tabs>
        <w:spacing w:line="312" w:lineRule="auto" w:before="9"/>
        <w:ind w:left="880" w:right="123" w:hanging="756"/>
        <w:jc w:val="left"/>
        <w:rPr>
          <w:sz w:val="20"/>
        </w:rPr>
      </w:pPr>
      <w:r>
        <w:rPr/>
        <w:pict>
          <v:rect style="position:absolute;margin-left:69pt;margin-top:12.785937pt;width:456pt;height:15pt;mso-position-horizontal-relative:page;mso-position-vertical-relative:paragraph;z-index:-377224" filled="true" fillcolor="#d1d3d4" stroked="false">
            <v:fill type="solid"/>
            <w10:wrap type="none"/>
          </v:rect>
        </w:pict>
      </w:r>
      <w:r>
        <w:rPr>
          <w:b/>
          <w:color w:val="231F20"/>
          <w:sz w:val="20"/>
          <w:u w:val="single" w:color="231F20"/>
        </w:rPr>
        <w:t> </w:t>
        <w:tab/>
        <w:t>Period</w:t>
        <w:tab/>
        <w:t> </w:t>
        <w:tab/>
        <w:t>Heating Oil, and Gulf Coast Jet Fuel-equivalent price</w:t>
      </w:r>
      <w:r>
        <w:rPr>
          <w:b/>
          <w:color w:val="231F20"/>
          <w:spacing w:val="3"/>
          <w:sz w:val="20"/>
          <w:u w:val="single" w:color="231F20"/>
        </w:rPr>
        <w:t> </w:t>
      </w:r>
      <w:r>
        <w:rPr>
          <w:b/>
          <w:color w:val="231F20"/>
          <w:sz w:val="20"/>
          <w:u w:val="single" w:color="231F20"/>
        </w:rPr>
        <w:t>levels</w:t>
      </w:r>
      <w:r>
        <w:rPr>
          <w:b/>
          <w:color w:val="231F20"/>
          <w:spacing w:val="1"/>
          <w:sz w:val="20"/>
          <w:u w:val="single" w:color="231F20"/>
        </w:rPr>
        <w:t> </w:t>
      </w:r>
      <w:r>
        <w:rPr>
          <w:b/>
          <w:color w:val="231F20"/>
          <w:sz w:val="20"/>
          <w:u w:val="single" w:color="231F20"/>
        </w:rPr>
        <w:t>(1)</w:t>
        <w:tab/>
      </w:r>
      <w:r>
        <w:rPr>
          <w:b/>
          <w:color w:val="231F20"/>
          <w:sz w:val="20"/>
        </w:rPr>
        <w:t> 2017</w:t>
        <w:tab/>
        <w:tab/>
        <w:tab/>
      </w:r>
      <w:r>
        <w:rPr>
          <w:color w:val="231F20"/>
          <w:sz w:val="20"/>
        </w:rPr>
        <w:t>63%</w:t>
      </w:r>
    </w:p>
    <w:p>
      <w:pPr>
        <w:tabs>
          <w:tab w:pos="5615" w:val="left" w:leader="none"/>
        </w:tabs>
        <w:spacing w:before="3"/>
        <w:ind w:left="880" w:right="0" w:firstLine="0"/>
        <w:jc w:val="left"/>
        <w:rPr>
          <w:sz w:val="20"/>
        </w:rPr>
      </w:pPr>
      <w:r>
        <w:rPr/>
        <w:pict>
          <v:rect style="position:absolute;margin-left:69pt;margin-top:12.485937pt;width:456pt;height:15pt;mso-position-horizontal-relative:page;mso-position-vertical-relative:paragraph;z-index:-377200" filled="true" fillcolor="#d1d3d4" stroked="false">
            <v:fill type="solid"/>
            <w10:wrap type="none"/>
          </v:rect>
        </w:pict>
      </w:r>
      <w:r>
        <w:rPr>
          <w:b/>
          <w:color w:val="231F20"/>
          <w:sz w:val="20"/>
        </w:rPr>
        <w:t>2018</w:t>
        <w:tab/>
      </w:r>
      <w:r>
        <w:rPr>
          <w:color w:val="231F20"/>
          <w:sz w:val="20"/>
        </w:rPr>
        <w:t>57%</w:t>
      </w:r>
    </w:p>
    <w:p>
      <w:pPr>
        <w:tabs>
          <w:tab w:pos="5615" w:val="left" w:leader="none"/>
        </w:tabs>
        <w:spacing w:before="69"/>
        <w:ind w:left="880" w:right="0" w:firstLine="0"/>
        <w:jc w:val="left"/>
        <w:rPr>
          <w:sz w:val="20"/>
        </w:rPr>
      </w:pPr>
      <w:r>
        <w:rPr>
          <w:b/>
          <w:color w:val="231F20"/>
          <w:sz w:val="20"/>
        </w:rPr>
        <w:t>2019</w:t>
        <w:tab/>
      </w:r>
      <w:r>
        <w:rPr>
          <w:color w:val="231F20"/>
          <w:sz w:val="20"/>
        </w:rPr>
        <w:t>15%</w:t>
      </w:r>
    </w:p>
    <w:p>
      <w:pPr>
        <w:pStyle w:val="BodyText"/>
        <w:spacing w:before="10"/>
        <w:rPr>
          <w:sz w:val="26"/>
        </w:rPr>
      </w:pPr>
    </w:p>
    <w:p>
      <w:pPr>
        <w:spacing w:line="249" w:lineRule="auto" w:before="0"/>
        <w:ind w:left="119" w:right="118" w:firstLine="0"/>
        <w:jc w:val="both"/>
        <w:rPr>
          <w:sz w:val="20"/>
        </w:rPr>
      </w:pPr>
      <w:r>
        <w:rPr>
          <w:color w:val="231F20"/>
          <w:sz w:val="20"/>
        </w:rPr>
        <w:t>(1) The Company’s hedge position can vary significantly at different price levels, including prices at which the Company considers “catastrophic” coverage. The percentages provided are not indicative of the Company’s hedge coverage at every price, but represent the highest level of coverage at a single price. The Company  believes its coverage related to first quarter 2017 is best reflected within the jet fuel forecast price sensitivity  table provided below. See Note 10 to the Consolidated Financial Statements for further</w:t>
      </w:r>
      <w:r>
        <w:rPr>
          <w:color w:val="231F20"/>
          <w:spacing w:val="7"/>
          <w:sz w:val="20"/>
        </w:rPr>
        <w:t> </w:t>
      </w:r>
      <w:r>
        <w:rPr>
          <w:color w:val="231F20"/>
          <w:sz w:val="20"/>
        </w:rPr>
        <w:t>information.</w:t>
      </w:r>
    </w:p>
    <w:p>
      <w:pPr>
        <w:pStyle w:val="BodyText"/>
        <w:rPr>
          <w:sz w:val="21"/>
        </w:rPr>
      </w:pPr>
    </w:p>
    <w:p>
      <w:pPr>
        <w:pStyle w:val="BodyText"/>
        <w:spacing w:line="247" w:lineRule="auto"/>
        <w:ind w:left="120" w:right="117"/>
        <w:jc w:val="both"/>
      </w:pPr>
      <w:r>
        <w:rPr>
          <w:color w:val="231F20"/>
        </w:rPr>
        <w:t>As a result of applying hedge accounting in prior periods, including related to hedge positions that  have either been offset or settled early on a cash basis, the Company has amounts “frozen” in Accumulated other comprehensive income (loss) (“AOCI”), and these amounts will be recognized in earnings in future periods when the underlying fuel derivative contracts settle. The following table displays the Company’s estimated fair value of remaining fuel derivative contracts (not considering the impact of the cash collateral provided to or received from counterparties - see Note 10 to the Consolidated  Financial  Statements  for  further  information),  as  well  as  the  amount  of     </w:t>
      </w:r>
      <w:r>
        <w:rPr>
          <w:color w:val="231F20"/>
          <w:spacing w:val="17"/>
        </w:rPr>
        <w:t> </w:t>
      </w:r>
      <w:r>
        <w:rPr>
          <w:color w:val="231F20"/>
        </w:rPr>
        <w:t>deferred</w:t>
      </w:r>
    </w:p>
    <w:p>
      <w:pPr>
        <w:spacing w:after="0" w:line="247" w:lineRule="auto"/>
        <w:jc w:val="both"/>
        <w:sectPr>
          <w:pgSz w:w="11880" w:h="15480"/>
          <w:pgMar w:header="0" w:footer="1240" w:top="1240" w:bottom="1420" w:left="1260" w:right="1260"/>
        </w:sectPr>
      </w:pPr>
    </w:p>
    <w:p>
      <w:pPr>
        <w:pStyle w:val="BodyText"/>
        <w:spacing w:line="247" w:lineRule="auto" w:before="74"/>
        <w:ind w:left="100"/>
      </w:pPr>
      <w:r>
        <w:rPr>
          <w:color w:val="231F20"/>
        </w:rPr>
        <w:t>gains/losses in AOCI at December 31, 2016, and the expected future periods in which these items are expected to settle and/or be recognized in earnings (in millions):</w:t>
      </w:r>
    </w:p>
    <w:p>
      <w:pPr>
        <w:spacing w:after="0" w:line="247" w:lineRule="auto"/>
        <w:sectPr>
          <w:pgSz w:w="11880" w:h="15480"/>
          <w:pgMar w:header="0" w:footer="1240" w:top="1240" w:bottom="1420" w:left="1280" w:right="1220"/>
        </w:sectPr>
      </w:pPr>
    </w:p>
    <w:p>
      <w:pPr>
        <w:pStyle w:val="BodyText"/>
        <w:spacing w:before="6"/>
        <w:rPr>
          <w:sz w:val="19"/>
        </w:rPr>
      </w:pPr>
    </w:p>
    <w:p>
      <w:pPr>
        <w:spacing w:line="200" w:lineRule="exact" w:before="0"/>
        <w:ind w:left="3911" w:right="-15" w:hanging="304"/>
        <w:jc w:val="left"/>
        <w:rPr>
          <w:b/>
          <w:sz w:val="20"/>
        </w:rPr>
      </w:pPr>
      <w:r>
        <w:rPr/>
        <w:pict>
          <v:shape style="position:absolute;margin-left:69pt;margin-top:18.6999pt;width:456.25pt;height:77.55pt;mso-position-horizontal-relative:page;mso-position-vertical-relative:paragraph;z-index:198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200"/>
                    <w:gridCol w:w="2840"/>
                    <w:gridCol w:w="300"/>
                    <w:gridCol w:w="2740"/>
                  </w:tblGrid>
                  <w:tr>
                    <w:trPr>
                      <w:trHeight w:val="256" w:hRule="exact"/>
                    </w:trPr>
                    <w:tc>
                      <w:tcPr>
                        <w:tcW w:w="3040" w:type="dxa"/>
                        <w:tcBorders>
                          <w:bottom w:val="single" w:sz="8" w:space="0" w:color="231F20"/>
                        </w:tcBorders>
                      </w:tcPr>
                      <w:p>
                        <w:pPr>
                          <w:pStyle w:val="TableParagraph"/>
                          <w:spacing w:line="229" w:lineRule="exact" w:before="0"/>
                          <w:ind w:right="1308"/>
                          <w:jc w:val="right"/>
                          <w:rPr>
                            <w:b/>
                            <w:sz w:val="20"/>
                          </w:rPr>
                        </w:pPr>
                        <w:r>
                          <w:rPr>
                            <w:b/>
                            <w:color w:val="231F20"/>
                            <w:sz w:val="20"/>
                          </w:rPr>
                          <w:t>Year</w:t>
                        </w:r>
                      </w:p>
                    </w:tc>
                    <w:tc>
                      <w:tcPr>
                        <w:tcW w:w="200" w:type="dxa"/>
                      </w:tcPr>
                      <w:p>
                        <w:pPr/>
                      </w:p>
                    </w:tc>
                    <w:tc>
                      <w:tcPr>
                        <w:tcW w:w="2840" w:type="dxa"/>
                        <w:tcBorders>
                          <w:bottom w:val="single" w:sz="8" w:space="0" w:color="231F20"/>
                        </w:tcBorders>
                      </w:tcPr>
                      <w:p>
                        <w:pPr>
                          <w:pStyle w:val="TableParagraph"/>
                          <w:spacing w:line="229" w:lineRule="exact" w:before="0"/>
                          <w:ind w:left="503"/>
                          <w:rPr>
                            <w:b/>
                            <w:sz w:val="20"/>
                          </w:rPr>
                        </w:pPr>
                        <w:r>
                          <w:rPr>
                            <w:b/>
                            <w:color w:val="231F20"/>
                            <w:sz w:val="20"/>
                          </w:rPr>
                          <w:t>at December 31, 2016</w:t>
                        </w:r>
                      </w:p>
                    </w:tc>
                    <w:tc>
                      <w:tcPr>
                        <w:tcW w:w="300" w:type="dxa"/>
                      </w:tcPr>
                      <w:p>
                        <w:pPr/>
                      </w:p>
                    </w:tc>
                    <w:tc>
                      <w:tcPr>
                        <w:tcW w:w="2740" w:type="dxa"/>
                        <w:tcBorders>
                          <w:bottom w:val="single" w:sz="8" w:space="0" w:color="231F20"/>
                        </w:tcBorders>
                      </w:tcPr>
                      <w:p>
                        <w:pPr>
                          <w:pStyle w:val="TableParagraph"/>
                          <w:spacing w:line="229" w:lineRule="exact" w:before="0"/>
                          <w:ind w:left="677"/>
                          <w:rPr>
                            <w:b/>
                            <w:sz w:val="20"/>
                          </w:rPr>
                        </w:pPr>
                        <w:r>
                          <w:rPr>
                            <w:b/>
                            <w:color w:val="231F20"/>
                            <w:sz w:val="20"/>
                          </w:rPr>
                          <w:t>2016 (net of tax)</w:t>
                        </w:r>
                      </w:p>
                    </w:tc>
                  </w:tr>
                  <w:tr>
                    <w:trPr>
                      <w:trHeight w:val="310" w:hRule="exact"/>
                    </w:trPr>
                    <w:tc>
                      <w:tcPr>
                        <w:tcW w:w="3040" w:type="dxa"/>
                        <w:tcBorders>
                          <w:top w:val="single" w:sz="8" w:space="0" w:color="231F20"/>
                        </w:tcBorders>
                      </w:tcPr>
                      <w:p>
                        <w:pPr>
                          <w:pStyle w:val="TableParagraph"/>
                          <w:ind w:right="1319"/>
                          <w:jc w:val="right"/>
                          <w:rPr>
                            <w:sz w:val="20"/>
                          </w:rPr>
                        </w:pPr>
                        <w:r>
                          <w:rPr>
                            <w:color w:val="231F20"/>
                            <w:sz w:val="20"/>
                          </w:rPr>
                          <w:t>2017</w:t>
                        </w:r>
                      </w:p>
                    </w:tc>
                    <w:tc>
                      <w:tcPr>
                        <w:tcW w:w="200" w:type="dxa"/>
                      </w:tcPr>
                      <w:p>
                        <w:pPr/>
                      </w:p>
                    </w:tc>
                    <w:tc>
                      <w:tcPr>
                        <w:tcW w:w="2840" w:type="dxa"/>
                        <w:tcBorders>
                          <w:top w:val="single" w:sz="8" w:space="0" w:color="231F20"/>
                        </w:tcBorders>
                      </w:tcPr>
                      <w:p>
                        <w:pPr>
                          <w:pStyle w:val="TableParagraph"/>
                          <w:tabs>
                            <w:tab w:pos="2299" w:val="left" w:leader="none"/>
                          </w:tabs>
                          <w:jc w:val="right"/>
                          <w:rPr>
                            <w:sz w:val="20"/>
                          </w:rPr>
                        </w:pPr>
                        <w:r>
                          <w:rPr>
                            <w:color w:val="231F20"/>
                            <w:sz w:val="20"/>
                          </w:rPr>
                          <w:t>$</w:t>
                          <w:tab/>
                          <w:t>(452)</w:t>
                        </w:r>
                      </w:p>
                    </w:tc>
                    <w:tc>
                      <w:tcPr>
                        <w:tcW w:w="300" w:type="dxa"/>
                      </w:tcPr>
                      <w:p>
                        <w:pPr/>
                      </w:p>
                    </w:tc>
                    <w:tc>
                      <w:tcPr>
                        <w:tcW w:w="2740" w:type="dxa"/>
                        <w:tcBorders>
                          <w:top w:val="single" w:sz="8" w:space="0" w:color="231F20"/>
                        </w:tcBorders>
                      </w:tcPr>
                      <w:p>
                        <w:pPr>
                          <w:pStyle w:val="TableParagraph"/>
                          <w:tabs>
                            <w:tab w:pos="2299" w:val="left" w:leader="none"/>
                          </w:tabs>
                          <w:jc w:val="right"/>
                          <w:rPr>
                            <w:sz w:val="20"/>
                          </w:rPr>
                        </w:pPr>
                        <w:r>
                          <w:rPr>
                            <w:color w:val="231F20"/>
                            <w:sz w:val="20"/>
                          </w:rPr>
                          <w:t>$</w:t>
                          <w:tab/>
                          <w:t>(302)</w:t>
                        </w:r>
                      </w:p>
                    </w:tc>
                  </w:tr>
                  <w:tr>
                    <w:trPr>
                      <w:trHeight w:val="300" w:hRule="exact"/>
                    </w:trPr>
                    <w:tc>
                      <w:tcPr>
                        <w:tcW w:w="3040" w:type="dxa"/>
                        <w:shd w:val="clear" w:color="auto" w:fill="D1D3D4"/>
                      </w:tcPr>
                      <w:p>
                        <w:pPr>
                          <w:pStyle w:val="TableParagraph"/>
                          <w:ind w:right="1319"/>
                          <w:jc w:val="right"/>
                          <w:rPr>
                            <w:sz w:val="20"/>
                          </w:rPr>
                        </w:pPr>
                        <w:r>
                          <w:rPr>
                            <w:color w:val="231F20"/>
                            <w:sz w:val="20"/>
                          </w:rPr>
                          <w:t>2018</w:t>
                        </w:r>
                      </w:p>
                    </w:tc>
                    <w:tc>
                      <w:tcPr>
                        <w:tcW w:w="200" w:type="dxa"/>
                        <w:shd w:val="clear" w:color="auto" w:fill="D1D3D4"/>
                      </w:tcPr>
                      <w:p>
                        <w:pPr/>
                      </w:p>
                    </w:tc>
                    <w:tc>
                      <w:tcPr>
                        <w:tcW w:w="2840" w:type="dxa"/>
                        <w:shd w:val="clear" w:color="auto" w:fill="D1D3D4"/>
                      </w:tcPr>
                      <w:p>
                        <w:pPr>
                          <w:pStyle w:val="TableParagraph"/>
                          <w:ind w:right="66"/>
                          <w:jc w:val="right"/>
                          <w:rPr>
                            <w:sz w:val="20"/>
                          </w:rPr>
                        </w:pPr>
                        <w:r>
                          <w:rPr>
                            <w:color w:val="231F20"/>
                            <w:sz w:val="20"/>
                          </w:rPr>
                          <w:t>105</w:t>
                        </w:r>
                      </w:p>
                    </w:tc>
                    <w:tc>
                      <w:tcPr>
                        <w:tcW w:w="300" w:type="dxa"/>
                        <w:shd w:val="clear" w:color="auto" w:fill="D1D3D4"/>
                      </w:tcPr>
                      <w:p>
                        <w:pPr/>
                      </w:p>
                    </w:tc>
                    <w:tc>
                      <w:tcPr>
                        <w:tcW w:w="2740" w:type="dxa"/>
                        <w:shd w:val="clear" w:color="auto" w:fill="D1D3D4"/>
                      </w:tcPr>
                      <w:p>
                        <w:pPr>
                          <w:pStyle w:val="TableParagraph"/>
                          <w:jc w:val="right"/>
                          <w:rPr>
                            <w:sz w:val="20"/>
                          </w:rPr>
                        </w:pPr>
                        <w:r>
                          <w:rPr>
                            <w:color w:val="231F20"/>
                            <w:sz w:val="20"/>
                          </w:rPr>
                          <w:t>(15)</w:t>
                        </w:r>
                      </w:p>
                    </w:tc>
                  </w:tr>
                  <w:tr>
                    <w:trPr>
                      <w:trHeight w:val="315" w:hRule="exact"/>
                    </w:trPr>
                    <w:tc>
                      <w:tcPr>
                        <w:tcW w:w="3040" w:type="dxa"/>
                      </w:tcPr>
                      <w:p>
                        <w:pPr>
                          <w:pStyle w:val="TableParagraph"/>
                          <w:ind w:right="1319"/>
                          <w:jc w:val="right"/>
                          <w:rPr>
                            <w:sz w:val="20"/>
                          </w:rPr>
                        </w:pPr>
                        <w:r>
                          <w:rPr>
                            <w:color w:val="231F20"/>
                            <w:sz w:val="20"/>
                          </w:rPr>
                          <w:t>2019</w:t>
                        </w:r>
                      </w:p>
                    </w:tc>
                    <w:tc>
                      <w:tcPr>
                        <w:tcW w:w="200" w:type="dxa"/>
                      </w:tcPr>
                      <w:p>
                        <w:pPr/>
                      </w:p>
                    </w:tc>
                    <w:tc>
                      <w:tcPr>
                        <w:tcW w:w="2840" w:type="dxa"/>
                        <w:tcBorders>
                          <w:bottom w:val="single" w:sz="4" w:space="0" w:color="231F20"/>
                        </w:tcBorders>
                      </w:tcPr>
                      <w:p>
                        <w:pPr>
                          <w:pStyle w:val="TableParagraph"/>
                          <w:ind w:right="66"/>
                          <w:jc w:val="right"/>
                          <w:rPr>
                            <w:sz w:val="20"/>
                          </w:rPr>
                        </w:pPr>
                        <w:r>
                          <w:rPr>
                            <w:color w:val="231F20"/>
                            <w:sz w:val="20"/>
                          </w:rPr>
                          <w:t>21</w:t>
                        </w:r>
                      </w:p>
                    </w:tc>
                    <w:tc>
                      <w:tcPr>
                        <w:tcW w:w="300" w:type="dxa"/>
                      </w:tcPr>
                      <w:p>
                        <w:pPr/>
                      </w:p>
                    </w:tc>
                    <w:tc>
                      <w:tcPr>
                        <w:tcW w:w="2740" w:type="dxa"/>
                        <w:tcBorders>
                          <w:bottom w:val="single" w:sz="4" w:space="0" w:color="231F20"/>
                        </w:tcBorders>
                      </w:tcPr>
                      <w:p>
                        <w:pPr>
                          <w:pStyle w:val="TableParagraph"/>
                          <w:ind w:right="66"/>
                          <w:jc w:val="right"/>
                          <w:rPr>
                            <w:sz w:val="20"/>
                          </w:rPr>
                        </w:pPr>
                        <w:r>
                          <w:rPr>
                            <w:color w:val="231F20"/>
                            <w:sz w:val="20"/>
                          </w:rPr>
                          <w:t>3</w:t>
                        </w:r>
                      </w:p>
                    </w:tc>
                  </w:tr>
                  <w:tr>
                    <w:trPr>
                      <w:trHeight w:val="360" w:hRule="exact"/>
                    </w:trPr>
                    <w:tc>
                      <w:tcPr>
                        <w:tcW w:w="3040" w:type="dxa"/>
                        <w:shd w:val="clear" w:color="auto" w:fill="D1D3D4"/>
                      </w:tcPr>
                      <w:p>
                        <w:pPr>
                          <w:pStyle w:val="TableParagraph"/>
                          <w:ind w:right="1307"/>
                          <w:jc w:val="right"/>
                          <w:rPr>
                            <w:sz w:val="20"/>
                          </w:rPr>
                        </w:pPr>
                        <w:r>
                          <w:rPr>
                            <w:color w:val="231F20"/>
                            <w:sz w:val="20"/>
                          </w:rPr>
                          <w:t>Total</w:t>
                        </w:r>
                      </w:p>
                    </w:tc>
                    <w:tc>
                      <w:tcPr>
                        <w:tcW w:w="200" w:type="dxa"/>
                        <w:shd w:val="clear" w:color="auto" w:fill="D1D3D4"/>
                      </w:tcPr>
                      <w:p>
                        <w:pPr/>
                      </w:p>
                    </w:tc>
                    <w:tc>
                      <w:tcPr>
                        <w:tcW w:w="2840" w:type="dxa"/>
                        <w:tcBorders>
                          <w:top w:val="single" w:sz="4" w:space="0" w:color="231F20"/>
                          <w:bottom w:val="single" w:sz="4" w:space="0" w:color="231F20"/>
                        </w:tcBorders>
                        <w:shd w:val="clear" w:color="auto" w:fill="D1D3D4"/>
                      </w:tcPr>
                      <w:p>
                        <w:pPr>
                          <w:pStyle w:val="TableParagraph"/>
                          <w:tabs>
                            <w:tab w:pos="2366" w:val="left" w:leader="none"/>
                          </w:tabs>
                          <w:jc w:val="right"/>
                          <w:rPr>
                            <w:sz w:val="20"/>
                          </w:rPr>
                        </w:pPr>
                        <w:r>
                          <w:rPr>
                            <w:color w:val="231F20"/>
                            <w:sz w:val="20"/>
                          </w:rPr>
                          <w:t>$</w:t>
                          <w:tab/>
                        </w:r>
                        <w:r>
                          <w:rPr>
                            <w:color w:val="231F20"/>
                            <w:spacing w:val="-1"/>
                            <w:sz w:val="20"/>
                          </w:rPr>
                          <w:t>(326)</w:t>
                        </w:r>
                      </w:p>
                    </w:tc>
                    <w:tc>
                      <w:tcPr>
                        <w:tcW w:w="300" w:type="dxa"/>
                        <w:shd w:val="clear" w:color="auto" w:fill="D1D3D4"/>
                      </w:tcPr>
                      <w:p>
                        <w:pPr/>
                      </w:p>
                    </w:tc>
                    <w:tc>
                      <w:tcPr>
                        <w:tcW w:w="2740" w:type="dxa"/>
                        <w:tcBorders>
                          <w:top w:val="single" w:sz="4" w:space="0" w:color="231F20"/>
                          <w:bottom w:val="single" w:sz="4" w:space="0" w:color="231F20"/>
                        </w:tcBorders>
                        <w:shd w:val="clear" w:color="auto" w:fill="D1D3D4"/>
                      </w:tcPr>
                      <w:p>
                        <w:pPr>
                          <w:pStyle w:val="TableParagraph"/>
                          <w:tabs>
                            <w:tab w:pos="2299" w:val="left" w:leader="none"/>
                          </w:tabs>
                          <w:jc w:val="right"/>
                          <w:rPr>
                            <w:sz w:val="20"/>
                          </w:rPr>
                        </w:pPr>
                        <w:r>
                          <w:rPr>
                            <w:color w:val="231F20"/>
                            <w:sz w:val="20"/>
                          </w:rPr>
                          <w:t>$</w:t>
                          <w:tab/>
                          <w:t>(314)</w:t>
                        </w:r>
                      </w:p>
                    </w:tc>
                  </w:tr>
                </w:tbl>
                <w:p>
                  <w:pPr>
                    <w:pStyle w:val="BodyText"/>
                  </w:pPr>
                </w:p>
              </w:txbxContent>
            </v:textbox>
            <w10:wrap type="none"/>
          </v:shape>
        </w:pict>
      </w:r>
      <w:r>
        <w:rPr>
          <w:b/>
          <w:color w:val="231F20"/>
          <w:sz w:val="20"/>
        </w:rPr>
        <w:t>Fair value (liability) of fuel derivative contracts</w:t>
      </w:r>
    </w:p>
    <w:p>
      <w:pPr>
        <w:pStyle w:val="BodyText"/>
        <w:spacing w:before="6"/>
        <w:rPr>
          <w:b/>
          <w:sz w:val="19"/>
        </w:rPr>
      </w:pPr>
      <w:r>
        <w:rPr/>
        <w:br w:type="column"/>
      </w:r>
      <w:r>
        <w:rPr>
          <w:b/>
          <w:sz w:val="19"/>
        </w:rPr>
      </w:r>
    </w:p>
    <w:p>
      <w:pPr>
        <w:spacing w:line="200" w:lineRule="exact" w:before="0"/>
        <w:ind w:left="811" w:right="83" w:hanging="342"/>
        <w:jc w:val="left"/>
        <w:rPr>
          <w:b/>
          <w:sz w:val="20"/>
        </w:rPr>
      </w:pPr>
      <w:r>
        <w:rPr>
          <w:b/>
          <w:color w:val="231F20"/>
          <w:sz w:val="20"/>
        </w:rPr>
        <w:t>Amount of gains (losses) deferred</w:t>
      </w:r>
      <w:r>
        <w:rPr>
          <w:b/>
          <w:color w:val="231F20"/>
          <w:w w:val="100"/>
          <w:sz w:val="20"/>
        </w:rPr>
        <w:t> </w:t>
      </w:r>
      <w:r>
        <w:rPr>
          <w:b/>
          <w:color w:val="231F20"/>
          <w:sz w:val="20"/>
        </w:rPr>
        <w:t>in AOCI at December 31,</w:t>
      </w:r>
    </w:p>
    <w:p>
      <w:pPr>
        <w:spacing w:after="0" w:line="200" w:lineRule="exact"/>
        <w:jc w:val="left"/>
        <w:rPr>
          <w:sz w:val="20"/>
        </w:rPr>
        <w:sectPr>
          <w:type w:val="continuous"/>
          <w:pgSz w:w="11880" w:h="15480"/>
          <w:pgMar w:top="1260" w:bottom="280" w:left="1280" w:right="1220"/>
          <w:cols w:num="2" w:equalWidth="0">
            <w:col w:w="5912" w:space="40"/>
            <w:col w:w="3428"/>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p>
    <w:p>
      <w:pPr>
        <w:tabs>
          <w:tab w:pos="6475" w:val="left" w:leader="none"/>
        </w:tabs>
        <w:spacing w:line="20" w:lineRule="exact"/>
        <w:ind w:left="3335" w:right="0" w:firstLine="0"/>
        <w:rPr>
          <w:sz w:val="2"/>
        </w:rPr>
      </w:pPr>
      <w:r>
        <w:rPr>
          <w:sz w:val="2"/>
        </w:rPr>
        <w:pict>
          <v:group style="width:142.5pt;height:.5pt;mso-position-horizontal-relative:char;mso-position-vertical-relative:line" coordorigin="0,0" coordsize="2850,10">
            <v:line style="position:absolute" from="5,5" to="2845,5" stroked="true" strokeweight=".5pt" strokecolor="#231f20">
              <v:stroke dashstyle="solid"/>
            </v:line>
          </v:group>
        </w:pict>
      </w:r>
      <w:r>
        <w:rPr>
          <w:sz w:val="2"/>
        </w:rPr>
      </w:r>
      <w:r>
        <w:rPr>
          <w:sz w:val="2"/>
        </w:rPr>
        <w:tab/>
      </w:r>
      <w:r>
        <w:rPr>
          <w:sz w:val="2"/>
        </w:rPr>
        <w:pict>
          <v:group style="width:137.5pt;height:.5pt;mso-position-horizontal-relative:char;mso-position-vertical-relative:line" coordorigin="0,0" coordsize="2750,10">
            <v:line style="position:absolute" from="5,5" to="2745,5" stroked="true" strokeweight=".5pt" strokecolor="#231f20">
              <v:stroke dashstyle="solid"/>
            </v:line>
          </v:group>
        </w:pict>
      </w:r>
      <w:r>
        <w:rPr>
          <w:sz w:val="2"/>
        </w:rPr>
      </w:r>
    </w:p>
    <w:p>
      <w:pPr>
        <w:pStyle w:val="BodyText"/>
        <w:spacing w:before="2"/>
        <w:rPr>
          <w:b/>
          <w:sz w:val="20"/>
        </w:rPr>
      </w:pPr>
    </w:p>
    <w:p>
      <w:pPr>
        <w:pStyle w:val="BodyText"/>
        <w:spacing w:line="247" w:lineRule="auto" w:before="92"/>
        <w:ind w:left="100" w:right="157"/>
        <w:jc w:val="both"/>
      </w:pPr>
      <w:r>
        <w:rPr>
          <w:color w:val="231F20"/>
        </w:rPr>
        <w:t>Based on forward market prices and the amounts in the above table (and excluding any other subsequent changes to the fuel hedge portfolio), the Company’s jet fuel costs per gallon could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the below sensitivity table         for first quarter 2017 and full year 2017 jet fuel prices at different crude oil assumptions as of     January 20, 2017, and for expected premium costs associated with settling contracts each period, respectively.</w:t>
      </w:r>
    </w:p>
    <w:p>
      <w:pPr>
        <w:spacing w:after="0" w:line="247" w:lineRule="auto"/>
        <w:jc w:val="both"/>
        <w:sectPr>
          <w:type w:val="continuous"/>
          <w:pgSz w:w="11880" w:h="15480"/>
          <w:pgMar w:top="1260" w:bottom="280" w:left="1280" w:right="1220"/>
        </w:sectPr>
      </w:pPr>
    </w:p>
    <w:p>
      <w:pPr>
        <w:pStyle w:val="BodyText"/>
      </w:pPr>
    </w:p>
    <w:p>
      <w:pPr>
        <w:pStyle w:val="BodyText"/>
      </w:pPr>
    </w:p>
    <w:p>
      <w:pPr>
        <w:spacing w:before="172"/>
        <w:ind w:left="1179" w:right="0" w:firstLine="0"/>
        <w:jc w:val="left"/>
        <w:rPr>
          <w:b/>
          <w:sz w:val="20"/>
        </w:rPr>
      </w:pPr>
      <w:r>
        <w:rPr/>
        <w:pict>
          <v:shape style="position:absolute;margin-left:69pt;margin-top:18.635937pt;width:456pt;height:101.5pt;mso-position-horizontal-relative:page;mso-position-vertical-relative:paragraph;z-index:20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54"/>
                    <w:gridCol w:w="2615"/>
                    <w:gridCol w:w="2350"/>
                  </w:tblGrid>
                  <w:tr>
                    <w:trPr>
                      <w:trHeight w:val="236" w:hRule="exact"/>
                    </w:trPr>
                    <w:tc>
                      <w:tcPr>
                        <w:tcW w:w="4154" w:type="dxa"/>
                        <w:tcBorders>
                          <w:bottom w:val="single" w:sz="8" w:space="0" w:color="231F20"/>
                        </w:tcBorders>
                      </w:tcPr>
                      <w:p>
                        <w:pPr>
                          <w:pStyle w:val="TableParagraph"/>
                          <w:spacing w:line="229" w:lineRule="exact" w:before="0"/>
                          <w:ind w:left="913" w:right="749"/>
                          <w:jc w:val="center"/>
                          <w:rPr>
                            <w:b/>
                            <w:sz w:val="20"/>
                          </w:rPr>
                        </w:pPr>
                        <w:r>
                          <w:rPr>
                            <w:b/>
                            <w:color w:val="231F20"/>
                            <w:sz w:val="20"/>
                          </w:rPr>
                          <w:t>price per barrel</w:t>
                        </w:r>
                      </w:p>
                    </w:tc>
                    <w:tc>
                      <w:tcPr>
                        <w:tcW w:w="2615" w:type="dxa"/>
                        <w:tcBorders>
                          <w:bottom w:val="single" w:sz="8" w:space="0" w:color="231F20"/>
                        </w:tcBorders>
                      </w:tcPr>
                      <w:p>
                        <w:pPr>
                          <w:pStyle w:val="TableParagraph"/>
                          <w:spacing w:line="229" w:lineRule="exact" w:before="0"/>
                          <w:ind w:left="747" w:right="432"/>
                          <w:jc w:val="center"/>
                          <w:rPr>
                            <w:b/>
                            <w:sz w:val="20"/>
                          </w:rPr>
                        </w:pPr>
                        <w:r>
                          <w:rPr>
                            <w:b/>
                            <w:color w:val="231F20"/>
                            <w:sz w:val="20"/>
                          </w:rPr>
                          <w:t>1Q 2017 (2)</w:t>
                        </w:r>
                      </w:p>
                    </w:tc>
                    <w:tc>
                      <w:tcPr>
                        <w:tcW w:w="2350" w:type="dxa"/>
                        <w:tcBorders>
                          <w:bottom w:val="single" w:sz="8" w:space="0" w:color="231F20"/>
                        </w:tcBorders>
                      </w:tcPr>
                      <w:p>
                        <w:pPr>
                          <w:pStyle w:val="TableParagraph"/>
                          <w:spacing w:line="229" w:lineRule="exact" w:before="0"/>
                          <w:ind w:left="431" w:right="283"/>
                          <w:jc w:val="center"/>
                          <w:rPr>
                            <w:b/>
                            <w:sz w:val="20"/>
                          </w:rPr>
                        </w:pPr>
                        <w:r>
                          <w:rPr>
                            <w:b/>
                            <w:color w:val="231F20"/>
                            <w:sz w:val="20"/>
                          </w:rPr>
                          <w:t>Full Year 2017 (2)</w:t>
                        </w:r>
                      </w:p>
                    </w:tc>
                  </w:tr>
                  <w:tr>
                    <w:trPr>
                      <w:trHeight w:val="310" w:hRule="exact"/>
                    </w:trPr>
                    <w:tc>
                      <w:tcPr>
                        <w:tcW w:w="4154" w:type="dxa"/>
                        <w:tcBorders>
                          <w:top w:val="single" w:sz="8" w:space="0" w:color="231F20"/>
                        </w:tcBorders>
                        <w:shd w:val="clear" w:color="auto" w:fill="D1D3D4"/>
                      </w:tcPr>
                      <w:p>
                        <w:pPr>
                          <w:pStyle w:val="TableParagraph"/>
                          <w:ind w:left="914" w:right="749"/>
                          <w:jc w:val="center"/>
                          <w:rPr>
                            <w:b/>
                            <w:sz w:val="20"/>
                          </w:rPr>
                        </w:pPr>
                        <w:r>
                          <w:rPr>
                            <w:b/>
                            <w:color w:val="231F20"/>
                            <w:sz w:val="20"/>
                          </w:rPr>
                          <w:t>$35</w:t>
                        </w:r>
                      </w:p>
                    </w:tc>
                    <w:tc>
                      <w:tcPr>
                        <w:tcW w:w="2615" w:type="dxa"/>
                        <w:tcBorders>
                          <w:top w:val="single" w:sz="8" w:space="0" w:color="231F20"/>
                        </w:tcBorders>
                        <w:shd w:val="clear" w:color="auto" w:fill="D1D3D4"/>
                      </w:tcPr>
                      <w:p>
                        <w:pPr>
                          <w:pStyle w:val="TableParagraph"/>
                          <w:ind w:left="747" w:right="432"/>
                          <w:jc w:val="center"/>
                          <w:rPr>
                            <w:sz w:val="20"/>
                          </w:rPr>
                        </w:pPr>
                        <w:r>
                          <w:rPr>
                            <w:color w:val="231F20"/>
                            <w:sz w:val="20"/>
                          </w:rPr>
                          <w:t>$1.50 - $1.55</w:t>
                        </w:r>
                      </w:p>
                    </w:tc>
                    <w:tc>
                      <w:tcPr>
                        <w:tcW w:w="2350" w:type="dxa"/>
                        <w:tcBorders>
                          <w:top w:val="single" w:sz="8" w:space="0" w:color="231F20"/>
                        </w:tcBorders>
                        <w:shd w:val="clear" w:color="auto" w:fill="D1D3D4"/>
                      </w:tcPr>
                      <w:p>
                        <w:pPr>
                          <w:pStyle w:val="TableParagraph"/>
                          <w:ind w:left="432" w:right="283"/>
                          <w:jc w:val="center"/>
                          <w:rPr>
                            <w:sz w:val="20"/>
                          </w:rPr>
                        </w:pPr>
                        <w:r>
                          <w:rPr>
                            <w:color w:val="231F20"/>
                            <w:sz w:val="20"/>
                          </w:rPr>
                          <w:t>$1.50 - $1.55</w:t>
                        </w:r>
                      </w:p>
                    </w:tc>
                  </w:tr>
                  <w:tr>
                    <w:trPr>
                      <w:trHeight w:val="300" w:hRule="exact"/>
                    </w:trPr>
                    <w:tc>
                      <w:tcPr>
                        <w:tcW w:w="4154" w:type="dxa"/>
                      </w:tcPr>
                      <w:p>
                        <w:pPr>
                          <w:pStyle w:val="TableParagraph"/>
                          <w:ind w:left="914" w:right="749"/>
                          <w:jc w:val="center"/>
                          <w:rPr>
                            <w:b/>
                            <w:sz w:val="20"/>
                          </w:rPr>
                        </w:pPr>
                        <w:r>
                          <w:rPr>
                            <w:b/>
                            <w:color w:val="231F20"/>
                            <w:sz w:val="20"/>
                          </w:rPr>
                          <w:t>$45</w:t>
                        </w:r>
                      </w:p>
                    </w:tc>
                    <w:tc>
                      <w:tcPr>
                        <w:tcW w:w="2615" w:type="dxa"/>
                      </w:tcPr>
                      <w:p>
                        <w:pPr>
                          <w:pStyle w:val="TableParagraph"/>
                          <w:ind w:left="747" w:right="432"/>
                          <w:jc w:val="center"/>
                          <w:rPr>
                            <w:sz w:val="20"/>
                          </w:rPr>
                        </w:pPr>
                        <w:r>
                          <w:rPr>
                            <w:color w:val="231F20"/>
                            <w:sz w:val="20"/>
                          </w:rPr>
                          <w:t>$1.75 - $1.80</w:t>
                        </w:r>
                      </w:p>
                    </w:tc>
                    <w:tc>
                      <w:tcPr>
                        <w:tcW w:w="2350" w:type="dxa"/>
                      </w:tcPr>
                      <w:p>
                        <w:pPr>
                          <w:pStyle w:val="TableParagraph"/>
                          <w:ind w:left="432" w:right="283"/>
                          <w:jc w:val="center"/>
                          <w:rPr>
                            <w:sz w:val="20"/>
                          </w:rPr>
                        </w:pPr>
                        <w:r>
                          <w:rPr>
                            <w:color w:val="231F20"/>
                            <w:sz w:val="20"/>
                          </w:rPr>
                          <w:t>$1.75 - $1.80</w:t>
                        </w:r>
                      </w:p>
                    </w:tc>
                  </w:tr>
                  <w:tr>
                    <w:trPr>
                      <w:trHeight w:val="300" w:hRule="exact"/>
                    </w:trPr>
                    <w:tc>
                      <w:tcPr>
                        <w:tcW w:w="4154" w:type="dxa"/>
                        <w:shd w:val="clear" w:color="auto" w:fill="D1D3D4"/>
                      </w:tcPr>
                      <w:p>
                        <w:pPr>
                          <w:pStyle w:val="TableParagraph"/>
                          <w:ind w:left="913" w:right="749"/>
                          <w:jc w:val="center"/>
                          <w:rPr>
                            <w:b/>
                            <w:sz w:val="20"/>
                          </w:rPr>
                        </w:pPr>
                        <w:r>
                          <w:rPr>
                            <w:b/>
                            <w:color w:val="231F20"/>
                            <w:sz w:val="20"/>
                          </w:rPr>
                          <w:t>Current Market (1)</w:t>
                        </w:r>
                      </w:p>
                    </w:tc>
                    <w:tc>
                      <w:tcPr>
                        <w:tcW w:w="2615" w:type="dxa"/>
                        <w:shd w:val="clear" w:color="auto" w:fill="D1D3D4"/>
                      </w:tcPr>
                      <w:p>
                        <w:pPr>
                          <w:pStyle w:val="TableParagraph"/>
                          <w:ind w:left="747" w:right="432"/>
                          <w:jc w:val="center"/>
                          <w:rPr>
                            <w:sz w:val="20"/>
                          </w:rPr>
                        </w:pPr>
                        <w:r>
                          <w:rPr>
                            <w:color w:val="231F20"/>
                            <w:sz w:val="20"/>
                          </w:rPr>
                          <w:t>$1.95 - $2.00</w:t>
                        </w:r>
                      </w:p>
                    </w:tc>
                    <w:tc>
                      <w:tcPr>
                        <w:tcW w:w="2350" w:type="dxa"/>
                        <w:shd w:val="clear" w:color="auto" w:fill="D1D3D4"/>
                      </w:tcPr>
                      <w:p>
                        <w:pPr>
                          <w:pStyle w:val="TableParagraph"/>
                          <w:ind w:left="432" w:right="283"/>
                          <w:jc w:val="center"/>
                          <w:rPr>
                            <w:sz w:val="20"/>
                          </w:rPr>
                        </w:pPr>
                        <w:r>
                          <w:rPr>
                            <w:color w:val="231F20"/>
                            <w:sz w:val="20"/>
                          </w:rPr>
                          <w:t>$2.00 - $2.05</w:t>
                        </w:r>
                      </w:p>
                    </w:tc>
                  </w:tr>
                  <w:tr>
                    <w:trPr>
                      <w:trHeight w:val="300" w:hRule="exact"/>
                    </w:trPr>
                    <w:tc>
                      <w:tcPr>
                        <w:tcW w:w="4154" w:type="dxa"/>
                      </w:tcPr>
                      <w:p>
                        <w:pPr>
                          <w:pStyle w:val="TableParagraph"/>
                          <w:ind w:left="914" w:right="749"/>
                          <w:jc w:val="center"/>
                          <w:rPr>
                            <w:b/>
                            <w:sz w:val="20"/>
                          </w:rPr>
                        </w:pPr>
                        <w:r>
                          <w:rPr>
                            <w:b/>
                            <w:color w:val="231F20"/>
                            <w:sz w:val="20"/>
                          </w:rPr>
                          <w:t>$70</w:t>
                        </w:r>
                      </w:p>
                    </w:tc>
                    <w:tc>
                      <w:tcPr>
                        <w:tcW w:w="2615" w:type="dxa"/>
                      </w:tcPr>
                      <w:p>
                        <w:pPr>
                          <w:pStyle w:val="TableParagraph"/>
                          <w:ind w:left="747" w:right="432"/>
                          <w:jc w:val="center"/>
                          <w:rPr>
                            <w:sz w:val="20"/>
                          </w:rPr>
                        </w:pPr>
                        <w:r>
                          <w:rPr>
                            <w:color w:val="231F20"/>
                            <w:sz w:val="20"/>
                          </w:rPr>
                          <w:t>$2.20 - $2.25</w:t>
                        </w:r>
                      </w:p>
                    </w:tc>
                    <w:tc>
                      <w:tcPr>
                        <w:tcW w:w="2350" w:type="dxa"/>
                      </w:tcPr>
                      <w:p>
                        <w:pPr>
                          <w:pStyle w:val="TableParagraph"/>
                          <w:ind w:left="432" w:right="283"/>
                          <w:jc w:val="center"/>
                          <w:rPr>
                            <w:sz w:val="20"/>
                          </w:rPr>
                        </w:pPr>
                        <w:r>
                          <w:rPr>
                            <w:color w:val="231F20"/>
                            <w:sz w:val="20"/>
                          </w:rPr>
                          <w:t>$2.25 - $2.30</w:t>
                        </w:r>
                      </w:p>
                    </w:tc>
                  </w:tr>
                  <w:tr>
                    <w:trPr>
                      <w:trHeight w:val="300" w:hRule="exact"/>
                    </w:trPr>
                    <w:tc>
                      <w:tcPr>
                        <w:tcW w:w="4154" w:type="dxa"/>
                        <w:shd w:val="clear" w:color="auto" w:fill="D1D3D4"/>
                      </w:tcPr>
                      <w:p>
                        <w:pPr>
                          <w:pStyle w:val="TableParagraph"/>
                          <w:ind w:left="914" w:right="749"/>
                          <w:jc w:val="center"/>
                          <w:rPr>
                            <w:b/>
                            <w:sz w:val="20"/>
                          </w:rPr>
                        </w:pPr>
                        <w:r>
                          <w:rPr>
                            <w:b/>
                            <w:color w:val="231F20"/>
                            <w:sz w:val="20"/>
                          </w:rPr>
                          <w:t>$80</w:t>
                        </w:r>
                      </w:p>
                    </w:tc>
                    <w:tc>
                      <w:tcPr>
                        <w:tcW w:w="2615" w:type="dxa"/>
                        <w:shd w:val="clear" w:color="auto" w:fill="D1D3D4"/>
                      </w:tcPr>
                      <w:p>
                        <w:pPr>
                          <w:pStyle w:val="TableParagraph"/>
                          <w:ind w:left="747" w:right="432"/>
                          <w:jc w:val="center"/>
                          <w:rPr>
                            <w:sz w:val="20"/>
                          </w:rPr>
                        </w:pPr>
                        <w:r>
                          <w:rPr>
                            <w:color w:val="231F20"/>
                            <w:sz w:val="20"/>
                          </w:rPr>
                          <w:t>$2.30 - $2.35</w:t>
                        </w:r>
                      </w:p>
                    </w:tc>
                    <w:tc>
                      <w:tcPr>
                        <w:tcW w:w="2350" w:type="dxa"/>
                        <w:shd w:val="clear" w:color="auto" w:fill="D1D3D4"/>
                      </w:tcPr>
                      <w:p>
                        <w:pPr>
                          <w:pStyle w:val="TableParagraph"/>
                          <w:ind w:left="432" w:right="283"/>
                          <w:jc w:val="center"/>
                          <w:rPr>
                            <w:sz w:val="20"/>
                          </w:rPr>
                        </w:pPr>
                        <w:r>
                          <w:rPr>
                            <w:color w:val="231F20"/>
                            <w:sz w:val="20"/>
                          </w:rPr>
                          <w:t>$2.35 - $2.40</w:t>
                        </w:r>
                      </w:p>
                    </w:tc>
                  </w:tr>
                  <w:tr>
                    <w:trPr>
                      <w:trHeight w:val="284" w:hRule="exact"/>
                    </w:trPr>
                    <w:tc>
                      <w:tcPr>
                        <w:tcW w:w="4154" w:type="dxa"/>
                      </w:tcPr>
                      <w:p>
                        <w:pPr>
                          <w:pStyle w:val="TableParagraph"/>
                          <w:ind w:left="914" w:right="749"/>
                          <w:jc w:val="center"/>
                          <w:rPr>
                            <w:b/>
                            <w:sz w:val="20"/>
                          </w:rPr>
                        </w:pPr>
                        <w:r>
                          <w:rPr>
                            <w:b/>
                            <w:color w:val="231F20"/>
                            <w:sz w:val="20"/>
                          </w:rPr>
                          <w:t>Estimated premium costs (3)</w:t>
                        </w:r>
                      </w:p>
                    </w:tc>
                    <w:tc>
                      <w:tcPr>
                        <w:tcW w:w="2615" w:type="dxa"/>
                      </w:tcPr>
                      <w:p>
                        <w:pPr>
                          <w:pStyle w:val="TableParagraph"/>
                          <w:ind w:left="747" w:right="432"/>
                          <w:jc w:val="center"/>
                          <w:rPr>
                            <w:sz w:val="20"/>
                          </w:rPr>
                        </w:pPr>
                        <w:r>
                          <w:rPr>
                            <w:color w:val="231F20"/>
                            <w:sz w:val="20"/>
                          </w:rPr>
                          <w:t>$30 - $35 million</w:t>
                        </w:r>
                      </w:p>
                    </w:tc>
                    <w:tc>
                      <w:tcPr>
                        <w:tcW w:w="2350" w:type="dxa"/>
                      </w:tcPr>
                      <w:p>
                        <w:pPr>
                          <w:pStyle w:val="TableParagraph"/>
                          <w:ind w:left="432" w:right="283"/>
                          <w:jc w:val="center"/>
                          <w:rPr>
                            <w:sz w:val="20"/>
                          </w:rPr>
                        </w:pPr>
                        <w:r>
                          <w:rPr>
                            <w:color w:val="231F20"/>
                            <w:sz w:val="20"/>
                          </w:rPr>
                          <w:t>$135 - $140 million</w:t>
                        </w:r>
                      </w:p>
                    </w:tc>
                  </w:tr>
                </w:tbl>
                <w:p>
                  <w:pPr>
                    <w:pStyle w:val="BodyText"/>
                  </w:pPr>
                </w:p>
              </w:txbxContent>
            </v:textbox>
            <w10:wrap type="none"/>
          </v:shape>
        </w:pict>
      </w:r>
      <w:r>
        <w:rPr>
          <w:b/>
          <w:color w:val="231F20"/>
          <w:sz w:val="20"/>
        </w:rPr>
        <w:t>Average Brent Crude Oil</w:t>
      </w:r>
    </w:p>
    <w:p>
      <w:pPr>
        <w:pStyle w:val="BodyText"/>
        <w:spacing w:before="6"/>
        <w:rPr>
          <w:b/>
          <w:sz w:val="19"/>
        </w:rPr>
      </w:pPr>
      <w:r>
        <w:rPr/>
        <w:br w:type="column"/>
      </w:r>
      <w:r>
        <w:rPr>
          <w:b/>
          <w:sz w:val="19"/>
        </w:rPr>
      </w:r>
    </w:p>
    <w:p>
      <w:pPr>
        <w:spacing w:line="200" w:lineRule="exact" w:before="0"/>
        <w:ind w:left="2442" w:right="541" w:hanging="1263"/>
        <w:jc w:val="left"/>
        <w:rPr>
          <w:b/>
          <w:sz w:val="20"/>
        </w:rPr>
      </w:pPr>
      <w:r>
        <w:rPr>
          <w:b/>
          <w:color w:val="231F20"/>
          <w:sz w:val="20"/>
        </w:rPr>
        <w:t>Estimated economic jet fuel price per gallon, including taxes</w:t>
      </w:r>
    </w:p>
    <w:p>
      <w:pPr>
        <w:pStyle w:val="BodyText"/>
        <w:spacing w:line="20" w:lineRule="exact"/>
        <w:ind w:left="775"/>
        <w:rPr>
          <w:sz w:val="2"/>
        </w:rPr>
      </w:pPr>
      <w:r>
        <w:rPr>
          <w:sz w:val="2"/>
        </w:rPr>
        <w:pict>
          <v:group style="width:231pt;height:1pt;mso-position-horizontal-relative:char;mso-position-vertical-relative:line" coordorigin="0,0" coordsize="4620,20">
            <v:line style="position:absolute" from="10,10" to="4610,10" stroked="true" strokeweight="1pt" strokecolor="#231f20">
              <v:stroke dashstyle="solid"/>
            </v:line>
          </v:group>
        </w:pict>
      </w:r>
      <w:r>
        <w:rPr>
          <w:sz w:val="2"/>
        </w:rPr>
      </w:r>
    </w:p>
    <w:p>
      <w:pPr>
        <w:spacing w:after="0" w:line="20" w:lineRule="exact"/>
        <w:rPr>
          <w:sz w:val="2"/>
        </w:rPr>
        <w:sectPr>
          <w:type w:val="continuous"/>
          <w:pgSz w:w="11880" w:h="15480"/>
          <w:pgMar w:top="1260" w:bottom="280" w:left="1280" w:right="1220"/>
          <w:cols w:num="2" w:equalWidth="0">
            <w:col w:w="3340" w:space="495"/>
            <w:col w:w="554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0"/>
        </w:rPr>
      </w:pPr>
    </w:p>
    <w:p>
      <w:pPr>
        <w:pStyle w:val="ListParagraph"/>
        <w:numPr>
          <w:ilvl w:val="0"/>
          <w:numId w:val="10"/>
        </w:numPr>
        <w:tabs>
          <w:tab w:pos="391" w:val="left" w:leader="none"/>
        </w:tabs>
        <w:spacing w:line="249" w:lineRule="auto" w:before="0" w:after="0"/>
        <w:ind w:left="100" w:right="158" w:firstLine="0"/>
        <w:jc w:val="both"/>
        <w:rPr>
          <w:sz w:val="20"/>
        </w:rPr>
      </w:pPr>
      <w:r>
        <w:rPr>
          <w:color w:val="231F20"/>
          <w:sz w:val="20"/>
        </w:rPr>
        <w:t>Brent crude oil average market prices as of January 20, 2017, were approximately $56 and $57 per barrel for first quarter 2017 and full year 2017,</w:t>
      </w:r>
      <w:r>
        <w:rPr>
          <w:color w:val="231F20"/>
          <w:spacing w:val="3"/>
          <w:sz w:val="20"/>
        </w:rPr>
        <w:t> </w:t>
      </w:r>
      <w:r>
        <w:rPr>
          <w:color w:val="231F20"/>
          <w:sz w:val="20"/>
        </w:rPr>
        <w:t>respectively.</w:t>
      </w:r>
    </w:p>
    <w:p>
      <w:pPr>
        <w:pStyle w:val="ListParagraph"/>
        <w:numPr>
          <w:ilvl w:val="0"/>
          <w:numId w:val="10"/>
        </w:numPr>
        <w:tabs>
          <w:tab w:pos="386" w:val="left" w:leader="none"/>
        </w:tabs>
        <w:spacing w:line="249" w:lineRule="auto" w:before="0" w:after="0"/>
        <w:ind w:left="100" w:right="158" w:firstLine="0"/>
        <w:jc w:val="both"/>
        <w:rPr>
          <w:sz w:val="20"/>
        </w:rPr>
      </w:pPr>
      <w:r>
        <w:rPr>
          <w:color w:val="231F20"/>
          <w:sz w:val="20"/>
        </w:rPr>
        <w:t>The economic fuel price per gallon sensitivities provided assume the relationship between Brent crude oil and refined products based on market prices as of January 20, 2017. Economic fuel cost projections do not reflect the potential impact of special items because the Company cannot reliably predict or estimate the hedge accounting impact associated with the volatility of the energy markets or the impact to its financial statements in future periods. Accordingly, the Company believes a reconciliation of non-GAAP financial measures to the equivalent GAAP financial measures for projected results is not meaningful or available without unreasonable</w:t>
      </w:r>
      <w:r>
        <w:rPr>
          <w:color w:val="231F20"/>
          <w:spacing w:val="8"/>
          <w:sz w:val="20"/>
        </w:rPr>
        <w:t> </w:t>
      </w:r>
      <w:r>
        <w:rPr>
          <w:color w:val="231F20"/>
          <w:sz w:val="20"/>
        </w:rPr>
        <w:t>effort.</w:t>
      </w:r>
    </w:p>
    <w:p>
      <w:pPr>
        <w:pStyle w:val="ListParagraph"/>
        <w:numPr>
          <w:ilvl w:val="0"/>
          <w:numId w:val="10"/>
        </w:numPr>
        <w:tabs>
          <w:tab w:pos="384" w:val="left" w:leader="none"/>
        </w:tabs>
        <w:spacing w:line="240" w:lineRule="auto" w:before="0" w:after="0"/>
        <w:ind w:left="384" w:right="0" w:hanging="284"/>
        <w:jc w:val="both"/>
        <w:rPr>
          <w:sz w:val="20"/>
        </w:rPr>
      </w:pPr>
      <w:r>
        <w:rPr>
          <w:color w:val="231F20"/>
          <w:sz w:val="20"/>
        </w:rPr>
        <w:t>Fuel hedge premium expense is recognized as a component of Other (gains) losses,</w:t>
      </w:r>
      <w:r>
        <w:rPr>
          <w:color w:val="231F20"/>
          <w:spacing w:val="5"/>
          <w:sz w:val="20"/>
        </w:rPr>
        <w:t> </w:t>
      </w:r>
      <w:r>
        <w:rPr>
          <w:color w:val="231F20"/>
          <w:sz w:val="20"/>
        </w:rPr>
        <w:t>net.</w:t>
      </w:r>
    </w:p>
    <w:p>
      <w:pPr>
        <w:pStyle w:val="BodyText"/>
        <w:spacing w:before="9"/>
        <w:rPr>
          <w:sz w:val="21"/>
        </w:rPr>
      </w:pPr>
    </w:p>
    <w:p>
      <w:pPr>
        <w:pStyle w:val="BodyText"/>
        <w:spacing w:line="247" w:lineRule="auto"/>
        <w:ind w:left="100" w:right="158"/>
        <w:jc w:val="both"/>
      </w:pPr>
      <w:r>
        <w:rPr>
          <w:color w:val="231F20"/>
        </w:rPr>
        <w:t>Maintenance materials and repairs expense for 2016 increased by $40 million, or 4.0 percent,  compared with 2015. On a per ASM basis, Maintenance materials and repairs expense for 2016 decreased</w:t>
      </w:r>
      <w:r>
        <w:rPr>
          <w:color w:val="231F20"/>
          <w:spacing w:val="46"/>
        </w:rPr>
        <w:t> </w:t>
      </w:r>
      <w:r>
        <w:rPr>
          <w:color w:val="231F20"/>
        </w:rPr>
        <w:t>2.8</w:t>
      </w:r>
      <w:r>
        <w:rPr>
          <w:color w:val="231F20"/>
          <w:spacing w:val="45"/>
        </w:rPr>
        <w:t> </w:t>
      </w:r>
      <w:r>
        <w:rPr>
          <w:color w:val="231F20"/>
        </w:rPr>
        <w:t>percent,</w:t>
      </w:r>
      <w:r>
        <w:rPr>
          <w:color w:val="231F20"/>
          <w:spacing w:val="45"/>
        </w:rPr>
        <w:t> </w:t>
      </w:r>
      <w:r>
        <w:rPr>
          <w:color w:val="231F20"/>
        </w:rPr>
        <w:t>compared</w:t>
      </w:r>
      <w:r>
        <w:rPr>
          <w:color w:val="231F20"/>
          <w:spacing w:val="45"/>
        </w:rPr>
        <w:t> </w:t>
      </w:r>
      <w:r>
        <w:rPr>
          <w:color w:val="231F20"/>
        </w:rPr>
        <w:t>with</w:t>
      </w:r>
      <w:r>
        <w:rPr>
          <w:color w:val="231F20"/>
          <w:spacing w:val="44"/>
        </w:rPr>
        <w:t> </w:t>
      </w:r>
      <w:r>
        <w:rPr>
          <w:color w:val="231F20"/>
        </w:rPr>
        <w:t>2015,</w:t>
      </w:r>
      <w:r>
        <w:rPr>
          <w:color w:val="231F20"/>
          <w:spacing w:val="45"/>
        </w:rPr>
        <w:t> </w:t>
      </w:r>
      <w:r>
        <w:rPr>
          <w:color w:val="231F20"/>
        </w:rPr>
        <w:t>as</w:t>
      </w:r>
      <w:r>
        <w:rPr>
          <w:color w:val="231F20"/>
          <w:spacing w:val="45"/>
        </w:rPr>
        <w:t> </w:t>
      </w:r>
      <w:r>
        <w:rPr>
          <w:color w:val="231F20"/>
        </w:rPr>
        <w:t>the</w:t>
      </w:r>
      <w:r>
        <w:rPr>
          <w:color w:val="231F20"/>
          <w:spacing w:val="45"/>
        </w:rPr>
        <w:t> </w:t>
      </w:r>
      <w:r>
        <w:rPr>
          <w:color w:val="231F20"/>
        </w:rPr>
        <w:t>dollar</w:t>
      </w:r>
      <w:r>
        <w:rPr>
          <w:color w:val="231F20"/>
          <w:spacing w:val="44"/>
        </w:rPr>
        <w:t> </w:t>
      </w:r>
      <w:r>
        <w:rPr>
          <w:color w:val="231F20"/>
        </w:rPr>
        <w:t>increases</w:t>
      </w:r>
      <w:r>
        <w:rPr>
          <w:color w:val="231F20"/>
          <w:spacing w:val="46"/>
        </w:rPr>
        <w:t> </w:t>
      </w:r>
      <w:r>
        <w:rPr>
          <w:color w:val="231F20"/>
        </w:rPr>
        <w:t>were</w:t>
      </w:r>
      <w:r>
        <w:rPr>
          <w:color w:val="231F20"/>
          <w:spacing w:val="45"/>
        </w:rPr>
        <w:t> </w:t>
      </w:r>
      <w:r>
        <w:rPr>
          <w:color w:val="231F20"/>
        </w:rPr>
        <w:t>more</w:t>
      </w:r>
      <w:r>
        <w:rPr>
          <w:color w:val="231F20"/>
          <w:spacing w:val="43"/>
        </w:rPr>
        <w:t> </w:t>
      </w:r>
      <w:r>
        <w:rPr>
          <w:color w:val="231F20"/>
        </w:rPr>
        <w:t>than</w:t>
      </w:r>
      <w:r>
        <w:rPr>
          <w:color w:val="231F20"/>
          <w:spacing w:val="44"/>
        </w:rPr>
        <w:t> </w:t>
      </w:r>
      <w:r>
        <w:rPr>
          <w:color w:val="231F20"/>
        </w:rPr>
        <w:t>offset</w:t>
      </w:r>
      <w:r>
        <w:rPr>
          <w:color w:val="231F20"/>
          <w:spacing w:val="44"/>
        </w:rPr>
        <w:t> </w:t>
      </w:r>
      <w:r>
        <w:rPr>
          <w:color w:val="231F20"/>
        </w:rPr>
        <w:t>by</w:t>
      </w:r>
      <w:r>
        <w:rPr>
          <w:color w:val="231F20"/>
          <w:spacing w:val="44"/>
        </w:rPr>
        <w:t> </w:t>
      </w:r>
      <w:r>
        <w:rPr>
          <w:color w:val="231F20"/>
        </w:rPr>
        <w:t>the</w:t>
      </w:r>
    </w:p>
    <w:p>
      <w:pPr>
        <w:spacing w:after="0" w:line="247" w:lineRule="auto"/>
        <w:jc w:val="both"/>
        <w:sectPr>
          <w:type w:val="continuous"/>
          <w:pgSz w:w="11880" w:h="15480"/>
          <w:pgMar w:top="1260" w:bottom="280" w:left="1280" w:right="1220"/>
        </w:sectPr>
      </w:pPr>
    </w:p>
    <w:p>
      <w:pPr>
        <w:pStyle w:val="BodyText"/>
        <w:spacing w:line="247" w:lineRule="auto" w:before="74"/>
        <w:ind w:left="100" w:right="117"/>
        <w:jc w:val="both"/>
      </w:pPr>
      <w:r>
        <w:rPr>
          <w:color w:val="231F20"/>
        </w:rPr>
        <w:t>5.7 percent increase in capacity. On a dollar basis, the majority of the increase was attributable to the timing of regular maintenance checks and ongoing cabin refresh projects including updates for the Company’s new Heart cabin interior. These increases were partially offset by lower engine expense as a result of the early retirement of the Classic fleet, as this decrease in engine repairs was only partially offset by higher 737-700 engine expense due to increased flight hours. The Company currently expects Maintenance materials and repairs expense per ASM for first quarter 2017 to be comparable  with fourth quarter 2016 unit cost of 0.66</w:t>
      </w:r>
      <w:r>
        <w:rPr>
          <w:color w:val="231F20"/>
          <w:spacing w:val="-4"/>
        </w:rPr>
        <w:t> </w:t>
      </w:r>
      <w:r>
        <w:rPr>
          <w:color w:val="231F20"/>
        </w:rPr>
        <w:t>cents.</w:t>
      </w:r>
    </w:p>
    <w:p>
      <w:pPr>
        <w:pStyle w:val="BodyText"/>
        <w:spacing w:before="5"/>
      </w:pPr>
    </w:p>
    <w:p>
      <w:pPr>
        <w:pStyle w:val="BodyText"/>
        <w:spacing w:line="247" w:lineRule="auto"/>
        <w:ind w:left="100" w:right="117"/>
        <w:jc w:val="both"/>
      </w:pPr>
      <w:r>
        <w:rPr>
          <w:color w:val="231F20"/>
        </w:rPr>
        <w:t>Aircraft rentals expense for 2016 decreased by $9 million, or 3.8 percent, compared with 2015. On a per ASM basis, Aircraft rentals expense decreased 11.8 percent, compared with 2015. On both a dollar and per ASM basis, the decrease was primarily due to the retirement of five 737-300 leased aircraft  and two 737-500 leased aircraft since 2015, as well as the purchase of five leased 737-300s that were previously on operating lease during 2016. See the accompanying Note Regarding Use of Non-GAAP Financial Measures for further information. The Company currently expects Aircraft rentals expense per ASM for first quarter 2017 to be comparable with fourth quarter 2016 unit cost of 0.15</w:t>
      </w:r>
      <w:r>
        <w:rPr>
          <w:color w:val="231F20"/>
          <w:spacing w:val="-9"/>
        </w:rPr>
        <w:t> </w:t>
      </w:r>
      <w:r>
        <w:rPr>
          <w:color w:val="231F20"/>
        </w:rPr>
        <w:t>cents.</w:t>
      </w:r>
    </w:p>
    <w:p>
      <w:pPr>
        <w:pStyle w:val="BodyText"/>
        <w:spacing w:before="5"/>
      </w:pPr>
    </w:p>
    <w:p>
      <w:pPr>
        <w:pStyle w:val="BodyText"/>
        <w:spacing w:line="247" w:lineRule="auto"/>
        <w:ind w:left="100" w:right="118"/>
        <w:jc w:val="both"/>
      </w:pPr>
      <w:r>
        <w:rPr>
          <w:color w:val="231F20"/>
        </w:rPr>
        <w:t>Landing fees and other rentals expense for 2016 increased by $45 million, or 3.9 percent, compared with  2015.  On  a  per  ASM  basis,  Landing  fees  and  other  rentals  expense  for  2016      decreased</w:t>
      </w:r>
    </w:p>
    <w:p>
      <w:pPr>
        <w:pStyle w:val="BodyText"/>
        <w:spacing w:line="247" w:lineRule="auto"/>
        <w:ind w:left="100" w:right="117"/>
        <w:jc w:val="both"/>
      </w:pPr>
      <w:r>
        <w:rPr>
          <w:color w:val="231F20"/>
        </w:rPr>
        <w:t>1.2 percent, compared with 2015, as the dollar increases were more than offset by the 5.7 percent increase in capacity. On a dollar basis, approximately 70 percent of the increase was due to higher space rental rates and usage at various airports. The remainder was due to a 3.5 percent increase in Trips flown coupled with heavier landing weights for the Company’s higher capacity 737- 800 aircraft, which now make up a larger portion of the Company’s fleet than in 2015. The Company currently expects Landing fees and other rentals expense per ASM for first quarter 2017 to be comparable with first quarter 2016.</w:t>
      </w:r>
    </w:p>
    <w:p>
      <w:pPr>
        <w:pStyle w:val="BodyText"/>
        <w:spacing w:before="6"/>
      </w:pPr>
    </w:p>
    <w:p>
      <w:pPr>
        <w:pStyle w:val="BodyText"/>
        <w:spacing w:line="247" w:lineRule="auto"/>
        <w:ind w:left="100" w:right="117"/>
        <w:jc w:val="both"/>
      </w:pPr>
      <w:r>
        <w:rPr>
          <w:color w:val="231F20"/>
        </w:rPr>
        <w:t>Depreciation and amortization expense for 2016 increased by $206 million, or 20.3 percent, compared with 2015. On a per ASM basis, Depreciation and amortization expense increased 13.9 percent, compared  with  2015.  On  both  a  dollar  and  per  ASM  basis,  approximately  60  percent  of         the increase was due to the accelerated depreciation expense resulting from a change in the estimated retirement dates of many of the Company’s owned Classic fleet from mid-2021 to third quarter 2017. The remainder of the increase  was due to the purchase  and capital lease of new and used aircraft  since 2015. The Company currently expects Depreciation and amortization expense per ASM for first quarter 2017 to increase, compared with first quarter 2016, primarily due to the purchase and capital lease of new and used aircraft since first quarter 2016 as well as depreciation associated with the implementation of technology assets, partially offset by lower depreciation, year-over-year, related to the accelerated retirement of the Classic fleet. See Note 1 to the Consolidated Financial Statements for further</w:t>
      </w:r>
      <w:r>
        <w:rPr>
          <w:color w:val="231F20"/>
          <w:spacing w:val="-1"/>
        </w:rPr>
        <w:t> </w:t>
      </w:r>
      <w:r>
        <w:rPr>
          <w:color w:val="231F20"/>
        </w:rPr>
        <w:t>information.</w:t>
      </w:r>
    </w:p>
    <w:p>
      <w:pPr>
        <w:pStyle w:val="BodyText"/>
        <w:spacing w:before="5"/>
      </w:pPr>
    </w:p>
    <w:p>
      <w:pPr>
        <w:pStyle w:val="BodyText"/>
        <w:spacing w:line="247" w:lineRule="auto"/>
        <w:ind w:left="100" w:right="117"/>
        <w:jc w:val="both"/>
      </w:pPr>
      <w:r>
        <w:rPr>
          <w:color w:val="231F20"/>
        </w:rPr>
        <w:t>The Company incurred no Acquisition and integration costs in 2016, compared with $39 million in 2015. The 2015 costs primarily consisted of Employee training and certain expenses associated with  the grounding and conversion costs resulting from the transition of the Company’s Boeing 717-200 fleet (“B717s”) to Delta Air Lines (“Delta”). See Note 7 to the Consolidated Financial Statements for further</w:t>
      </w:r>
      <w:r>
        <w:rPr>
          <w:color w:val="231F20"/>
          <w:spacing w:val="-1"/>
        </w:rPr>
        <w:t> </w:t>
      </w:r>
      <w:r>
        <w:rPr>
          <w:color w:val="231F20"/>
        </w:rPr>
        <w:t>information.</w:t>
      </w:r>
    </w:p>
    <w:p>
      <w:pPr>
        <w:pStyle w:val="BodyText"/>
        <w:spacing w:before="5"/>
      </w:pPr>
    </w:p>
    <w:p>
      <w:pPr>
        <w:pStyle w:val="BodyText"/>
        <w:spacing w:line="247" w:lineRule="auto"/>
        <w:ind w:left="100" w:right="117"/>
        <w:jc w:val="both"/>
      </w:pPr>
      <w:r>
        <w:rPr>
          <w:color w:val="231F20"/>
        </w:rPr>
        <w:t>Other operating expenses for 2016 increased by $272 million, or 12.1 percent, compared with 2015.  On a per ASM basis, Other operating expenses for 2016 increased 6.9 percent, compared with 2015.  On</w:t>
      </w:r>
      <w:r>
        <w:rPr>
          <w:color w:val="231F20"/>
          <w:spacing w:val="38"/>
        </w:rPr>
        <w:t> </w:t>
      </w:r>
      <w:r>
        <w:rPr>
          <w:color w:val="231F20"/>
        </w:rPr>
        <w:t>both</w:t>
      </w:r>
      <w:r>
        <w:rPr>
          <w:color w:val="231F20"/>
          <w:spacing w:val="37"/>
        </w:rPr>
        <w:t> </w:t>
      </w:r>
      <w:r>
        <w:rPr>
          <w:color w:val="231F20"/>
        </w:rPr>
        <w:t>a</w:t>
      </w:r>
      <w:r>
        <w:rPr>
          <w:color w:val="231F20"/>
          <w:spacing w:val="38"/>
        </w:rPr>
        <w:t> </w:t>
      </w:r>
      <w:r>
        <w:rPr>
          <w:color w:val="231F20"/>
        </w:rPr>
        <w:t>dollar</w:t>
      </w:r>
      <w:r>
        <w:rPr>
          <w:color w:val="231F20"/>
          <w:spacing w:val="37"/>
        </w:rPr>
        <w:t> </w:t>
      </w:r>
      <w:r>
        <w:rPr>
          <w:color w:val="231F20"/>
        </w:rPr>
        <w:t>and</w:t>
      </w:r>
      <w:r>
        <w:rPr>
          <w:color w:val="231F20"/>
          <w:spacing w:val="38"/>
        </w:rPr>
        <w:t> </w:t>
      </w:r>
      <w:r>
        <w:rPr>
          <w:color w:val="231F20"/>
        </w:rPr>
        <w:t>per</w:t>
      </w:r>
      <w:r>
        <w:rPr>
          <w:color w:val="231F20"/>
          <w:spacing w:val="38"/>
        </w:rPr>
        <w:t> </w:t>
      </w:r>
      <w:r>
        <w:rPr>
          <w:color w:val="231F20"/>
        </w:rPr>
        <w:t>ASM</w:t>
      </w:r>
      <w:r>
        <w:rPr>
          <w:color w:val="231F20"/>
          <w:spacing w:val="37"/>
        </w:rPr>
        <w:t> </w:t>
      </w:r>
      <w:r>
        <w:rPr>
          <w:color w:val="231F20"/>
        </w:rPr>
        <w:t>basis,</w:t>
      </w:r>
      <w:r>
        <w:rPr>
          <w:color w:val="231F20"/>
          <w:spacing w:val="38"/>
        </w:rPr>
        <w:t> </w:t>
      </w:r>
      <w:r>
        <w:rPr>
          <w:color w:val="231F20"/>
        </w:rPr>
        <w:t>approximately</w:t>
      </w:r>
      <w:r>
        <w:rPr>
          <w:color w:val="231F20"/>
          <w:spacing w:val="37"/>
        </w:rPr>
        <w:t> </w:t>
      </w:r>
      <w:r>
        <w:rPr>
          <w:color w:val="231F20"/>
        </w:rPr>
        <w:t>30</w:t>
      </w:r>
      <w:r>
        <w:rPr>
          <w:color w:val="231F20"/>
          <w:spacing w:val="37"/>
        </w:rPr>
        <w:t> </w:t>
      </w:r>
      <w:r>
        <w:rPr>
          <w:color w:val="231F20"/>
        </w:rPr>
        <w:t>percent</w:t>
      </w:r>
      <w:r>
        <w:rPr>
          <w:color w:val="231F20"/>
          <w:spacing w:val="37"/>
        </w:rPr>
        <w:t> </w:t>
      </w:r>
      <w:r>
        <w:rPr>
          <w:color w:val="231F20"/>
        </w:rPr>
        <w:t>of</w:t>
      </w:r>
      <w:r>
        <w:rPr>
          <w:color w:val="231F20"/>
          <w:spacing w:val="36"/>
        </w:rPr>
        <w:t> </w:t>
      </w:r>
      <w:r>
        <w:rPr>
          <w:color w:val="231F20"/>
        </w:rPr>
        <w:t>the</w:t>
      </w:r>
      <w:r>
        <w:rPr>
          <w:color w:val="231F20"/>
          <w:spacing w:val="37"/>
        </w:rPr>
        <w:t> </w:t>
      </w:r>
      <w:r>
        <w:rPr>
          <w:color w:val="231F20"/>
        </w:rPr>
        <w:t>increase</w:t>
      </w:r>
      <w:r>
        <w:rPr>
          <w:color w:val="231F20"/>
          <w:spacing w:val="38"/>
        </w:rPr>
        <w:t> </w:t>
      </w:r>
      <w:r>
        <w:rPr>
          <w:color w:val="231F20"/>
        </w:rPr>
        <w:t>was</w:t>
      </w:r>
      <w:r>
        <w:rPr>
          <w:color w:val="231F20"/>
          <w:spacing w:val="37"/>
        </w:rPr>
        <w:t> </w:t>
      </w:r>
      <w:r>
        <w:rPr>
          <w:color w:val="231F20"/>
        </w:rPr>
        <w:t>due</w:t>
      </w:r>
      <w:r>
        <w:rPr>
          <w:color w:val="231F20"/>
          <w:spacing w:val="37"/>
        </w:rPr>
        <w:t> </w:t>
      </w:r>
      <w:r>
        <w:rPr>
          <w:color w:val="231F20"/>
        </w:rPr>
        <w:t>to</w:t>
      </w:r>
      <w:r>
        <w:rPr>
          <w:color w:val="231F20"/>
          <w:spacing w:val="36"/>
        </w:rPr>
        <w:t> </w:t>
      </w:r>
      <w:r>
        <w:rPr>
          <w:color w:val="231F20"/>
        </w:rPr>
        <w:t>higher</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contract programming and consulting expenses associated with large technology projects and approximately 15 percent of the increase was due to increased personnel expenses. Other operating expenses for 2016 also increased as the result  of  a  $37  million  litigation  settlement  received  during 2015 which reduced 2015 Other operating expenses, a $22 million lease termination expense as a</w:t>
      </w:r>
      <w:r>
        <w:rPr>
          <w:color w:val="231F20"/>
          <w:spacing w:val="44"/>
        </w:rPr>
        <w:t> </w:t>
      </w:r>
      <w:r>
        <w:rPr>
          <w:color w:val="231F20"/>
        </w:rPr>
        <w:t>result</w:t>
      </w:r>
      <w:r>
        <w:rPr>
          <w:color w:val="231F20"/>
          <w:spacing w:val="44"/>
        </w:rPr>
        <w:t> </w:t>
      </w:r>
      <w:r>
        <w:rPr>
          <w:color w:val="231F20"/>
        </w:rPr>
        <w:t>of</w:t>
      </w:r>
      <w:r>
        <w:rPr>
          <w:color w:val="231F20"/>
          <w:spacing w:val="43"/>
        </w:rPr>
        <w:t> </w:t>
      </w:r>
      <w:r>
        <w:rPr>
          <w:color w:val="231F20"/>
        </w:rPr>
        <w:t>the</w:t>
      </w:r>
      <w:r>
        <w:rPr>
          <w:color w:val="231F20"/>
          <w:spacing w:val="44"/>
        </w:rPr>
        <w:t> </w:t>
      </w:r>
      <w:r>
        <w:rPr>
          <w:color w:val="231F20"/>
        </w:rPr>
        <w:t>Company</w:t>
      </w:r>
      <w:r>
        <w:rPr>
          <w:color w:val="231F20"/>
          <w:spacing w:val="43"/>
        </w:rPr>
        <w:t> </w:t>
      </w:r>
      <w:r>
        <w:rPr>
          <w:color w:val="231F20"/>
        </w:rPr>
        <w:t>acquiring</w:t>
      </w:r>
      <w:r>
        <w:rPr>
          <w:color w:val="231F20"/>
          <w:spacing w:val="43"/>
        </w:rPr>
        <w:t> </w:t>
      </w:r>
      <w:r>
        <w:rPr>
          <w:color w:val="231F20"/>
        </w:rPr>
        <w:t>five</w:t>
      </w:r>
      <w:r>
        <w:rPr>
          <w:color w:val="231F20"/>
          <w:spacing w:val="42"/>
        </w:rPr>
        <w:t> </w:t>
      </w:r>
      <w:r>
        <w:rPr>
          <w:color w:val="231F20"/>
        </w:rPr>
        <w:t>of</w:t>
      </w:r>
      <w:r>
        <w:rPr>
          <w:color w:val="231F20"/>
          <w:spacing w:val="42"/>
        </w:rPr>
        <w:t> </w:t>
      </w:r>
      <w:r>
        <w:rPr>
          <w:color w:val="231F20"/>
        </w:rPr>
        <w:t>its</w:t>
      </w:r>
      <w:r>
        <w:rPr>
          <w:color w:val="231F20"/>
          <w:spacing w:val="43"/>
        </w:rPr>
        <w:t> </w:t>
      </w:r>
      <w:r>
        <w:rPr>
          <w:color w:val="231F20"/>
        </w:rPr>
        <w:t>Boeing</w:t>
      </w:r>
      <w:r>
        <w:rPr>
          <w:color w:val="231F20"/>
          <w:spacing w:val="43"/>
        </w:rPr>
        <w:t> </w:t>
      </w:r>
      <w:r>
        <w:rPr>
          <w:color w:val="231F20"/>
        </w:rPr>
        <w:t>737-300</w:t>
      </w:r>
      <w:r>
        <w:rPr>
          <w:color w:val="231F20"/>
          <w:spacing w:val="42"/>
        </w:rPr>
        <w:t> </w:t>
      </w:r>
      <w:r>
        <w:rPr>
          <w:color w:val="231F20"/>
        </w:rPr>
        <w:t>aircraft</w:t>
      </w:r>
      <w:r>
        <w:rPr>
          <w:color w:val="231F20"/>
          <w:spacing w:val="42"/>
        </w:rPr>
        <w:t> </w:t>
      </w:r>
      <w:r>
        <w:rPr>
          <w:color w:val="231F20"/>
        </w:rPr>
        <w:t>off</w:t>
      </w:r>
      <w:r>
        <w:rPr>
          <w:color w:val="231F20"/>
          <w:spacing w:val="42"/>
        </w:rPr>
        <w:t> </w:t>
      </w:r>
      <w:r>
        <w:rPr>
          <w:color w:val="231F20"/>
        </w:rPr>
        <w:t>operating</w:t>
      </w:r>
      <w:r>
        <w:rPr>
          <w:color w:val="231F20"/>
          <w:spacing w:val="43"/>
        </w:rPr>
        <w:t> </w:t>
      </w:r>
      <w:r>
        <w:rPr>
          <w:color w:val="231F20"/>
        </w:rPr>
        <w:t>leases,</w:t>
      </w:r>
      <w:r>
        <w:rPr>
          <w:color w:val="231F20"/>
          <w:spacing w:val="44"/>
        </w:rPr>
        <w:t> </w:t>
      </w:r>
      <w:r>
        <w:rPr>
          <w:color w:val="231F20"/>
        </w:rPr>
        <w:t>and</w:t>
      </w:r>
      <w:r>
        <w:rPr>
          <w:color w:val="231F20"/>
          <w:spacing w:val="43"/>
        </w:rPr>
        <w:t> </w:t>
      </w:r>
      <w:r>
        <w:rPr>
          <w:color w:val="231F20"/>
        </w:rPr>
        <w:t>a</w:t>
      </w:r>
    </w:p>
    <w:p>
      <w:pPr>
        <w:pStyle w:val="BodyText"/>
        <w:spacing w:line="247" w:lineRule="auto"/>
        <w:ind w:left="120" w:right="117"/>
        <w:jc w:val="both"/>
      </w:pPr>
      <w:r>
        <w:rPr>
          <w:color w:val="231F20"/>
        </w:rPr>
        <w:t>$21 million increase due to an impairment charge related to leased slots at Newark Liberty International Airport. The remainder was due to revenue related costs driven by the 5.5 percent  increase in Revenue Passengers Carried. The Company currently expects Other operating expenses per ASM for first quarter 2017 to increase, compared with first quarter</w:t>
      </w:r>
      <w:r>
        <w:rPr>
          <w:color w:val="231F20"/>
          <w:spacing w:val="-6"/>
        </w:rPr>
        <w:t> </w:t>
      </w:r>
      <w:r>
        <w:rPr>
          <w:color w:val="231F20"/>
        </w:rPr>
        <w:t>2016.</w:t>
      </w:r>
    </w:p>
    <w:p>
      <w:pPr>
        <w:pStyle w:val="BodyText"/>
        <w:spacing w:before="10"/>
        <w:rPr>
          <w:sz w:val="20"/>
        </w:rPr>
      </w:pPr>
    </w:p>
    <w:p>
      <w:pPr>
        <w:pStyle w:val="Heading1"/>
        <w:ind w:left="120"/>
      </w:pPr>
      <w:r>
        <w:rPr>
          <w:color w:val="231F20"/>
        </w:rPr>
        <w:t>Other</w:t>
      </w:r>
    </w:p>
    <w:p>
      <w:pPr>
        <w:pStyle w:val="BodyText"/>
        <w:spacing w:before="4"/>
        <w:rPr>
          <w:b/>
          <w:sz w:val="21"/>
        </w:rPr>
      </w:pPr>
    </w:p>
    <w:p>
      <w:pPr>
        <w:pStyle w:val="BodyText"/>
        <w:spacing w:line="247" w:lineRule="auto" w:before="1"/>
        <w:ind w:left="120" w:right="118"/>
        <w:jc w:val="both"/>
      </w:pPr>
      <w:r>
        <w:rPr>
          <w:color w:val="231F20"/>
        </w:rPr>
        <w:t>Other expenses (income) include interest expense, capitalized interest, interest income, and other gains and losses.</w:t>
      </w:r>
    </w:p>
    <w:p>
      <w:pPr>
        <w:pStyle w:val="BodyText"/>
        <w:spacing w:before="9"/>
        <w:rPr>
          <w:sz w:val="20"/>
        </w:rPr>
      </w:pPr>
    </w:p>
    <w:p>
      <w:pPr>
        <w:pStyle w:val="BodyText"/>
        <w:spacing w:line="247" w:lineRule="auto" w:before="1"/>
        <w:ind w:left="120" w:right="117"/>
        <w:jc w:val="both"/>
      </w:pPr>
      <w:r>
        <w:rPr>
          <w:color w:val="231F20"/>
        </w:rPr>
        <w:t>Interest expense for 2016 increased $1 million, or 0.8 percent, compared with 2015, primarily due to the timing of debt issuances and payoffs in 2015 and</w:t>
      </w:r>
      <w:r>
        <w:rPr>
          <w:color w:val="231F20"/>
          <w:spacing w:val="-1"/>
        </w:rPr>
        <w:t> </w:t>
      </w:r>
      <w:r>
        <w:rPr>
          <w:color w:val="231F20"/>
        </w:rPr>
        <w:t>2016.</w:t>
      </w:r>
    </w:p>
    <w:p>
      <w:pPr>
        <w:pStyle w:val="BodyText"/>
        <w:spacing w:before="9"/>
        <w:rPr>
          <w:sz w:val="20"/>
        </w:rPr>
      </w:pPr>
    </w:p>
    <w:p>
      <w:pPr>
        <w:pStyle w:val="BodyText"/>
        <w:spacing w:line="247" w:lineRule="auto" w:before="1"/>
        <w:ind w:left="120" w:right="117"/>
        <w:jc w:val="both"/>
      </w:pPr>
      <w:r>
        <w:rPr>
          <w:color w:val="231F20"/>
        </w:rPr>
        <w:t>Capitalized interest for 2016 increased $16 million, or 51.6 percent, compared with 2015, primarily  due to an increase in average progress payment balances for scheduled future aircraft deliveries.</w:t>
      </w:r>
    </w:p>
    <w:p>
      <w:pPr>
        <w:pStyle w:val="BodyText"/>
        <w:spacing w:before="9"/>
        <w:rPr>
          <w:sz w:val="20"/>
        </w:rPr>
      </w:pPr>
    </w:p>
    <w:p>
      <w:pPr>
        <w:pStyle w:val="BodyText"/>
        <w:spacing w:line="247" w:lineRule="auto" w:before="1"/>
        <w:ind w:left="120" w:right="118"/>
        <w:jc w:val="both"/>
      </w:pPr>
      <w:r>
        <w:rPr>
          <w:color w:val="231F20"/>
        </w:rPr>
        <w:t>Interest income for 2016 increased $15 million, or 166.7 percent, compared with 2015, primarily due   to higher interest rates coupled with a greater amount of interest earned on cash collateral held by counterparties. See Note 10 to the Consolidated Financial Statements for further information on the Company’s derivatives.</w:t>
      </w:r>
    </w:p>
    <w:p>
      <w:pPr>
        <w:pStyle w:val="BodyText"/>
        <w:spacing w:before="9"/>
        <w:rPr>
          <w:sz w:val="20"/>
        </w:rPr>
      </w:pPr>
    </w:p>
    <w:p>
      <w:pPr>
        <w:pStyle w:val="BodyText"/>
        <w:spacing w:line="247" w:lineRule="auto" w:before="1"/>
        <w:ind w:left="12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2016, and 2015:</w:t>
      </w:r>
    </w:p>
    <w:p>
      <w:pPr>
        <w:pStyle w:val="BodyText"/>
        <w:spacing w:before="3"/>
        <w:rPr>
          <w:sz w:val="17"/>
        </w:rPr>
      </w:pPr>
    </w:p>
    <w:p>
      <w:pPr>
        <w:spacing w:before="0" w:after="27"/>
        <w:ind w:left="6760" w:right="0" w:firstLine="0"/>
        <w:jc w:val="left"/>
        <w:rPr>
          <w:b/>
          <w:sz w:val="20"/>
        </w:rPr>
      </w:pPr>
      <w:r>
        <w:rPr/>
        <w:pict>
          <v:line style="position:absolute;mso-position-horizontal-relative:page;mso-position-vertical-relative:paragraph;z-index:-377056" from="69pt,26.835938pt" to="122.25pt,26.835938pt" stroked="true" strokeweight="1pt" strokecolor="#231f20">
            <v:stroke dashstyle="solid"/>
            <w10:wrap type="none"/>
          </v:line>
        </w:pict>
      </w: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60"/>
        <w:gridCol w:w="910"/>
        <w:gridCol w:w="436"/>
        <w:gridCol w:w="134"/>
        <w:gridCol w:w="860"/>
        <w:gridCol w:w="420"/>
      </w:tblGrid>
      <w:tr>
        <w:trPr>
          <w:trHeight w:val="280" w:hRule="exact"/>
        </w:trPr>
        <w:tc>
          <w:tcPr>
            <w:tcW w:w="6360" w:type="dxa"/>
          </w:tcPr>
          <w:p>
            <w:pPr>
              <w:pStyle w:val="TableParagraph"/>
              <w:spacing w:before="23"/>
              <w:ind w:left="66"/>
              <w:rPr>
                <w:sz w:val="20"/>
              </w:rPr>
            </w:pPr>
            <w:r>
              <w:rPr>
                <w:color w:val="231F20"/>
                <w:sz w:val="20"/>
              </w:rPr>
              <w:t>(in millions)</w:t>
            </w:r>
          </w:p>
        </w:tc>
        <w:tc>
          <w:tcPr>
            <w:tcW w:w="910" w:type="dxa"/>
            <w:tcBorders>
              <w:top w:val="single" w:sz="8" w:space="0" w:color="231F20"/>
              <w:bottom w:val="single" w:sz="8" w:space="0" w:color="231F20"/>
            </w:tcBorders>
          </w:tcPr>
          <w:p>
            <w:pPr>
              <w:pStyle w:val="TableParagraph"/>
              <w:spacing w:before="13"/>
              <w:ind w:left="440"/>
              <w:rPr>
                <w:b/>
                <w:sz w:val="20"/>
              </w:rPr>
            </w:pPr>
            <w:r>
              <w:rPr>
                <w:b/>
                <w:color w:val="231F20"/>
                <w:sz w:val="20"/>
              </w:rPr>
              <w:t>2016</w:t>
            </w:r>
          </w:p>
        </w:tc>
        <w:tc>
          <w:tcPr>
            <w:tcW w:w="436" w:type="dxa"/>
            <w:tcBorders>
              <w:top w:val="single" w:sz="8" w:space="0" w:color="231F20"/>
              <w:bottom w:val="single" w:sz="8" w:space="0" w:color="231F20"/>
            </w:tcBorders>
          </w:tcPr>
          <w:p>
            <w:pPr/>
          </w:p>
        </w:tc>
        <w:tc>
          <w:tcPr>
            <w:tcW w:w="134" w:type="dxa"/>
            <w:tcBorders>
              <w:top w:val="single" w:sz="8" w:space="0" w:color="231F20"/>
            </w:tcBorders>
          </w:tcPr>
          <w:p>
            <w:pPr/>
          </w:p>
        </w:tc>
        <w:tc>
          <w:tcPr>
            <w:tcW w:w="860" w:type="dxa"/>
            <w:tcBorders>
              <w:top w:val="single" w:sz="8" w:space="0" w:color="231F20"/>
              <w:bottom w:val="single" w:sz="8" w:space="0" w:color="231F20"/>
            </w:tcBorders>
          </w:tcPr>
          <w:p>
            <w:pPr>
              <w:pStyle w:val="TableParagraph"/>
              <w:spacing w:before="13"/>
              <w:ind w:left="440"/>
              <w:rPr>
                <w:b/>
                <w:sz w:val="20"/>
              </w:rPr>
            </w:pPr>
            <w:r>
              <w:rPr>
                <w:b/>
                <w:color w:val="231F20"/>
                <w:sz w:val="20"/>
              </w:rPr>
              <w:t>2015</w:t>
            </w:r>
          </w:p>
        </w:tc>
        <w:tc>
          <w:tcPr>
            <w:tcW w:w="420" w:type="dxa"/>
            <w:tcBorders>
              <w:top w:val="single" w:sz="8" w:space="0" w:color="231F20"/>
              <w:bottom w:val="single" w:sz="8" w:space="0" w:color="231F20"/>
            </w:tcBorders>
          </w:tcPr>
          <w:p>
            <w:pPr/>
          </w:p>
        </w:tc>
      </w:tr>
      <w:tr>
        <w:trPr>
          <w:trHeight w:val="310" w:hRule="exact"/>
        </w:trPr>
        <w:tc>
          <w:tcPr>
            <w:tcW w:w="6360" w:type="dxa"/>
            <w:shd w:val="clear" w:color="auto" w:fill="D1D3D4"/>
          </w:tcPr>
          <w:p>
            <w:pPr>
              <w:pStyle w:val="TableParagraph"/>
              <w:ind w:left="66"/>
              <w:rPr>
                <w:sz w:val="20"/>
              </w:rPr>
            </w:pPr>
            <w:r>
              <w:rPr>
                <w:color w:val="231F20"/>
                <w:sz w:val="20"/>
              </w:rPr>
              <w:t>Mark-to-market impact from fuel contracts settling in future periods</w:t>
            </w:r>
          </w:p>
        </w:tc>
        <w:tc>
          <w:tcPr>
            <w:tcW w:w="910" w:type="dxa"/>
            <w:tcBorders>
              <w:top w:val="single" w:sz="8" w:space="0" w:color="231F20"/>
            </w:tcBorders>
            <w:shd w:val="clear" w:color="auto" w:fill="D1D3D4"/>
          </w:tcPr>
          <w:p>
            <w:pPr>
              <w:pStyle w:val="TableParagraph"/>
              <w:rPr>
                <w:sz w:val="20"/>
              </w:rPr>
            </w:pPr>
            <w:r>
              <w:rPr>
                <w:color w:val="231F20"/>
                <w:sz w:val="20"/>
              </w:rPr>
              <w:t>$</w:t>
            </w:r>
          </w:p>
        </w:tc>
        <w:tc>
          <w:tcPr>
            <w:tcW w:w="436" w:type="dxa"/>
            <w:tcBorders>
              <w:top w:val="single" w:sz="8" w:space="0" w:color="231F20"/>
            </w:tcBorders>
            <w:shd w:val="clear" w:color="auto" w:fill="D1D3D4"/>
          </w:tcPr>
          <w:p>
            <w:pPr>
              <w:pStyle w:val="TableParagraph"/>
              <w:ind w:left="270"/>
              <w:rPr>
                <w:sz w:val="20"/>
              </w:rPr>
            </w:pPr>
            <w:r>
              <w:rPr>
                <w:color w:val="231F20"/>
                <w:sz w:val="20"/>
              </w:rPr>
              <w:t>9</w:t>
            </w:r>
          </w:p>
        </w:tc>
        <w:tc>
          <w:tcPr>
            <w:tcW w:w="134" w:type="dxa"/>
            <w:shd w:val="clear" w:color="auto" w:fill="D1D3D4"/>
          </w:tcPr>
          <w:p>
            <w:pPr/>
          </w:p>
        </w:tc>
        <w:tc>
          <w:tcPr>
            <w:tcW w:w="860" w:type="dxa"/>
            <w:tcBorders>
              <w:top w:val="single" w:sz="8" w:space="0" w:color="231F20"/>
            </w:tcBorders>
            <w:shd w:val="clear" w:color="auto" w:fill="D1D3D4"/>
          </w:tcPr>
          <w:p>
            <w:pPr>
              <w:pStyle w:val="TableParagraph"/>
              <w:rPr>
                <w:sz w:val="20"/>
              </w:rPr>
            </w:pPr>
            <w:r>
              <w:rPr>
                <w:color w:val="231F20"/>
                <w:sz w:val="20"/>
              </w:rPr>
              <w:t>$</w:t>
            </w:r>
          </w:p>
        </w:tc>
        <w:tc>
          <w:tcPr>
            <w:tcW w:w="420" w:type="dxa"/>
            <w:tcBorders>
              <w:top w:val="single" w:sz="8" w:space="0" w:color="231F20"/>
            </w:tcBorders>
            <w:shd w:val="clear" w:color="auto" w:fill="D1D3D4"/>
          </w:tcPr>
          <w:p>
            <w:pPr>
              <w:pStyle w:val="TableParagraph"/>
              <w:ind w:right="97"/>
              <w:jc w:val="right"/>
              <w:rPr>
                <w:sz w:val="20"/>
              </w:rPr>
            </w:pPr>
            <w:r>
              <w:rPr>
                <w:color w:val="231F20"/>
                <w:sz w:val="20"/>
              </w:rPr>
              <w:t>373</w:t>
            </w:r>
          </w:p>
        </w:tc>
      </w:tr>
      <w:tr>
        <w:trPr>
          <w:trHeight w:val="300" w:hRule="exact"/>
        </w:trPr>
        <w:tc>
          <w:tcPr>
            <w:tcW w:w="6360" w:type="dxa"/>
          </w:tcPr>
          <w:p>
            <w:pPr>
              <w:pStyle w:val="TableParagraph"/>
              <w:ind w:left="66"/>
              <w:rPr>
                <w:sz w:val="20"/>
              </w:rPr>
            </w:pPr>
            <w:r>
              <w:rPr>
                <w:color w:val="231F20"/>
                <w:sz w:val="20"/>
              </w:rPr>
              <w:t>Ineffectiveness from fuel hedges settling in future periods</w:t>
            </w:r>
          </w:p>
        </w:tc>
        <w:tc>
          <w:tcPr>
            <w:tcW w:w="910" w:type="dxa"/>
          </w:tcPr>
          <w:p>
            <w:pPr/>
          </w:p>
        </w:tc>
        <w:tc>
          <w:tcPr>
            <w:tcW w:w="436" w:type="dxa"/>
          </w:tcPr>
          <w:p>
            <w:pPr>
              <w:pStyle w:val="TableParagraph"/>
              <w:ind w:left="103"/>
              <w:rPr>
                <w:sz w:val="20"/>
              </w:rPr>
            </w:pPr>
            <w:r>
              <w:rPr>
                <w:color w:val="231F20"/>
                <w:w w:val="95"/>
                <w:sz w:val="20"/>
              </w:rPr>
              <w:t>(11)</w:t>
            </w:r>
          </w:p>
        </w:tc>
        <w:tc>
          <w:tcPr>
            <w:tcW w:w="134" w:type="dxa"/>
          </w:tcPr>
          <w:p>
            <w:pPr/>
          </w:p>
        </w:tc>
        <w:tc>
          <w:tcPr>
            <w:tcW w:w="860" w:type="dxa"/>
          </w:tcPr>
          <w:p>
            <w:pPr/>
          </w:p>
        </w:tc>
        <w:tc>
          <w:tcPr>
            <w:tcW w:w="420" w:type="dxa"/>
          </w:tcPr>
          <w:p>
            <w:pPr>
              <w:pStyle w:val="TableParagraph"/>
              <w:ind w:right="48"/>
              <w:jc w:val="right"/>
              <w:rPr>
                <w:sz w:val="20"/>
              </w:rPr>
            </w:pPr>
            <w:r>
              <w:rPr>
                <w:color w:val="231F20"/>
                <w:sz w:val="20"/>
              </w:rPr>
              <w:t>(9)</w:t>
            </w:r>
          </w:p>
        </w:tc>
      </w:tr>
      <w:tr>
        <w:trPr>
          <w:trHeight w:val="300" w:hRule="exact"/>
        </w:trPr>
        <w:tc>
          <w:tcPr>
            <w:tcW w:w="6360" w:type="dxa"/>
            <w:shd w:val="clear" w:color="auto" w:fill="D1D3D4"/>
          </w:tcPr>
          <w:p>
            <w:pPr>
              <w:pStyle w:val="TableParagraph"/>
              <w:ind w:left="66"/>
              <w:rPr>
                <w:sz w:val="20"/>
              </w:rPr>
            </w:pPr>
            <w:r>
              <w:rPr>
                <w:color w:val="231F20"/>
                <w:sz w:val="20"/>
              </w:rPr>
              <w:t>Realized ineffectiveness and mark-to-market (gains) or losses</w:t>
            </w:r>
          </w:p>
        </w:tc>
        <w:tc>
          <w:tcPr>
            <w:tcW w:w="910" w:type="dxa"/>
            <w:shd w:val="clear" w:color="auto" w:fill="D1D3D4"/>
          </w:tcPr>
          <w:p>
            <w:pPr/>
          </w:p>
        </w:tc>
        <w:tc>
          <w:tcPr>
            <w:tcW w:w="436" w:type="dxa"/>
            <w:shd w:val="clear" w:color="auto" w:fill="D1D3D4"/>
          </w:tcPr>
          <w:p>
            <w:pPr>
              <w:pStyle w:val="TableParagraph"/>
              <w:ind w:left="270"/>
              <w:rPr>
                <w:sz w:val="20"/>
              </w:rPr>
            </w:pPr>
            <w:r>
              <w:rPr>
                <w:color w:val="231F20"/>
                <w:sz w:val="20"/>
              </w:rPr>
              <w:t>5</w:t>
            </w:r>
          </w:p>
        </w:tc>
        <w:tc>
          <w:tcPr>
            <w:tcW w:w="134" w:type="dxa"/>
            <w:shd w:val="clear" w:color="auto" w:fill="D1D3D4"/>
          </w:tcPr>
          <w:p>
            <w:pPr/>
          </w:p>
        </w:tc>
        <w:tc>
          <w:tcPr>
            <w:tcW w:w="860" w:type="dxa"/>
            <w:shd w:val="clear" w:color="auto" w:fill="D1D3D4"/>
          </w:tcPr>
          <w:p>
            <w:pPr/>
          </w:p>
        </w:tc>
        <w:tc>
          <w:tcPr>
            <w:tcW w:w="420" w:type="dxa"/>
            <w:shd w:val="clear" w:color="auto" w:fill="D1D3D4"/>
          </w:tcPr>
          <w:p>
            <w:pPr>
              <w:pStyle w:val="TableParagraph"/>
              <w:ind w:right="97"/>
              <w:jc w:val="right"/>
              <w:rPr>
                <w:sz w:val="20"/>
              </w:rPr>
            </w:pPr>
            <w:r>
              <w:rPr>
                <w:color w:val="231F20"/>
                <w:sz w:val="20"/>
              </w:rPr>
              <w:t>72</w:t>
            </w:r>
          </w:p>
        </w:tc>
      </w:tr>
      <w:tr>
        <w:trPr>
          <w:trHeight w:val="300" w:hRule="exact"/>
        </w:trPr>
        <w:tc>
          <w:tcPr>
            <w:tcW w:w="6360" w:type="dxa"/>
          </w:tcPr>
          <w:p>
            <w:pPr>
              <w:pStyle w:val="TableParagraph"/>
              <w:ind w:left="66"/>
              <w:rPr>
                <w:sz w:val="20"/>
              </w:rPr>
            </w:pPr>
            <w:r>
              <w:rPr>
                <w:color w:val="231F20"/>
                <w:sz w:val="20"/>
              </w:rPr>
              <w:t>Premium cost of fuel contracts</w:t>
            </w:r>
          </w:p>
        </w:tc>
        <w:tc>
          <w:tcPr>
            <w:tcW w:w="910" w:type="dxa"/>
          </w:tcPr>
          <w:p>
            <w:pPr/>
          </w:p>
        </w:tc>
        <w:tc>
          <w:tcPr>
            <w:tcW w:w="436" w:type="dxa"/>
          </w:tcPr>
          <w:p>
            <w:pPr>
              <w:pStyle w:val="TableParagraph"/>
              <w:ind w:left="70"/>
              <w:rPr>
                <w:sz w:val="20"/>
              </w:rPr>
            </w:pPr>
            <w:r>
              <w:rPr>
                <w:color w:val="231F20"/>
                <w:sz w:val="20"/>
              </w:rPr>
              <w:t>153</w:t>
            </w:r>
          </w:p>
        </w:tc>
        <w:tc>
          <w:tcPr>
            <w:tcW w:w="134" w:type="dxa"/>
          </w:tcPr>
          <w:p>
            <w:pPr/>
          </w:p>
        </w:tc>
        <w:tc>
          <w:tcPr>
            <w:tcW w:w="860" w:type="dxa"/>
          </w:tcPr>
          <w:p>
            <w:pPr/>
          </w:p>
        </w:tc>
        <w:tc>
          <w:tcPr>
            <w:tcW w:w="420" w:type="dxa"/>
          </w:tcPr>
          <w:p>
            <w:pPr>
              <w:pStyle w:val="TableParagraph"/>
              <w:ind w:right="97"/>
              <w:jc w:val="right"/>
              <w:rPr>
                <w:sz w:val="20"/>
              </w:rPr>
            </w:pPr>
            <w:r>
              <w:rPr>
                <w:color w:val="231F20"/>
                <w:sz w:val="20"/>
              </w:rPr>
              <w:t>124</w:t>
            </w:r>
          </w:p>
        </w:tc>
      </w:tr>
      <w:tr>
        <w:trPr>
          <w:trHeight w:val="315" w:hRule="exact"/>
        </w:trPr>
        <w:tc>
          <w:tcPr>
            <w:tcW w:w="6360" w:type="dxa"/>
            <w:shd w:val="clear" w:color="auto" w:fill="D1D3D4"/>
          </w:tcPr>
          <w:p>
            <w:pPr>
              <w:pStyle w:val="TableParagraph"/>
              <w:ind w:left="66"/>
              <w:rPr>
                <w:sz w:val="20"/>
              </w:rPr>
            </w:pPr>
            <w:r>
              <w:rPr>
                <w:color w:val="231F20"/>
                <w:sz w:val="20"/>
              </w:rPr>
              <w:t>Other</w:t>
            </w:r>
          </w:p>
        </w:tc>
        <w:tc>
          <w:tcPr>
            <w:tcW w:w="910" w:type="dxa"/>
            <w:tcBorders>
              <w:bottom w:val="single" w:sz="4" w:space="0" w:color="231F20"/>
            </w:tcBorders>
            <w:shd w:val="clear" w:color="auto" w:fill="D1D3D4"/>
          </w:tcPr>
          <w:p>
            <w:pPr/>
          </w:p>
        </w:tc>
        <w:tc>
          <w:tcPr>
            <w:tcW w:w="436" w:type="dxa"/>
            <w:tcBorders>
              <w:bottom w:val="single" w:sz="4" w:space="0" w:color="231F20"/>
            </w:tcBorders>
            <w:shd w:val="clear" w:color="auto" w:fill="D1D3D4"/>
          </w:tcPr>
          <w:p>
            <w:pPr>
              <w:pStyle w:val="TableParagraph"/>
              <w:ind w:left="269"/>
              <w:rPr>
                <w:sz w:val="20"/>
              </w:rPr>
            </w:pPr>
            <w:r>
              <w:rPr>
                <w:color w:val="231F20"/>
                <w:sz w:val="20"/>
              </w:rPr>
              <w:t>6</w:t>
            </w:r>
          </w:p>
        </w:tc>
        <w:tc>
          <w:tcPr>
            <w:tcW w:w="134" w:type="dxa"/>
            <w:shd w:val="clear" w:color="auto" w:fill="D1D3D4"/>
          </w:tcPr>
          <w:p>
            <w:pPr/>
          </w:p>
        </w:tc>
        <w:tc>
          <w:tcPr>
            <w:tcW w:w="860" w:type="dxa"/>
            <w:tcBorders>
              <w:bottom w:val="single" w:sz="4" w:space="0" w:color="231F20"/>
            </w:tcBorders>
            <w:shd w:val="clear" w:color="auto" w:fill="D1D3D4"/>
          </w:tcPr>
          <w:p>
            <w:pPr/>
          </w:p>
        </w:tc>
        <w:tc>
          <w:tcPr>
            <w:tcW w:w="420" w:type="dxa"/>
            <w:tcBorders>
              <w:bottom w:val="single" w:sz="4" w:space="0" w:color="231F20"/>
            </w:tcBorders>
            <w:shd w:val="clear" w:color="auto" w:fill="D1D3D4"/>
          </w:tcPr>
          <w:p>
            <w:pPr>
              <w:pStyle w:val="TableParagraph"/>
              <w:ind w:right="48"/>
              <w:jc w:val="right"/>
              <w:rPr>
                <w:sz w:val="20"/>
              </w:rPr>
            </w:pPr>
            <w:r>
              <w:rPr>
                <w:color w:val="231F20"/>
                <w:sz w:val="20"/>
              </w:rPr>
              <w:t>(4)</w:t>
            </w:r>
          </w:p>
        </w:tc>
      </w:tr>
      <w:tr>
        <w:trPr>
          <w:trHeight w:val="853" w:hRule="exact"/>
        </w:trPr>
        <w:tc>
          <w:tcPr>
            <w:tcW w:w="6360" w:type="dxa"/>
          </w:tcPr>
          <w:p>
            <w:pPr>
              <w:pStyle w:val="TableParagraph"/>
              <w:spacing w:before="0"/>
              <w:rPr>
                <w:b/>
                <w:sz w:val="24"/>
              </w:rPr>
            </w:pPr>
          </w:p>
          <w:p>
            <w:pPr>
              <w:pStyle w:val="TableParagraph"/>
              <w:spacing w:before="5"/>
              <w:rPr>
                <w:b/>
                <w:sz w:val="29"/>
              </w:rPr>
            </w:pPr>
          </w:p>
          <w:p>
            <w:pPr>
              <w:pStyle w:val="TableParagraph"/>
              <w:spacing w:before="0"/>
              <w:rPr>
                <w:b/>
                <w:sz w:val="22"/>
              </w:rPr>
            </w:pPr>
            <w:r>
              <w:rPr>
                <w:b/>
                <w:color w:val="231F20"/>
                <w:sz w:val="22"/>
              </w:rPr>
              <w:t>Income Taxes</w:t>
            </w:r>
          </w:p>
        </w:tc>
        <w:tc>
          <w:tcPr>
            <w:tcW w:w="910" w:type="dxa"/>
            <w:tcBorders>
              <w:top w:val="single" w:sz="4" w:space="0" w:color="231F20"/>
            </w:tcBorders>
          </w:tcPr>
          <w:p>
            <w:pPr>
              <w:pStyle w:val="TableParagraph"/>
              <w:rPr>
                <w:sz w:val="20"/>
              </w:rPr>
            </w:pPr>
            <w:r>
              <w:rPr>
                <w:color w:val="231F20"/>
                <w:sz w:val="20"/>
              </w:rPr>
              <w:t>$</w:t>
            </w:r>
          </w:p>
        </w:tc>
        <w:tc>
          <w:tcPr>
            <w:tcW w:w="436" w:type="dxa"/>
            <w:tcBorders>
              <w:top w:val="single" w:sz="4" w:space="0" w:color="231F20"/>
            </w:tcBorders>
          </w:tcPr>
          <w:p>
            <w:pPr>
              <w:pStyle w:val="TableParagraph"/>
              <w:ind w:left="69"/>
              <w:rPr>
                <w:sz w:val="20"/>
              </w:rPr>
            </w:pPr>
            <w:r>
              <w:rPr>
                <w:color w:val="231F20"/>
                <w:sz w:val="20"/>
              </w:rPr>
              <w:t>162</w:t>
            </w:r>
          </w:p>
        </w:tc>
        <w:tc>
          <w:tcPr>
            <w:tcW w:w="134" w:type="dxa"/>
          </w:tcPr>
          <w:p>
            <w:pPr/>
          </w:p>
        </w:tc>
        <w:tc>
          <w:tcPr>
            <w:tcW w:w="860" w:type="dxa"/>
            <w:tcBorders>
              <w:top w:val="single" w:sz="4" w:space="0" w:color="231F20"/>
            </w:tcBorders>
          </w:tcPr>
          <w:p>
            <w:pPr>
              <w:pStyle w:val="TableParagraph"/>
              <w:spacing w:before="68"/>
              <w:rPr>
                <w:sz w:val="20"/>
              </w:rPr>
            </w:pPr>
            <w:r>
              <w:rPr>
                <w:color w:val="231F20"/>
                <w:sz w:val="20"/>
              </w:rPr>
              <w:t>$</w:t>
            </w:r>
          </w:p>
        </w:tc>
        <w:tc>
          <w:tcPr>
            <w:tcW w:w="420" w:type="dxa"/>
            <w:tcBorders>
              <w:top w:val="single" w:sz="4" w:space="0" w:color="231F20"/>
            </w:tcBorders>
          </w:tcPr>
          <w:p>
            <w:pPr>
              <w:pStyle w:val="TableParagraph"/>
              <w:spacing w:before="68"/>
              <w:ind w:right="99"/>
              <w:jc w:val="right"/>
              <w:rPr>
                <w:sz w:val="20"/>
              </w:rPr>
            </w:pPr>
            <w:r>
              <w:rPr>
                <w:color w:val="231F20"/>
                <w:sz w:val="20"/>
              </w:rPr>
              <w:t>556</w:t>
            </w:r>
          </w:p>
        </w:tc>
      </w:tr>
    </w:tbl>
    <w:p>
      <w:pPr>
        <w:pStyle w:val="BodyText"/>
        <w:spacing w:before="5"/>
        <w:rPr>
          <w:b/>
          <w:sz w:val="21"/>
        </w:rPr>
      </w:pPr>
    </w:p>
    <w:p>
      <w:pPr>
        <w:pStyle w:val="BodyText"/>
        <w:spacing w:line="247" w:lineRule="auto"/>
        <w:ind w:left="120" w:right="117"/>
        <w:jc w:val="both"/>
      </w:pPr>
      <w:r>
        <w:rPr>
          <w:color w:val="231F20"/>
        </w:rPr>
        <w:t>The Company’s effective tax rate was 36.8 percent for 2016, compared with 37.3 percent for 2015 primarily due to a decrease in State taxes owed and the Company’s adoption of Accounting Standards Update 2016-09. See Note 2 to the Consolidated Financial Statements for further information. The Company currently projects a full year 2017 effective tax rate of approximately 37 percent based on currently forecasted financial results.</w:t>
      </w:r>
    </w:p>
    <w:p>
      <w:pPr>
        <w:spacing w:after="0" w:line="247" w:lineRule="auto"/>
        <w:jc w:val="both"/>
        <w:sectPr>
          <w:pgSz w:w="11880" w:h="15480"/>
          <w:pgMar w:header="0" w:footer="1240" w:top="1240" w:bottom="1420" w:left="1260" w:right="1260"/>
        </w:sectPr>
      </w:pPr>
    </w:p>
    <w:p>
      <w:pPr>
        <w:pStyle w:val="Heading2"/>
        <w:spacing w:before="74"/>
        <w:ind w:left="120"/>
        <w:jc w:val="both"/>
        <w:rPr>
          <w:i/>
        </w:rPr>
      </w:pPr>
      <w:r>
        <w:rPr>
          <w:i/>
          <w:color w:val="231F20"/>
        </w:rPr>
        <w:t>2015 Compared with 2014</w:t>
      </w:r>
    </w:p>
    <w:p>
      <w:pPr>
        <w:pStyle w:val="BodyText"/>
        <w:spacing w:before="4"/>
        <w:rPr>
          <w:b/>
          <w:i/>
          <w:sz w:val="21"/>
        </w:rPr>
      </w:pPr>
    </w:p>
    <w:p>
      <w:pPr>
        <w:spacing w:before="1"/>
        <w:ind w:left="120" w:right="0" w:firstLine="0"/>
        <w:jc w:val="both"/>
        <w:rPr>
          <w:b/>
          <w:sz w:val="22"/>
        </w:rPr>
      </w:pPr>
      <w:r>
        <w:rPr>
          <w:b/>
          <w:color w:val="231F20"/>
          <w:sz w:val="22"/>
        </w:rPr>
        <w:t>Operating Revenues</w:t>
      </w:r>
    </w:p>
    <w:p>
      <w:pPr>
        <w:pStyle w:val="BodyText"/>
        <w:spacing w:before="5"/>
        <w:rPr>
          <w:b/>
          <w:sz w:val="21"/>
        </w:rPr>
      </w:pPr>
    </w:p>
    <w:p>
      <w:pPr>
        <w:pStyle w:val="BodyText"/>
        <w:spacing w:line="247" w:lineRule="auto"/>
        <w:ind w:left="120" w:right="117"/>
        <w:jc w:val="both"/>
      </w:pPr>
      <w:r>
        <w:rPr>
          <w:color w:val="231F20"/>
        </w:rPr>
        <w:t>Passenger revenues for 2015 increased by $641 million, or 3.6 percent, compared with 2014. Holding load factor and yield constant, the increase was primarily attributable to a 7.2 percent increase in capacity as strong Customer demand for low-fare air travel enabled the Company to fill the additional seats, as evidenced by a Company annual load factor of 83.6 percent. On a unit basis, Passenger revenue decreased 3.4 percent, year-over-year, largely driven by a 4.7 percent decrease in passenger revenue yield, year-over-year.</w:t>
      </w:r>
    </w:p>
    <w:p>
      <w:pPr>
        <w:pStyle w:val="BodyText"/>
        <w:spacing w:before="9"/>
        <w:rPr>
          <w:sz w:val="20"/>
        </w:rPr>
      </w:pPr>
    </w:p>
    <w:p>
      <w:pPr>
        <w:pStyle w:val="BodyText"/>
        <w:spacing w:line="247" w:lineRule="auto"/>
        <w:ind w:left="120" w:right="118"/>
        <w:jc w:val="both"/>
      </w:pPr>
      <w:r>
        <w:rPr>
          <w:color w:val="231F20"/>
        </w:rPr>
        <w:t>Freight revenues for 2015 increased by $4 million, or 2.3 percent, compared with 2014, primarily due  to increased pounds shipped.</w:t>
      </w:r>
    </w:p>
    <w:p>
      <w:pPr>
        <w:pStyle w:val="BodyText"/>
        <w:spacing w:before="9"/>
        <w:rPr>
          <w:sz w:val="20"/>
        </w:rPr>
      </w:pPr>
    </w:p>
    <w:p>
      <w:pPr>
        <w:pStyle w:val="BodyText"/>
        <w:spacing w:line="247" w:lineRule="auto"/>
        <w:ind w:left="120" w:right="117"/>
        <w:jc w:val="both"/>
      </w:pPr>
      <w:r>
        <w:rPr>
          <w:color w:val="231F20"/>
        </w:rPr>
        <w:t>The Company recorded a Special revenue adjustment during 2015 of $172 million. This adjustment represented a one-time non-cash reduction to the deferred revenue liability as a result of the Agreement with Chase and the resulting change in accounting methodology. The adjustment is classified as a special item and thus excluded from the Company’s non-GAAP financial results. See Note 1 to the Consolidated Financial Statements and the Note Regarding Use of Non-GAAP Financial Measures for further information.</w:t>
      </w:r>
    </w:p>
    <w:p>
      <w:pPr>
        <w:pStyle w:val="BodyText"/>
        <w:spacing w:before="9"/>
        <w:rPr>
          <w:sz w:val="20"/>
        </w:rPr>
      </w:pPr>
    </w:p>
    <w:p>
      <w:pPr>
        <w:pStyle w:val="BodyText"/>
        <w:spacing w:line="247" w:lineRule="auto"/>
        <w:ind w:left="119" w:right="118"/>
        <w:jc w:val="both"/>
      </w:pPr>
      <w:r>
        <w:rPr>
          <w:color w:val="231F20"/>
        </w:rPr>
        <w:t>Other revenues for 2015 increased by $398 million, or 51.6 percent, compared with 2014, primarily as a result of the Agreement with Chase and the resulting change in accounting methodology. Ancillary revenues increased slightly year-over-year, primarily due to an increase in EarlyBird Check-in</w:t>
      </w:r>
      <w:r>
        <w:rPr>
          <w:color w:val="231F20"/>
          <w:position w:val="5"/>
          <w:sz w:val="16"/>
        </w:rPr>
        <w:t>® </w:t>
      </w:r>
      <w:r>
        <w:rPr>
          <w:color w:val="231F20"/>
        </w:rPr>
        <w:t>and A1-15 select boarding positions sold at the gate, which was partially offset by the decrease in revenues from the termination of AirTran passenger service and related ancillary</w:t>
      </w:r>
      <w:r>
        <w:rPr>
          <w:color w:val="231F20"/>
          <w:spacing w:val="-3"/>
        </w:rPr>
        <w:t> </w:t>
      </w:r>
      <w:r>
        <w:rPr>
          <w:color w:val="231F20"/>
        </w:rPr>
        <w:t>fees.</w:t>
      </w:r>
    </w:p>
    <w:p>
      <w:pPr>
        <w:pStyle w:val="BodyText"/>
        <w:spacing w:before="9"/>
        <w:rPr>
          <w:sz w:val="20"/>
        </w:rPr>
      </w:pPr>
    </w:p>
    <w:p>
      <w:pPr>
        <w:pStyle w:val="Heading1"/>
        <w:ind w:left="119"/>
      </w:pPr>
      <w:r>
        <w:rPr>
          <w:color w:val="231F20"/>
        </w:rPr>
        <w:t>Operating Expenses</w:t>
      </w:r>
    </w:p>
    <w:p>
      <w:pPr>
        <w:pStyle w:val="BodyText"/>
        <w:spacing w:before="4"/>
        <w:rPr>
          <w:b/>
          <w:sz w:val="21"/>
        </w:rPr>
      </w:pPr>
    </w:p>
    <w:p>
      <w:pPr>
        <w:pStyle w:val="BodyText"/>
        <w:spacing w:line="247" w:lineRule="auto" w:before="1"/>
        <w:ind w:left="119" w:right="117"/>
        <w:jc w:val="both"/>
      </w:pPr>
      <w:r>
        <w:rPr>
          <w:color w:val="231F20"/>
        </w:rPr>
        <w:t>Operating expenses for 2015 decreased by $676 million, or 4.1 percent, compared with 2014, while capacity increased 7.2 percent over the same period. Historically, except for changes in the price of fuel, changes in Operating expenses for airlines are driven by changes in capacity, or ASMs. The following table presents the Company’s Operating expenses per ASM for 2015 and 2014, followed by explanations of these changes on a per ASM basis and/or on a dollar basis:</w:t>
      </w:r>
    </w:p>
    <w:p>
      <w:pPr>
        <w:tabs>
          <w:tab w:pos="7022" w:val="left" w:leader="none"/>
          <w:tab w:pos="8351" w:val="left" w:leader="none"/>
        </w:tabs>
        <w:spacing w:before="198"/>
        <w:ind w:left="4400" w:right="0" w:firstLine="0"/>
        <w:jc w:val="left"/>
        <w:rPr>
          <w:b/>
          <w:sz w:val="20"/>
        </w:rPr>
      </w:pPr>
      <w:r>
        <w:rPr/>
        <w:pict>
          <v:shape style="position:absolute;margin-left:69pt;margin-top:22.735937pt;width:456.25pt;height:145.75pt;mso-position-horizontal-relative:page;mso-position-vertical-relative:paragraph;z-index:21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00"/>
                    <w:gridCol w:w="1080"/>
                    <w:gridCol w:w="200"/>
                    <w:gridCol w:w="1080"/>
                    <w:gridCol w:w="200"/>
                    <w:gridCol w:w="1127"/>
                    <w:gridCol w:w="153"/>
                    <w:gridCol w:w="1080"/>
                  </w:tblGrid>
                  <w:tr>
                    <w:trPr>
                      <w:trHeight w:val="300" w:hRule="exact"/>
                    </w:trPr>
                    <w:tc>
                      <w:tcPr>
                        <w:tcW w:w="4200" w:type="dxa"/>
                      </w:tcPr>
                      <w:p>
                        <w:pPr>
                          <w:pStyle w:val="TableParagraph"/>
                          <w:spacing w:before="43"/>
                          <w:ind w:left="60"/>
                          <w:rPr>
                            <w:sz w:val="20"/>
                          </w:rPr>
                        </w:pPr>
                        <w:r>
                          <w:rPr>
                            <w:color w:val="231F20"/>
                            <w:sz w:val="20"/>
                          </w:rPr>
                          <w:t>(in cents, except for percentages)</w:t>
                        </w: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2015</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33"/>
                          <w:ind w:left="340"/>
                          <w:rPr>
                            <w:b/>
                            <w:sz w:val="20"/>
                          </w:rPr>
                        </w:pPr>
                        <w:r>
                          <w:rPr>
                            <w:b/>
                            <w:color w:val="231F20"/>
                            <w:sz w:val="20"/>
                          </w:rPr>
                          <w:t>2014</w:t>
                        </w:r>
                      </w:p>
                    </w:tc>
                    <w:tc>
                      <w:tcPr>
                        <w:tcW w:w="200" w:type="dxa"/>
                      </w:tcPr>
                      <w:p>
                        <w:pPr/>
                      </w:p>
                    </w:tc>
                    <w:tc>
                      <w:tcPr>
                        <w:tcW w:w="1127" w:type="dxa"/>
                        <w:tcBorders>
                          <w:bottom w:val="single" w:sz="8" w:space="0" w:color="231F20"/>
                        </w:tcBorders>
                      </w:tcPr>
                      <w:p>
                        <w:pPr>
                          <w:pStyle w:val="TableParagraph"/>
                          <w:spacing w:before="43"/>
                          <w:ind w:left="240"/>
                          <w:rPr>
                            <w:b/>
                            <w:sz w:val="20"/>
                          </w:rPr>
                        </w:pPr>
                        <w:r>
                          <w:rPr>
                            <w:b/>
                            <w:color w:val="231F20"/>
                            <w:sz w:val="20"/>
                          </w:rPr>
                          <w:t>change</w:t>
                        </w:r>
                      </w:p>
                    </w:tc>
                    <w:tc>
                      <w:tcPr>
                        <w:tcW w:w="153" w:type="dxa"/>
                      </w:tcPr>
                      <w:p>
                        <w:pPr/>
                      </w:p>
                    </w:tc>
                    <w:tc>
                      <w:tcPr>
                        <w:tcW w:w="1080" w:type="dxa"/>
                        <w:tcBorders>
                          <w:bottom w:val="single" w:sz="8" w:space="0" w:color="231F20"/>
                        </w:tcBorders>
                      </w:tcPr>
                      <w:p>
                        <w:pPr>
                          <w:pStyle w:val="TableParagraph"/>
                          <w:spacing w:before="43"/>
                          <w:ind w:left="219"/>
                          <w:rPr>
                            <w:b/>
                            <w:sz w:val="20"/>
                          </w:rPr>
                        </w:pPr>
                        <w:r>
                          <w:rPr>
                            <w:b/>
                            <w:color w:val="231F20"/>
                            <w:sz w:val="20"/>
                          </w:rPr>
                          <w:t>change</w:t>
                        </w:r>
                      </w:p>
                    </w:tc>
                  </w:tr>
                  <w:tr>
                    <w:trPr>
                      <w:trHeight w:val="290" w:hRule="exact"/>
                    </w:trPr>
                    <w:tc>
                      <w:tcPr>
                        <w:tcW w:w="4200" w:type="dxa"/>
                        <w:shd w:val="clear" w:color="auto" w:fill="D1D3D4"/>
                      </w:tcPr>
                      <w:p>
                        <w:pPr>
                          <w:pStyle w:val="TableParagraph"/>
                          <w:spacing w:before="33"/>
                          <w:ind w:left="60"/>
                          <w:rPr>
                            <w:sz w:val="20"/>
                          </w:rPr>
                        </w:pPr>
                        <w:r>
                          <w:rPr>
                            <w:color w:val="231F20"/>
                            <w:sz w:val="20"/>
                          </w:rPr>
                          <w:t>Salaries, wages, and benefits</w:t>
                        </w: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4.54¢</w:t>
                        </w:r>
                      </w:p>
                    </w:tc>
                    <w:tc>
                      <w:tcPr>
                        <w:tcW w:w="200" w:type="dxa"/>
                        <w:shd w:val="clear" w:color="auto" w:fill="D1D3D4"/>
                      </w:tcPr>
                      <w:p>
                        <w:pPr/>
                      </w:p>
                    </w:tc>
                    <w:tc>
                      <w:tcPr>
                        <w:tcW w:w="1080" w:type="dxa"/>
                        <w:tcBorders>
                          <w:top w:val="single" w:sz="8" w:space="0" w:color="231F20"/>
                        </w:tcBorders>
                        <w:shd w:val="clear" w:color="auto" w:fill="D1D3D4"/>
                      </w:tcPr>
                      <w:p>
                        <w:pPr>
                          <w:pStyle w:val="TableParagraph"/>
                          <w:spacing w:before="33"/>
                          <w:ind w:right="19"/>
                          <w:jc w:val="right"/>
                          <w:rPr>
                            <w:sz w:val="20"/>
                          </w:rPr>
                        </w:pPr>
                        <w:r>
                          <w:rPr>
                            <w:color w:val="231F20"/>
                            <w:sz w:val="20"/>
                          </w:rPr>
                          <w:t>4.14¢</w:t>
                        </w:r>
                      </w:p>
                    </w:tc>
                    <w:tc>
                      <w:tcPr>
                        <w:tcW w:w="200" w:type="dxa"/>
                        <w:shd w:val="clear" w:color="auto" w:fill="D1D3D4"/>
                      </w:tcPr>
                      <w:p>
                        <w:pPr/>
                      </w:p>
                    </w:tc>
                    <w:tc>
                      <w:tcPr>
                        <w:tcW w:w="1127" w:type="dxa"/>
                        <w:tcBorders>
                          <w:top w:val="single" w:sz="8" w:space="0" w:color="231F20"/>
                        </w:tcBorders>
                        <w:shd w:val="clear" w:color="auto" w:fill="D1D3D4"/>
                      </w:tcPr>
                      <w:p>
                        <w:pPr>
                          <w:pStyle w:val="TableParagraph"/>
                          <w:spacing w:before="33"/>
                          <w:ind w:right="64"/>
                          <w:jc w:val="right"/>
                          <w:rPr>
                            <w:sz w:val="20"/>
                          </w:rPr>
                        </w:pPr>
                        <w:r>
                          <w:rPr>
                            <w:color w:val="231F20"/>
                            <w:sz w:val="20"/>
                          </w:rPr>
                          <w:t>0.40¢</w:t>
                        </w:r>
                      </w:p>
                    </w:tc>
                    <w:tc>
                      <w:tcPr>
                        <w:tcW w:w="153" w:type="dxa"/>
                        <w:shd w:val="clear" w:color="auto" w:fill="D1D3D4"/>
                      </w:tcPr>
                      <w:p>
                        <w:pPr/>
                      </w:p>
                    </w:tc>
                    <w:tc>
                      <w:tcPr>
                        <w:tcW w:w="1080" w:type="dxa"/>
                        <w:tcBorders>
                          <w:top w:val="single" w:sz="8" w:space="0" w:color="231F20"/>
                        </w:tcBorders>
                        <w:shd w:val="clear" w:color="auto" w:fill="D1D3D4"/>
                      </w:tcPr>
                      <w:p>
                        <w:pPr>
                          <w:pStyle w:val="TableParagraph"/>
                          <w:spacing w:before="33"/>
                          <w:ind w:right="71"/>
                          <w:jc w:val="right"/>
                          <w:rPr>
                            <w:sz w:val="20"/>
                          </w:rPr>
                        </w:pPr>
                        <w:r>
                          <w:rPr>
                            <w:color w:val="231F20"/>
                            <w:sz w:val="20"/>
                          </w:rPr>
                          <w:t>9.7%</w:t>
                        </w:r>
                      </w:p>
                    </w:tc>
                  </w:tr>
                  <w:tr>
                    <w:trPr>
                      <w:trHeight w:val="280" w:hRule="exact"/>
                    </w:trPr>
                    <w:tc>
                      <w:tcPr>
                        <w:tcW w:w="4200" w:type="dxa"/>
                      </w:tcPr>
                      <w:p>
                        <w:pPr>
                          <w:pStyle w:val="TableParagraph"/>
                          <w:spacing w:before="33"/>
                          <w:ind w:left="60"/>
                          <w:rPr>
                            <w:sz w:val="20"/>
                          </w:rPr>
                        </w:pPr>
                        <w:r>
                          <w:rPr>
                            <w:color w:val="231F20"/>
                            <w:sz w:val="20"/>
                          </w:rPr>
                          <w:t>Fuel and oil</w:t>
                        </w:r>
                      </w:p>
                    </w:tc>
                    <w:tc>
                      <w:tcPr>
                        <w:tcW w:w="1080" w:type="dxa"/>
                      </w:tcPr>
                      <w:p>
                        <w:pPr>
                          <w:pStyle w:val="TableParagraph"/>
                          <w:spacing w:before="33"/>
                          <w:ind w:right="119"/>
                          <w:jc w:val="right"/>
                          <w:rPr>
                            <w:sz w:val="20"/>
                          </w:rPr>
                        </w:pPr>
                        <w:r>
                          <w:rPr>
                            <w:color w:val="231F20"/>
                            <w:sz w:val="20"/>
                          </w:rPr>
                          <w:t>2.58</w:t>
                        </w:r>
                      </w:p>
                    </w:tc>
                    <w:tc>
                      <w:tcPr>
                        <w:tcW w:w="200" w:type="dxa"/>
                      </w:tcPr>
                      <w:p>
                        <w:pPr/>
                      </w:p>
                    </w:tc>
                    <w:tc>
                      <w:tcPr>
                        <w:tcW w:w="1080" w:type="dxa"/>
                      </w:tcPr>
                      <w:p>
                        <w:pPr>
                          <w:pStyle w:val="TableParagraph"/>
                          <w:spacing w:before="33"/>
                          <w:ind w:right="119"/>
                          <w:jc w:val="right"/>
                          <w:rPr>
                            <w:sz w:val="20"/>
                          </w:rPr>
                        </w:pPr>
                        <w:r>
                          <w:rPr>
                            <w:color w:val="231F20"/>
                            <w:sz w:val="20"/>
                          </w:rPr>
                          <w:t>4.04</w:t>
                        </w:r>
                      </w:p>
                    </w:tc>
                    <w:tc>
                      <w:tcPr>
                        <w:tcW w:w="200" w:type="dxa"/>
                      </w:tcPr>
                      <w:p>
                        <w:pPr/>
                      </w:p>
                    </w:tc>
                    <w:tc>
                      <w:tcPr>
                        <w:tcW w:w="1127" w:type="dxa"/>
                      </w:tcPr>
                      <w:p>
                        <w:pPr>
                          <w:pStyle w:val="TableParagraph"/>
                          <w:spacing w:before="33"/>
                          <w:ind w:right="98"/>
                          <w:jc w:val="right"/>
                          <w:rPr>
                            <w:sz w:val="20"/>
                          </w:rPr>
                        </w:pPr>
                        <w:r>
                          <w:rPr>
                            <w:color w:val="231F20"/>
                            <w:sz w:val="20"/>
                          </w:rPr>
                          <w:t>(1.46)</w:t>
                        </w:r>
                      </w:p>
                    </w:tc>
                    <w:tc>
                      <w:tcPr>
                        <w:tcW w:w="153" w:type="dxa"/>
                      </w:tcPr>
                      <w:p>
                        <w:pPr/>
                      </w:p>
                    </w:tc>
                    <w:tc>
                      <w:tcPr>
                        <w:tcW w:w="1080" w:type="dxa"/>
                      </w:tcPr>
                      <w:p>
                        <w:pPr>
                          <w:pStyle w:val="TableParagraph"/>
                          <w:spacing w:before="33"/>
                          <w:ind w:left="423"/>
                          <w:rPr>
                            <w:sz w:val="20"/>
                          </w:rPr>
                        </w:pPr>
                        <w:r>
                          <w:rPr>
                            <w:color w:val="231F20"/>
                            <w:sz w:val="20"/>
                          </w:rPr>
                          <w:t>(36.1)</w:t>
                        </w:r>
                      </w:p>
                    </w:tc>
                  </w:tr>
                  <w:tr>
                    <w:trPr>
                      <w:trHeight w:val="280" w:hRule="exact"/>
                    </w:trPr>
                    <w:tc>
                      <w:tcPr>
                        <w:tcW w:w="4200" w:type="dxa"/>
                        <w:shd w:val="clear" w:color="auto" w:fill="D1D3D4"/>
                      </w:tcPr>
                      <w:p>
                        <w:pPr>
                          <w:pStyle w:val="TableParagraph"/>
                          <w:spacing w:before="33"/>
                          <w:ind w:left="60"/>
                          <w:rPr>
                            <w:sz w:val="20"/>
                          </w:rPr>
                        </w:pPr>
                        <w:r>
                          <w:rPr>
                            <w:color w:val="231F20"/>
                            <w:sz w:val="20"/>
                          </w:rPr>
                          <w:t>Maintenance materials and repairs</w:t>
                        </w:r>
                      </w:p>
                    </w:tc>
                    <w:tc>
                      <w:tcPr>
                        <w:tcW w:w="1080" w:type="dxa"/>
                        <w:shd w:val="clear" w:color="auto" w:fill="D1D3D4"/>
                      </w:tcPr>
                      <w:p>
                        <w:pPr>
                          <w:pStyle w:val="TableParagraph"/>
                          <w:spacing w:before="33"/>
                          <w:ind w:right="117"/>
                          <w:jc w:val="right"/>
                          <w:rPr>
                            <w:sz w:val="20"/>
                          </w:rPr>
                        </w:pPr>
                        <w:r>
                          <w:rPr>
                            <w:color w:val="231F20"/>
                            <w:sz w:val="20"/>
                          </w:rPr>
                          <w:t>0.72</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0.75</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(0.03)</w:t>
                        </w:r>
                      </w:p>
                    </w:tc>
                    <w:tc>
                      <w:tcPr>
                        <w:tcW w:w="153" w:type="dxa"/>
                        <w:shd w:val="clear" w:color="auto" w:fill="D1D3D4"/>
                      </w:tcPr>
                      <w:p>
                        <w:pPr/>
                      </w:p>
                    </w:tc>
                    <w:tc>
                      <w:tcPr>
                        <w:tcW w:w="1080" w:type="dxa"/>
                        <w:shd w:val="clear" w:color="auto" w:fill="D1D3D4"/>
                      </w:tcPr>
                      <w:p>
                        <w:pPr>
                          <w:pStyle w:val="TableParagraph"/>
                          <w:spacing w:before="33"/>
                          <w:ind w:left="523"/>
                          <w:rPr>
                            <w:sz w:val="20"/>
                          </w:rPr>
                        </w:pPr>
                        <w:r>
                          <w:rPr>
                            <w:color w:val="231F20"/>
                            <w:sz w:val="20"/>
                          </w:rPr>
                          <w:t>(4.0)</w:t>
                        </w:r>
                      </w:p>
                    </w:tc>
                  </w:tr>
                  <w:tr>
                    <w:trPr>
                      <w:trHeight w:val="280" w:hRule="exact"/>
                    </w:trPr>
                    <w:tc>
                      <w:tcPr>
                        <w:tcW w:w="4200" w:type="dxa"/>
                      </w:tcPr>
                      <w:p>
                        <w:pPr>
                          <w:pStyle w:val="TableParagraph"/>
                          <w:spacing w:before="33"/>
                          <w:ind w:left="60"/>
                          <w:rPr>
                            <w:sz w:val="20"/>
                          </w:rPr>
                        </w:pPr>
                        <w:r>
                          <w:rPr>
                            <w:color w:val="231F20"/>
                            <w:sz w:val="20"/>
                          </w:rPr>
                          <w:t>Aircraft rentals</w:t>
                        </w:r>
                      </w:p>
                    </w:tc>
                    <w:tc>
                      <w:tcPr>
                        <w:tcW w:w="1080" w:type="dxa"/>
                      </w:tcPr>
                      <w:p>
                        <w:pPr>
                          <w:pStyle w:val="TableParagraph"/>
                          <w:spacing w:before="33"/>
                          <w:ind w:right="119"/>
                          <w:jc w:val="right"/>
                          <w:rPr>
                            <w:sz w:val="20"/>
                          </w:rPr>
                        </w:pPr>
                        <w:r>
                          <w:rPr>
                            <w:color w:val="231F20"/>
                            <w:sz w:val="20"/>
                          </w:rPr>
                          <w:t>0.17</w:t>
                        </w:r>
                      </w:p>
                    </w:tc>
                    <w:tc>
                      <w:tcPr>
                        <w:tcW w:w="200" w:type="dxa"/>
                      </w:tcPr>
                      <w:p>
                        <w:pPr/>
                      </w:p>
                    </w:tc>
                    <w:tc>
                      <w:tcPr>
                        <w:tcW w:w="1080" w:type="dxa"/>
                      </w:tcPr>
                      <w:p>
                        <w:pPr>
                          <w:pStyle w:val="TableParagraph"/>
                          <w:spacing w:before="33"/>
                          <w:ind w:right="119"/>
                          <w:jc w:val="right"/>
                          <w:rPr>
                            <w:sz w:val="20"/>
                          </w:rPr>
                        </w:pPr>
                        <w:r>
                          <w:rPr>
                            <w:color w:val="231F20"/>
                            <w:sz w:val="20"/>
                          </w:rPr>
                          <w:t>0.22</w:t>
                        </w:r>
                      </w:p>
                    </w:tc>
                    <w:tc>
                      <w:tcPr>
                        <w:tcW w:w="200" w:type="dxa"/>
                      </w:tcPr>
                      <w:p>
                        <w:pPr/>
                      </w:p>
                    </w:tc>
                    <w:tc>
                      <w:tcPr>
                        <w:tcW w:w="1127" w:type="dxa"/>
                      </w:tcPr>
                      <w:p>
                        <w:pPr>
                          <w:pStyle w:val="TableParagraph"/>
                          <w:spacing w:before="33"/>
                          <w:ind w:right="98"/>
                          <w:jc w:val="right"/>
                          <w:rPr>
                            <w:sz w:val="20"/>
                          </w:rPr>
                        </w:pPr>
                        <w:r>
                          <w:rPr>
                            <w:color w:val="231F20"/>
                            <w:sz w:val="20"/>
                          </w:rPr>
                          <w:t>(0.05)</w:t>
                        </w:r>
                      </w:p>
                    </w:tc>
                    <w:tc>
                      <w:tcPr>
                        <w:tcW w:w="153" w:type="dxa"/>
                      </w:tcPr>
                      <w:p>
                        <w:pPr/>
                      </w:p>
                    </w:tc>
                    <w:tc>
                      <w:tcPr>
                        <w:tcW w:w="1080" w:type="dxa"/>
                      </w:tcPr>
                      <w:p>
                        <w:pPr>
                          <w:pStyle w:val="TableParagraph"/>
                          <w:spacing w:before="33"/>
                          <w:ind w:left="423"/>
                          <w:rPr>
                            <w:sz w:val="20"/>
                          </w:rPr>
                        </w:pPr>
                        <w:r>
                          <w:rPr>
                            <w:color w:val="231F20"/>
                            <w:sz w:val="20"/>
                          </w:rPr>
                          <w:t>(22.7)</w:t>
                        </w:r>
                      </w:p>
                    </w:tc>
                  </w:tr>
                  <w:tr>
                    <w:trPr>
                      <w:trHeight w:val="280" w:hRule="exact"/>
                    </w:trPr>
                    <w:tc>
                      <w:tcPr>
                        <w:tcW w:w="4200" w:type="dxa"/>
                        <w:shd w:val="clear" w:color="auto" w:fill="D1D3D4"/>
                      </w:tcPr>
                      <w:p>
                        <w:pPr>
                          <w:pStyle w:val="TableParagraph"/>
                          <w:spacing w:before="33"/>
                          <w:ind w:left="60"/>
                          <w:rPr>
                            <w:sz w:val="20"/>
                          </w:rPr>
                        </w:pPr>
                        <w:r>
                          <w:rPr>
                            <w:color w:val="231F20"/>
                            <w:sz w:val="20"/>
                          </w:rPr>
                          <w:t>Landing fees and other rentals</w:t>
                        </w:r>
                      </w:p>
                    </w:tc>
                    <w:tc>
                      <w:tcPr>
                        <w:tcW w:w="1080" w:type="dxa"/>
                        <w:shd w:val="clear" w:color="auto" w:fill="D1D3D4"/>
                      </w:tcPr>
                      <w:p>
                        <w:pPr>
                          <w:pStyle w:val="TableParagraph"/>
                          <w:spacing w:before="33"/>
                          <w:ind w:right="119"/>
                          <w:jc w:val="right"/>
                          <w:rPr>
                            <w:sz w:val="20"/>
                          </w:rPr>
                        </w:pPr>
                        <w:r>
                          <w:rPr>
                            <w:color w:val="231F20"/>
                            <w:sz w:val="20"/>
                          </w:rPr>
                          <w:t>0.83</w:t>
                        </w:r>
                      </w:p>
                    </w:tc>
                    <w:tc>
                      <w:tcPr>
                        <w:tcW w:w="200" w:type="dxa"/>
                        <w:shd w:val="clear" w:color="auto" w:fill="D1D3D4"/>
                      </w:tcPr>
                      <w:p>
                        <w:pPr/>
                      </w:p>
                    </w:tc>
                    <w:tc>
                      <w:tcPr>
                        <w:tcW w:w="1080" w:type="dxa"/>
                        <w:shd w:val="clear" w:color="auto" w:fill="D1D3D4"/>
                      </w:tcPr>
                      <w:p>
                        <w:pPr>
                          <w:pStyle w:val="TableParagraph"/>
                          <w:spacing w:before="33"/>
                          <w:ind w:right="119"/>
                          <w:jc w:val="right"/>
                          <w:rPr>
                            <w:sz w:val="20"/>
                          </w:rPr>
                        </w:pPr>
                        <w:r>
                          <w:rPr>
                            <w:color w:val="231F20"/>
                            <w:sz w:val="20"/>
                          </w:rPr>
                          <w:t>0.85</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(0.02)</w:t>
                        </w:r>
                      </w:p>
                    </w:tc>
                    <w:tc>
                      <w:tcPr>
                        <w:tcW w:w="153" w:type="dxa"/>
                        <w:shd w:val="clear" w:color="auto" w:fill="D1D3D4"/>
                      </w:tcPr>
                      <w:p>
                        <w:pPr/>
                      </w:p>
                    </w:tc>
                    <w:tc>
                      <w:tcPr>
                        <w:tcW w:w="1080" w:type="dxa"/>
                        <w:shd w:val="clear" w:color="auto" w:fill="D1D3D4"/>
                      </w:tcPr>
                      <w:p>
                        <w:pPr>
                          <w:pStyle w:val="TableParagraph"/>
                          <w:spacing w:before="33"/>
                          <w:ind w:left="523"/>
                          <w:rPr>
                            <w:sz w:val="20"/>
                          </w:rPr>
                        </w:pPr>
                        <w:r>
                          <w:rPr>
                            <w:color w:val="231F20"/>
                            <w:sz w:val="20"/>
                          </w:rPr>
                          <w:t>(2.4)</w:t>
                        </w:r>
                      </w:p>
                    </w:tc>
                  </w:tr>
                  <w:tr>
                    <w:trPr>
                      <w:trHeight w:val="280" w:hRule="exact"/>
                    </w:trPr>
                    <w:tc>
                      <w:tcPr>
                        <w:tcW w:w="4200" w:type="dxa"/>
                      </w:tcPr>
                      <w:p>
                        <w:pPr>
                          <w:pStyle w:val="TableParagraph"/>
                          <w:spacing w:before="33"/>
                          <w:ind w:left="60"/>
                          <w:rPr>
                            <w:sz w:val="20"/>
                          </w:rPr>
                        </w:pPr>
                        <w:r>
                          <w:rPr>
                            <w:color w:val="231F20"/>
                            <w:sz w:val="20"/>
                          </w:rPr>
                          <w:t>Depreciation and amortization</w:t>
                        </w:r>
                      </w:p>
                    </w:tc>
                    <w:tc>
                      <w:tcPr>
                        <w:tcW w:w="1080" w:type="dxa"/>
                      </w:tcPr>
                      <w:p>
                        <w:pPr>
                          <w:pStyle w:val="TableParagraph"/>
                          <w:spacing w:before="33"/>
                          <w:ind w:right="117"/>
                          <w:jc w:val="right"/>
                          <w:rPr>
                            <w:sz w:val="20"/>
                          </w:rPr>
                        </w:pPr>
                        <w:r>
                          <w:rPr>
                            <w:color w:val="231F20"/>
                            <w:sz w:val="20"/>
                          </w:rPr>
                          <w:t>0.72</w:t>
                        </w:r>
                      </w:p>
                    </w:tc>
                    <w:tc>
                      <w:tcPr>
                        <w:tcW w:w="200" w:type="dxa"/>
                      </w:tcPr>
                      <w:p>
                        <w:pPr/>
                      </w:p>
                    </w:tc>
                    <w:tc>
                      <w:tcPr>
                        <w:tcW w:w="1080" w:type="dxa"/>
                      </w:tcPr>
                      <w:p>
                        <w:pPr>
                          <w:pStyle w:val="TableParagraph"/>
                          <w:spacing w:before="33"/>
                          <w:ind w:right="117"/>
                          <w:jc w:val="right"/>
                          <w:rPr>
                            <w:sz w:val="20"/>
                          </w:rPr>
                        </w:pPr>
                        <w:r>
                          <w:rPr>
                            <w:color w:val="231F20"/>
                            <w:sz w:val="20"/>
                          </w:rPr>
                          <w:t>0.72</w:t>
                        </w:r>
                      </w:p>
                    </w:tc>
                    <w:tc>
                      <w:tcPr>
                        <w:tcW w:w="200" w:type="dxa"/>
                      </w:tcPr>
                      <w:p>
                        <w:pPr/>
                      </w:p>
                    </w:tc>
                    <w:tc>
                      <w:tcPr>
                        <w:tcW w:w="1127" w:type="dxa"/>
                      </w:tcPr>
                      <w:p>
                        <w:pPr>
                          <w:pStyle w:val="TableParagraph"/>
                          <w:spacing w:before="33"/>
                          <w:ind w:right="164"/>
                          <w:jc w:val="right"/>
                          <w:rPr>
                            <w:sz w:val="20"/>
                          </w:rPr>
                        </w:pPr>
                        <w:r>
                          <w:rPr>
                            <w:color w:val="231F20"/>
                            <w:sz w:val="20"/>
                          </w:rPr>
                          <w:t>—</w:t>
                        </w:r>
                      </w:p>
                    </w:tc>
                    <w:tc>
                      <w:tcPr>
                        <w:tcW w:w="153" w:type="dxa"/>
                      </w:tcPr>
                      <w:p>
                        <w:pPr/>
                      </w:p>
                    </w:tc>
                    <w:tc>
                      <w:tcPr>
                        <w:tcW w:w="1080" w:type="dxa"/>
                      </w:tcPr>
                      <w:p>
                        <w:pPr>
                          <w:pStyle w:val="TableParagraph"/>
                          <w:spacing w:before="33"/>
                          <w:ind w:left="640"/>
                          <w:rPr>
                            <w:sz w:val="20"/>
                          </w:rPr>
                        </w:pPr>
                        <w:r>
                          <w:rPr>
                            <w:color w:val="231F20"/>
                            <w:sz w:val="20"/>
                          </w:rPr>
                          <w:t>—</w:t>
                        </w:r>
                      </w:p>
                    </w:tc>
                  </w:tr>
                  <w:tr>
                    <w:trPr>
                      <w:trHeight w:val="280" w:hRule="exact"/>
                    </w:trPr>
                    <w:tc>
                      <w:tcPr>
                        <w:tcW w:w="4200" w:type="dxa"/>
                        <w:shd w:val="clear" w:color="auto" w:fill="D1D3D4"/>
                      </w:tcPr>
                      <w:p>
                        <w:pPr>
                          <w:pStyle w:val="TableParagraph"/>
                          <w:spacing w:before="33"/>
                          <w:ind w:left="60"/>
                          <w:rPr>
                            <w:sz w:val="20"/>
                          </w:rPr>
                        </w:pPr>
                        <w:r>
                          <w:rPr>
                            <w:color w:val="231F20"/>
                            <w:sz w:val="20"/>
                          </w:rPr>
                          <w:t>Acquisition and integration</w:t>
                        </w:r>
                      </w:p>
                    </w:tc>
                    <w:tc>
                      <w:tcPr>
                        <w:tcW w:w="1080" w:type="dxa"/>
                        <w:shd w:val="clear" w:color="auto" w:fill="D1D3D4"/>
                      </w:tcPr>
                      <w:p>
                        <w:pPr>
                          <w:pStyle w:val="TableParagraph"/>
                          <w:spacing w:before="33"/>
                          <w:ind w:right="117"/>
                          <w:jc w:val="right"/>
                          <w:rPr>
                            <w:sz w:val="20"/>
                          </w:rPr>
                        </w:pPr>
                        <w:r>
                          <w:rPr>
                            <w:color w:val="231F20"/>
                            <w:sz w:val="20"/>
                          </w:rPr>
                          <w:t>0.03</w:t>
                        </w:r>
                      </w:p>
                    </w:tc>
                    <w:tc>
                      <w:tcPr>
                        <w:tcW w:w="200" w:type="dxa"/>
                        <w:shd w:val="clear" w:color="auto" w:fill="D1D3D4"/>
                      </w:tcPr>
                      <w:p>
                        <w:pPr/>
                      </w:p>
                    </w:tc>
                    <w:tc>
                      <w:tcPr>
                        <w:tcW w:w="1080" w:type="dxa"/>
                        <w:shd w:val="clear" w:color="auto" w:fill="D1D3D4"/>
                      </w:tcPr>
                      <w:p>
                        <w:pPr>
                          <w:pStyle w:val="TableParagraph"/>
                          <w:spacing w:before="33"/>
                          <w:ind w:right="117"/>
                          <w:jc w:val="right"/>
                          <w:rPr>
                            <w:sz w:val="20"/>
                          </w:rPr>
                        </w:pPr>
                        <w:r>
                          <w:rPr>
                            <w:color w:val="231F20"/>
                            <w:sz w:val="20"/>
                          </w:rPr>
                          <w:t>0.10</w:t>
                        </w:r>
                      </w:p>
                    </w:tc>
                    <w:tc>
                      <w:tcPr>
                        <w:tcW w:w="200" w:type="dxa"/>
                        <w:shd w:val="clear" w:color="auto" w:fill="D1D3D4"/>
                      </w:tcPr>
                      <w:p>
                        <w:pPr/>
                      </w:p>
                    </w:tc>
                    <w:tc>
                      <w:tcPr>
                        <w:tcW w:w="1127" w:type="dxa"/>
                        <w:shd w:val="clear" w:color="auto" w:fill="D1D3D4"/>
                      </w:tcPr>
                      <w:p>
                        <w:pPr>
                          <w:pStyle w:val="TableParagraph"/>
                          <w:spacing w:before="33"/>
                          <w:ind w:right="98"/>
                          <w:jc w:val="right"/>
                          <w:rPr>
                            <w:sz w:val="20"/>
                          </w:rPr>
                        </w:pPr>
                        <w:r>
                          <w:rPr>
                            <w:color w:val="231F20"/>
                            <w:sz w:val="20"/>
                          </w:rPr>
                          <w:t>(0.07)</w:t>
                        </w:r>
                      </w:p>
                    </w:tc>
                    <w:tc>
                      <w:tcPr>
                        <w:tcW w:w="153" w:type="dxa"/>
                        <w:shd w:val="clear" w:color="auto" w:fill="D1D3D4"/>
                      </w:tcPr>
                      <w:p>
                        <w:pPr/>
                      </w:p>
                    </w:tc>
                    <w:tc>
                      <w:tcPr>
                        <w:tcW w:w="1080" w:type="dxa"/>
                        <w:shd w:val="clear" w:color="auto" w:fill="D1D3D4"/>
                      </w:tcPr>
                      <w:p>
                        <w:pPr>
                          <w:pStyle w:val="TableParagraph"/>
                          <w:spacing w:before="33"/>
                          <w:ind w:left="423"/>
                          <w:rPr>
                            <w:sz w:val="20"/>
                          </w:rPr>
                        </w:pPr>
                        <w:r>
                          <w:rPr>
                            <w:color w:val="231F20"/>
                            <w:sz w:val="20"/>
                          </w:rPr>
                          <w:t>(70.0)</w:t>
                        </w:r>
                      </w:p>
                    </w:tc>
                  </w:tr>
                  <w:tr>
                    <w:trPr>
                      <w:trHeight w:val="295" w:hRule="exact"/>
                    </w:trPr>
                    <w:tc>
                      <w:tcPr>
                        <w:tcW w:w="4200" w:type="dxa"/>
                      </w:tcPr>
                      <w:p>
                        <w:pPr>
                          <w:pStyle w:val="TableParagraph"/>
                          <w:spacing w:before="33"/>
                          <w:ind w:left="60"/>
                          <w:rPr>
                            <w:sz w:val="20"/>
                          </w:rPr>
                        </w:pPr>
                        <w:r>
                          <w:rPr>
                            <w:color w:val="231F20"/>
                            <w:sz w:val="20"/>
                          </w:rPr>
                          <w:t>Other operating expenses</w:t>
                        </w:r>
                      </w:p>
                    </w:tc>
                    <w:tc>
                      <w:tcPr>
                        <w:tcW w:w="1080" w:type="dxa"/>
                        <w:tcBorders>
                          <w:bottom w:val="single" w:sz="4" w:space="0" w:color="231F20"/>
                        </w:tcBorders>
                      </w:tcPr>
                      <w:p>
                        <w:pPr>
                          <w:pStyle w:val="TableParagraph"/>
                          <w:spacing w:before="33"/>
                          <w:ind w:right="117"/>
                          <w:jc w:val="right"/>
                          <w:rPr>
                            <w:sz w:val="20"/>
                          </w:rPr>
                        </w:pPr>
                        <w:r>
                          <w:rPr>
                            <w:color w:val="231F20"/>
                            <w:sz w:val="20"/>
                          </w:rPr>
                          <w:t>1.59</w:t>
                        </w:r>
                      </w:p>
                    </w:tc>
                    <w:tc>
                      <w:tcPr>
                        <w:tcW w:w="200" w:type="dxa"/>
                      </w:tcPr>
                      <w:p>
                        <w:pPr/>
                      </w:p>
                    </w:tc>
                    <w:tc>
                      <w:tcPr>
                        <w:tcW w:w="1080" w:type="dxa"/>
                        <w:tcBorders>
                          <w:bottom w:val="single" w:sz="4" w:space="0" w:color="231F20"/>
                        </w:tcBorders>
                      </w:tcPr>
                      <w:p>
                        <w:pPr>
                          <w:pStyle w:val="TableParagraph"/>
                          <w:spacing w:before="33"/>
                          <w:ind w:right="117"/>
                          <w:jc w:val="right"/>
                          <w:rPr>
                            <w:sz w:val="20"/>
                          </w:rPr>
                        </w:pPr>
                        <w:r>
                          <w:rPr>
                            <w:color w:val="231F20"/>
                            <w:sz w:val="20"/>
                          </w:rPr>
                          <w:t>1.68</w:t>
                        </w:r>
                      </w:p>
                    </w:tc>
                    <w:tc>
                      <w:tcPr>
                        <w:tcW w:w="200" w:type="dxa"/>
                      </w:tcPr>
                      <w:p>
                        <w:pPr/>
                      </w:p>
                    </w:tc>
                    <w:tc>
                      <w:tcPr>
                        <w:tcW w:w="1127" w:type="dxa"/>
                        <w:tcBorders>
                          <w:bottom w:val="single" w:sz="4" w:space="0" w:color="231F20"/>
                        </w:tcBorders>
                      </w:tcPr>
                      <w:p>
                        <w:pPr>
                          <w:pStyle w:val="TableParagraph"/>
                          <w:spacing w:before="33"/>
                          <w:ind w:right="98"/>
                          <w:jc w:val="right"/>
                          <w:rPr>
                            <w:sz w:val="20"/>
                          </w:rPr>
                        </w:pPr>
                        <w:r>
                          <w:rPr>
                            <w:color w:val="231F20"/>
                            <w:sz w:val="20"/>
                          </w:rPr>
                          <w:t>(0.09)</w:t>
                        </w:r>
                      </w:p>
                    </w:tc>
                    <w:tc>
                      <w:tcPr>
                        <w:tcW w:w="153" w:type="dxa"/>
                      </w:tcPr>
                      <w:p>
                        <w:pPr/>
                      </w:p>
                    </w:tc>
                    <w:tc>
                      <w:tcPr>
                        <w:tcW w:w="1080" w:type="dxa"/>
                        <w:tcBorders>
                          <w:bottom w:val="single" w:sz="4" w:space="0" w:color="231F20"/>
                        </w:tcBorders>
                      </w:tcPr>
                      <w:p>
                        <w:pPr>
                          <w:pStyle w:val="TableParagraph"/>
                          <w:spacing w:before="33"/>
                          <w:ind w:left="523"/>
                          <w:rPr>
                            <w:sz w:val="20"/>
                          </w:rPr>
                        </w:pPr>
                        <w:r>
                          <w:rPr>
                            <w:color w:val="231F20"/>
                            <w:sz w:val="20"/>
                          </w:rPr>
                          <w:t>(5.4)</w:t>
                        </w:r>
                      </w:p>
                    </w:tc>
                  </w:tr>
                  <w:tr>
                    <w:trPr>
                      <w:trHeight w:val="340" w:hRule="exact"/>
                    </w:trPr>
                    <w:tc>
                      <w:tcPr>
                        <w:tcW w:w="4200" w:type="dxa"/>
                        <w:shd w:val="clear" w:color="auto" w:fill="D1D3D4"/>
                      </w:tcPr>
                      <w:p>
                        <w:pPr>
                          <w:pStyle w:val="TableParagraph"/>
                          <w:spacing w:before="33"/>
                          <w:ind w:left="60"/>
                          <w:rPr>
                            <w:sz w:val="20"/>
                          </w:rPr>
                        </w:pPr>
                        <w:r>
                          <w:rPr>
                            <w:color w:val="231F20"/>
                            <w:sz w:val="20"/>
                          </w:rPr>
                          <w:t>Total</w:t>
                        </w: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11.18¢</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33"/>
                          <w:ind w:right="17"/>
                          <w:jc w:val="right"/>
                          <w:rPr>
                            <w:sz w:val="20"/>
                          </w:rPr>
                        </w:pPr>
                        <w:r>
                          <w:rPr>
                            <w:color w:val="231F20"/>
                            <w:sz w:val="20"/>
                          </w:rPr>
                          <w:t>12.50¢</w:t>
                        </w:r>
                      </w:p>
                    </w:tc>
                    <w:tc>
                      <w:tcPr>
                        <w:tcW w:w="200" w:type="dxa"/>
                        <w:shd w:val="clear" w:color="auto" w:fill="D1D3D4"/>
                      </w:tcPr>
                      <w:p>
                        <w:pPr/>
                      </w:p>
                    </w:tc>
                    <w:tc>
                      <w:tcPr>
                        <w:tcW w:w="1127" w:type="dxa"/>
                        <w:tcBorders>
                          <w:top w:val="single" w:sz="4" w:space="0" w:color="231F20"/>
                          <w:bottom w:val="single" w:sz="4" w:space="0" w:color="231F20"/>
                        </w:tcBorders>
                        <w:shd w:val="clear" w:color="auto" w:fill="D1D3D4"/>
                      </w:tcPr>
                      <w:p>
                        <w:pPr>
                          <w:pStyle w:val="TableParagraph"/>
                          <w:spacing w:before="33"/>
                          <w:jc w:val="right"/>
                          <w:rPr>
                            <w:sz w:val="20"/>
                          </w:rPr>
                        </w:pPr>
                        <w:r>
                          <w:rPr>
                            <w:color w:val="231F20"/>
                            <w:sz w:val="20"/>
                          </w:rPr>
                          <w:t>(1.32)¢</w:t>
                        </w:r>
                      </w:p>
                    </w:tc>
                    <w:tc>
                      <w:tcPr>
                        <w:tcW w:w="153"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spacing w:before="28"/>
                          <w:ind w:right="5"/>
                          <w:jc w:val="right"/>
                          <w:rPr>
                            <w:sz w:val="20"/>
                          </w:rPr>
                        </w:pPr>
                        <w:r>
                          <w:rPr>
                            <w:color w:val="231F20"/>
                            <w:sz w:val="20"/>
                          </w:rPr>
                          <w:t>(10.6)%</w:t>
                        </w:r>
                      </w:p>
                    </w:tc>
                  </w:tr>
                </w:tbl>
                <w:p>
                  <w:pPr>
                    <w:pStyle w:val="BodyText"/>
                  </w:pPr>
                </w:p>
              </w:txbxContent>
            </v:textbox>
            <w10:wrap type="none"/>
          </v:shape>
        </w:pict>
      </w:r>
      <w:r>
        <w:rPr>
          <w:b/>
          <w:color w:val="231F20"/>
          <w:sz w:val="20"/>
        </w:rPr>
        <w:t>Year ended</w:t>
      </w:r>
      <w:r>
        <w:rPr>
          <w:b/>
          <w:color w:val="231F20"/>
          <w:spacing w:val="-1"/>
          <w:sz w:val="20"/>
        </w:rPr>
        <w:t> </w:t>
      </w:r>
      <w:r>
        <w:rPr>
          <w:b/>
          <w:color w:val="231F20"/>
          <w:sz w:val="20"/>
        </w:rPr>
        <w:t>December 31,</w:t>
        <w:tab/>
        <w:t>Per ASM</w:t>
        <w:tab/>
      </w:r>
      <w:r>
        <w:rPr>
          <w:b/>
          <w:color w:val="231F20"/>
          <w:position w:val="-9"/>
          <w:sz w:val="20"/>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r>
        <w:rPr/>
        <w:pict>
          <v:line style="position:absolute;mso-position-horizontal-relative:page;mso-position-vertical-relative:paragraph;z-index:2056;mso-wrap-distance-left:0;mso-wrap-distance-right:0" from="279pt,13.072963pt" to="333pt,13.072963pt" stroked="true" strokeweight=".5pt" strokecolor="#231f20">
            <v:stroke dashstyle="solid"/>
            <w10:wrap type="topAndBottom"/>
          </v:line>
        </w:pict>
      </w:r>
      <w:r>
        <w:rPr/>
        <w:pict>
          <v:line style="position:absolute;mso-position-horizontal-relative:page;mso-position-vertical-relative:paragraph;z-index:2080;mso-wrap-distance-left:0;mso-wrap-distance-right:0" from="343pt,13.072963pt" to="397pt,13.072963pt" stroked="true" strokeweight=".5pt" strokecolor="#231f20">
            <v:stroke dashstyle="solid"/>
            <w10:wrap type="topAndBottom"/>
          </v:line>
        </w:pict>
      </w:r>
      <w:r>
        <w:rPr/>
        <w:pict>
          <v:line style="position:absolute;mso-position-horizontal-relative:page;mso-position-vertical-relative:paragraph;z-index:2104;mso-wrap-distance-left:0;mso-wrap-distance-right:0" from="407pt,13.072963pt" to="461pt,13.072963pt" stroked="true" strokeweight=".5pt" strokecolor="#231f20">
            <v:stroke dashstyle="solid"/>
            <w10:wrap type="topAndBottom"/>
          </v:line>
        </w:pict>
      </w:r>
    </w:p>
    <w:p>
      <w:pPr>
        <w:spacing w:after="0"/>
        <w:rPr>
          <w:sz w:val="18"/>
        </w:rPr>
        <w:sectPr>
          <w:pgSz w:w="11880" w:h="15480"/>
          <w:pgMar w:header="0" w:footer="1240" w:top="1240" w:bottom="1420" w:left="1260" w:right="1260"/>
        </w:sectPr>
      </w:pPr>
    </w:p>
    <w:p>
      <w:pPr>
        <w:pStyle w:val="BodyText"/>
        <w:spacing w:line="247" w:lineRule="auto" w:before="74"/>
        <w:ind w:left="100" w:right="118"/>
        <w:jc w:val="both"/>
      </w:pPr>
      <w:r>
        <w:rPr>
          <w:color w:val="231F20"/>
        </w:rPr>
        <w:t>Operating expenses per ASM for 2015 decreased by 10.6 percent, compared with 2014, primarily due to a decrease in Fuel and oil expense, partially offset by an increase in Salaries, wages, and benefits expense. On a non-GAAP basis, Operating expenses per ASM for 2015, excluding fuel and special items, increased 0.1 percent year-over-year primarily due to higher Salaries, wages, and benefits expense. See the previous Note Regarding Use of Non-GAAP Financial Measures.</w:t>
      </w:r>
    </w:p>
    <w:p>
      <w:pPr>
        <w:pStyle w:val="BodyText"/>
        <w:spacing w:before="9"/>
        <w:rPr>
          <w:sz w:val="20"/>
        </w:rPr>
      </w:pPr>
    </w:p>
    <w:p>
      <w:pPr>
        <w:pStyle w:val="BodyText"/>
        <w:spacing w:line="247" w:lineRule="auto"/>
        <w:ind w:left="100" w:right="117"/>
        <w:jc w:val="both"/>
      </w:pPr>
      <w:r>
        <w:rPr>
          <w:color w:val="231F20"/>
        </w:rPr>
        <w:t>Salaries, wages, and benefits expense for 2015 increased by $949 million, or 17.5 percent, compared with 2014. Salaries, wages, and benefits expense per ASM for 2015 increased 9.7 percent, compared with 2014. On both a dollar and per ASM basis, approximately half of these increases were the result of higher salaries primarily due to the accrued $334 million of union bonuses as a result of ongoing negotiations with various workgroups during 2015, increased training, additional headcount, and contractual increases. The remaining increase was primarily due to higher profitsharing expense as a result of significantly higher profits in</w:t>
      </w:r>
      <w:r>
        <w:rPr>
          <w:color w:val="231F20"/>
          <w:spacing w:val="-4"/>
        </w:rPr>
        <w:t> </w:t>
      </w:r>
      <w:r>
        <w:rPr>
          <w:color w:val="231F20"/>
        </w:rPr>
        <w:t>2015.</w:t>
      </w:r>
    </w:p>
    <w:p>
      <w:pPr>
        <w:pStyle w:val="BodyText"/>
        <w:spacing w:before="9"/>
        <w:rPr>
          <w:sz w:val="20"/>
        </w:rPr>
      </w:pPr>
    </w:p>
    <w:p>
      <w:pPr>
        <w:pStyle w:val="BodyText"/>
        <w:spacing w:line="247" w:lineRule="auto"/>
        <w:ind w:left="100" w:right="117"/>
        <w:jc w:val="both"/>
      </w:pPr>
      <w:r>
        <w:rPr>
          <w:color w:val="231F20"/>
        </w:rPr>
        <w:t>Fuel and oil expense for 2015 decreased by $1.7 billion, or 31.7 percent, compared with 2014. On a per ASM basis, Fuel and oil expense for 2015 decreased 36.1 percent, compared with 2014. Excluding the impact of fuel hedge accounting, both the dollar and per ASM decreases were attributable to lower jet fuel prices. The Company’s average economic jet fuel price per gallon decreased 29.1 percent year- over-year, from $2.92 for 2014 to $2.07 for 2015. The Company also slightly improved fuel efficiency, when measured on the basis of ASMs generated per gallon of fuel, primarily as a result of modernization of the Company’s fleet and a 4.0 percent increase in stage length. Fuel gallons consumed  increased  5.6  percent,  compared   with   2014,   while   year-over-year   capacity   increased 7.2</w:t>
      </w:r>
      <w:r>
        <w:rPr>
          <w:color w:val="231F20"/>
          <w:spacing w:val="1"/>
        </w:rPr>
        <w:t> </w:t>
      </w:r>
      <w:r>
        <w:rPr>
          <w:color w:val="231F20"/>
        </w:rPr>
        <w:t>percent.</w:t>
      </w:r>
    </w:p>
    <w:p>
      <w:pPr>
        <w:pStyle w:val="BodyText"/>
        <w:spacing w:before="9"/>
        <w:rPr>
          <w:sz w:val="20"/>
        </w:rPr>
      </w:pPr>
    </w:p>
    <w:p>
      <w:pPr>
        <w:pStyle w:val="BodyText"/>
        <w:spacing w:line="247" w:lineRule="auto"/>
        <w:ind w:left="100" w:right="117"/>
        <w:jc w:val="both"/>
      </w:pPr>
      <w:r>
        <w:rPr>
          <w:color w:val="231F20"/>
        </w:rPr>
        <w:t>As  a  result  of  the  Company’s  fuel  hedging  program,   the   Company   recognized   losses   totaling </w:t>
      </w:r>
      <w:r>
        <w:rPr>
          <w:color w:val="231F20"/>
          <w:spacing w:val="42"/>
        </w:rPr>
        <w:t> </w:t>
      </w:r>
      <w:r>
        <w:rPr>
          <w:color w:val="231F20"/>
        </w:rPr>
        <w:t>$254 </w:t>
      </w:r>
      <w:r>
        <w:rPr>
          <w:color w:val="231F20"/>
          <w:spacing w:val="43"/>
        </w:rPr>
        <w:t> </w:t>
      </w:r>
      <w:r>
        <w:rPr>
          <w:color w:val="231F20"/>
        </w:rPr>
        <w:t>million </w:t>
      </w:r>
      <w:r>
        <w:rPr>
          <w:color w:val="231F20"/>
          <w:spacing w:val="42"/>
        </w:rPr>
        <w:t> </w:t>
      </w:r>
      <w:r>
        <w:rPr>
          <w:color w:val="231F20"/>
        </w:rPr>
        <w:t>in </w:t>
      </w:r>
      <w:r>
        <w:rPr>
          <w:color w:val="231F20"/>
          <w:spacing w:val="42"/>
        </w:rPr>
        <w:t> </w:t>
      </w:r>
      <w:r>
        <w:rPr>
          <w:color w:val="231F20"/>
        </w:rPr>
        <w:t>Fuel </w:t>
      </w:r>
      <w:r>
        <w:rPr>
          <w:color w:val="231F20"/>
          <w:spacing w:val="42"/>
        </w:rPr>
        <w:t> </w:t>
      </w:r>
      <w:r>
        <w:rPr>
          <w:color w:val="231F20"/>
        </w:rPr>
        <w:t>and </w:t>
      </w:r>
      <w:r>
        <w:rPr>
          <w:color w:val="231F20"/>
          <w:spacing w:val="43"/>
        </w:rPr>
        <w:t> </w:t>
      </w:r>
      <w:r>
        <w:rPr>
          <w:color w:val="231F20"/>
        </w:rPr>
        <w:t>oil </w:t>
      </w:r>
      <w:r>
        <w:rPr>
          <w:color w:val="231F20"/>
          <w:spacing w:val="42"/>
        </w:rPr>
        <w:t> </w:t>
      </w:r>
      <w:r>
        <w:rPr>
          <w:color w:val="231F20"/>
        </w:rPr>
        <w:t>expense </w:t>
      </w:r>
      <w:r>
        <w:rPr>
          <w:color w:val="231F20"/>
          <w:spacing w:val="43"/>
        </w:rPr>
        <w:t> </w:t>
      </w:r>
      <w:r>
        <w:rPr>
          <w:color w:val="231F20"/>
        </w:rPr>
        <w:t>for </w:t>
      </w:r>
      <w:r>
        <w:rPr>
          <w:color w:val="231F20"/>
          <w:spacing w:val="41"/>
        </w:rPr>
        <w:t> </w:t>
      </w:r>
      <w:r>
        <w:rPr>
          <w:color w:val="231F20"/>
        </w:rPr>
        <w:t>2015, </w:t>
      </w:r>
      <w:r>
        <w:rPr>
          <w:color w:val="231F20"/>
          <w:spacing w:val="42"/>
        </w:rPr>
        <w:t> </w:t>
      </w:r>
      <w:r>
        <w:rPr>
          <w:color w:val="231F20"/>
        </w:rPr>
        <w:t>compared </w:t>
      </w:r>
      <w:r>
        <w:rPr>
          <w:color w:val="231F20"/>
          <w:spacing w:val="42"/>
        </w:rPr>
        <w:t> </w:t>
      </w:r>
      <w:r>
        <w:rPr>
          <w:color w:val="231F20"/>
        </w:rPr>
        <w:t>with </w:t>
      </w:r>
      <w:r>
        <w:rPr>
          <w:color w:val="231F20"/>
          <w:spacing w:val="41"/>
        </w:rPr>
        <w:t> </w:t>
      </w:r>
      <w:r>
        <w:rPr>
          <w:color w:val="231F20"/>
        </w:rPr>
        <w:t>net </w:t>
      </w:r>
      <w:r>
        <w:rPr>
          <w:color w:val="231F20"/>
          <w:spacing w:val="42"/>
        </w:rPr>
        <w:t> </w:t>
      </w:r>
      <w:r>
        <w:rPr>
          <w:color w:val="231F20"/>
        </w:rPr>
        <w:t>gains </w:t>
      </w:r>
      <w:r>
        <w:rPr>
          <w:color w:val="231F20"/>
          <w:spacing w:val="42"/>
        </w:rPr>
        <w:t> </w:t>
      </w:r>
      <w:r>
        <w:rPr>
          <w:color w:val="231F20"/>
        </w:rPr>
        <w:t>totaling</w:t>
      </w:r>
    </w:p>
    <w:p>
      <w:pPr>
        <w:pStyle w:val="BodyText"/>
        <w:spacing w:line="247" w:lineRule="auto"/>
        <w:ind w:left="100" w:right="117"/>
        <w:jc w:val="both"/>
      </w:pPr>
      <w:r>
        <w:rPr>
          <w:color w:val="231F20"/>
        </w:rPr>
        <w:t>$28 million for 2014. These totals include cash settlements realized from the settlement of fuel derivative   contracts   totaling   $577   million   paid   to   counterparties   for   2015,   compared        to</w:t>
      </w:r>
    </w:p>
    <w:p>
      <w:pPr>
        <w:pStyle w:val="BodyText"/>
        <w:spacing w:line="247" w:lineRule="auto"/>
        <w:ind w:left="100" w:right="118"/>
        <w:jc w:val="both"/>
      </w:pPr>
      <w:r>
        <w:rPr>
          <w:color w:val="231F20"/>
        </w:rPr>
        <w:t>$56 million received from counterparties for 2014, although such totals exclude gains and/or losses recognized from hedge ineffectiveness and from derivatives that do not qualify for hedge accounting. These impacts are recorded as a component of Other (gains) losses, net.</w:t>
      </w:r>
    </w:p>
    <w:p>
      <w:pPr>
        <w:pStyle w:val="BodyText"/>
        <w:spacing w:before="9"/>
        <w:rPr>
          <w:sz w:val="20"/>
        </w:rPr>
      </w:pPr>
    </w:p>
    <w:p>
      <w:pPr>
        <w:pStyle w:val="BodyText"/>
        <w:spacing w:line="247" w:lineRule="auto"/>
        <w:ind w:left="100" w:right="117"/>
        <w:jc w:val="both"/>
      </w:pPr>
      <w:r>
        <w:rPr>
          <w:color w:val="231F20"/>
        </w:rPr>
        <w:t>Maintenance materials and repairs expense for 2015 increased by $27 million, or 2.8 percent,  compared  with  2014.  On   a   per   ASM   basis,   Maintenance   materials   and   repairs   expense   for 2015 decreased 4.0 percent, compared with 2014, as the dollar increases were more than offset by the 7.2 percent increase in capacity. On a dollar basis, the majority of the increase was attributable to the timing of regular airframe maintenance checks, partially offset by reduced engine and avionic repair expense as a result of the B717 aircraft transitioning out of the Company’s</w:t>
      </w:r>
      <w:r>
        <w:rPr>
          <w:color w:val="231F20"/>
          <w:spacing w:val="-5"/>
        </w:rPr>
        <w:t> </w:t>
      </w:r>
      <w:r>
        <w:rPr>
          <w:color w:val="231F20"/>
        </w:rPr>
        <w:t>fleet.</w:t>
      </w:r>
    </w:p>
    <w:p>
      <w:pPr>
        <w:pStyle w:val="BodyText"/>
        <w:spacing w:before="9"/>
        <w:rPr>
          <w:sz w:val="20"/>
        </w:rPr>
      </w:pPr>
    </w:p>
    <w:p>
      <w:pPr>
        <w:pStyle w:val="BodyText"/>
        <w:spacing w:line="247" w:lineRule="auto"/>
        <w:ind w:left="100" w:right="117"/>
        <w:jc w:val="both"/>
      </w:pPr>
      <w:r>
        <w:rPr>
          <w:color w:val="231F20"/>
        </w:rPr>
        <w:t>Aircraft rentals expense for 2015 decreased by $57 million, or 19.3 percent, compared with 2014. On a per ASM basis, Aircraft rentals expense decreased 22.7 percent, compared with 2014. On both a dollar and per ASM basis, the decrease was primarily due to the transition of leased B717 aircraft out of the Company’s fleet for conversion and delivery to Delta.</w:t>
      </w:r>
    </w:p>
    <w:p>
      <w:pPr>
        <w:pStyle w:val="BodyText"/>
        <w:spacing w:before="9"/>
        <w:rPr>
          <w:sz w:val="20"/>
        </w:rPr>
      </w:pPr>
    </w:p>
    <w:p>
      <w:pPr>
        <w:pStyle w:val="BodyText"/>
        <w:spacing w:line="247" w:lineRule="auto"/>
        <w:ind w:left="100" w:right="118"/>
        <w:jc w:val="both"/>
      </w:pPr>
      <w:r>
        <w:rPr>
          <w:color w:val="231F20"/>
        </w:rPr>
        <w:t>Landing fees and other rentals expense for 2015 increased by $55 million, or 5.0 percent, compared with  2014.  On  a  per  ASM  basis,  Landing  fees  and  other  rentals  expense  for  2015      decreased</w:t>
      </w:r>
    </w:p>
    <w:p>
      <w:pPr>
        <w:pStyle w:val="BodyText"/>
        <w:spacing w:line="253" w:lineRule="exact"/>
        <w:ind w:left="100"/>
        <w:jc w:val="both"/>
      </w:pPr>
      <w:r>
        <w:rPr>
          <w:color w:val="231F20"/>
        </w:rPr>
        <w:t>2.4   percent,   compared   with   2014,   as   the   dollar   increases   were   more   than   offset   by  </w:t>
      </w:r>
      <w:r>
        <w:rPr>
          <w:color w:val="231F20"/>
          <w:spacing w:val="53"/>
        </w:rPr>
        <w:t> </w:t>
      </w:r>
      <w:r>
        <w:rPr>
          <w:color w:val="231F20"/>
        </w:rPr>
        <w:t>the</w:t>
      </w:r>
    </w:p>
    <w:p>
      <w:pPr>
        <w:pStyle w:val="BodyText"/>
        <w:spacing w:before="7"/>
        <w:ind w:left="100"/>
        <w:jc w:val="both"/>
      </w:pPr>
      <w:r>
        <w:rPr>
          <w:color w:val="231F20"/>
        </w:rPr>
        <w:t>7.2 percent increase in capacity. On a dollar basis, the majority of the increase was due was due to</w:t>
      </w:r>
    </w:p>
    <w:p>
      <w:pPr>
        <w:spacing w:after="0"/>
        <w:jc w:val="both"/>
        <w:sectPr>
          <w:pgSz w:w="11880" w:h="15480"/>
          <w:pgMar w:header="0" w:footer="1240" w:top="1240" w:bottom="1420" w:left="1280" w:right="1260"/>
        </w:sectPr>
      </w:pPr>
    </w:p>
    <w:p>
      <w:pPr>
        <w:pStyle w:val="BodyText"/>
        <w:spacing w:line="247" w:lineRule="auto" w:before="74"/>
        <w:ind w:left="120" w:right="118"/>
        <w:jc w:val="both"/>
      </w:pPr>
      <w:r>
        <w:rPr>
          <w:color w:val="231F20"/>
        </w:rPr>
        <w:t>higher space rental rates at various airports. The remaining increase was due to heavier landing weights for the Company’s higher capacity 737-800 aircraft.</w:t>
      </w:r>
    </w:p>
    <w:p>
      <w:pPr>
        <w:pStyle w:val="BodyText"/>
        <w:spacing w:before="9"/>
        <w:rPr>
          <w:sz w:val="20"/>
        </w:rPr>
      </w:pPr>
    </w:p>
    <w:p>
      <w:pPr>
        <w:pStyle w:val="BodyText"/>
        <w:spacing w:line="247" w:lineRule="auto"/>
        <w:ind w:left="120" w:right="117"/>
        <w:jc w:val="both"/>
      </w:pPr>
      <w:r>
        <w:rPr>
          <w:color w:val="231F20"/>
        </w:rPr>
        <w:t>Depreciation and amortization expense for 2015 increased by $77 million, or 8.2 percent, compared with 2014. On a per ASM basis, Depreciation and amortization expense remained flat, compared     with 2014. On a dollar basis, the majority of the increase was due to the purchase and capital lease of new and used aircraft since 2014, the majority of which replaced B717s removed from service in      late 2014.</w:t>
      </w:r>
    </w:p>
    <w:p>
      <w:pPr>
        <w:pStyle w:val="BodyText"/>
        <w:spacing w:before="9"/>
        <w:rPr>
          <w:sz w:val="20"/>
        </w:rPr>
      </w:pPr>
    </w:p>
    <w:p>
      <w:pPr>
        <w:pStyle w:val="BodyText"/>
        <w:spacing w:line="247" w:lineRule="auto"/>
        <w:ind w:left="120" w:right="117"/>
        <w:jc w:val="both"/>
      </w:pPr>
      <w:r>
        <w:rPr>
          <w:color w:val="231F20"/>
        </w:rPr>
        <w:t>The Company incurred $39 million in Acquisition and integration costs in 2015, related to the AirTran integration, compared with $126 million in 2014. This expense primarily consisted of Employee training, facilities integration, and certain expenses associated with the grounding and conversion costs resulting from the transition of B717s to Delta.</w:t>
      </w:r>
    </w:p>
    <w:p>
      <w:pPr>
        <w:pStyle w:val="BodyText"/>
        <w:spacing w:before="9"/>
        <w:rPr>
          <w:sz w:val="20"/>
        </w:rPr>
      </w:pPr>
    </w:p>
    <w:p>
      <w:pPr>
        <w:pStyle w:val="BodyText"/>
        <w:spacing w:line="247" w:lineRule="auto"/>
        <w:ind w:left="120" w:right="117"/>
        <w:jc w:val="both"/>
      </w:pPr>
      <w:r>
        <w:rPr>
          <w:color w:val="231F20"/>
        </w:rPr>
        <w:t>Other operating expenses for 2015 increased by $37 million, or 1.7 percent, compared with 2014. On a per ASM basis, Other operating expenses for 2015 decreased 5.4 percent, compared with 2014, as the dollar increases  were more than offset by the 7.2 percent increase  in capacity. On a dollar basis,       the increase was equally attributable to higher personnel expenses associated with travel costs of the Company’s flight crew and credit card fees paid to third parties associated with the increase in Passenger revenues. These and other smaller increases were partially offset by a decrease in security expenses as a result of the repeal of the TSA Aviation Security Infrastructure Fee in October 2014 and a litigation settlement received by the Company in the first quarter of</w:t>
      </w:r>
      <w:r>
        <w:rPr>
          <w:color w:val="231F20"/>
          <w:spacing w:val="-4"/>
        </w:rPr>
        <w:t> </w:t>
      </w:r>
      <w:r>
        <w:rPr>
          <w:color w:val="231F20"/>
        </w:rPr>
        <w:t>2015.</w:t>
      </w:r>
    </w:p>
    <w:p>
      <w:pPr>
        <w:pStyle w:val="BodyText"/>
        <w:spacing w:before="9"/>
        <w:rPr>
          <w:sz w:val="20"/>
        </w:rPr>
      </w:pPr>
    </w:p>
    <w:p>
      <w:pPr>
        <w:pStyle w:val="Heading1"/>
        <w:ind w:left="120"/>
      </w:pPr>
      <w:r>
        <w:rPr>
          <w:color w:val="231F20"/>
        </w:rPr>
        <w:t>Other</w:t>
      </w:r>
    </w:p>
    <w:p>
      <w:pPr>
        <w:pStyle w:val="BodyText"/>
        <w:spacing w:before="4"/>
        <w:rPr>
          <w:b/>
          <w:sz w:val="21"/>
        </w:rPr>
      </w:pPr>
    </w:p>
    <w:p>
      <w:pPr>
        <w:pStyle w:val="BodyText"/>
        <w:spacing w:line="247" w:lineRule="auto" w:before="1"/>
        <w:ind w:left="120" w:right="118"/>
        <w:jc w:val="both"/>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2015, and 2014:</w:t>
      </w:r>
    </w:p>
    <w:p>
      <w:pPr>
        <w:pStyle w:val="BodyText"/>
        <w:spacing w:before="3"/>
        <w:rPr>
          <w:sz w:val="17"/>
        </w:rPr>
      </w:pPr>
    </w:p>
    <w:p>
      <w:pPr>
        <w:spacing w:before="0" w:after="27"/>
        <w:ind w:left="6920" w:right="0" w:firstLine="0"/>
        <w:jc w:val="left"/>
        <w:rPr>
          <w:b/>
          <w:sz w:val="20"/>
        </w:rPr>
      </w:pPr>
      <w:r>
        <w:rPr/>
        <w:pict>
          <v:line style="position:absolute;mso-position-horizontal-relative:page;mso-position-vertical-relative:paragraph;z-index:-376936" from="69pt,26.835938pt" to="121.4pt,26.835938pt" stroked="true" strokeweight="1pt" strokecolor="#231f20">
            <v:stroke dashstyle="solid"/>
            <w10:wrap type="none"/>
          </v:line>
        </w:pict>
      </w:r>
      <w:r>
        <w:rPr>
          <w:b/>
          <w:color w:val="231F20"/>
          <w:sz w:val="20"/>
        </w:rPr>
        <w:t>Year ended December 31,</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60"/>
        <w:gridCol w:w="760"/>
        <w:gridCol w:w="386"/>
        <w:gridCol w:w="134"/>
        <w:gridCol w:w="700"/>
        <w:gridCol w:w="380"/>
      </w:tblGrid>
      <w:tr>
        <w:trPr>
          <w:trHeight w:val="280" w:hRule="exact"/>
        </w:trPr>
        <w:tc>
          <w:tcPr>
            <w:tcW w:w="6760" w:type="dxa"/>
          </w:tcPr>
          <w:p>
            <w:pPr>
              <w:pStyle w:val="TableParagraph"/>
              <w:spacing w:before="23"/>
              <w:ind w:left="50"/>
              <w:rPr>
                <w:sz w:val="20"/>
              </w:rPr>
            </w:pPr>
            <w:r>
              <w:rPr>
                <w:color w:val="231F20"/>
                <w:sz w:val="20"/>
              </w:rPr>
              <w:t>(in millions)</w:t>
            </w:r>
          </w:p>
        </w:tc>
        <w:tc>
          <w:tcPr>
            <w:tcW w:w="760" w:type="dxa"/>
            <w:tcBorders>
              <w:top w:val="single" w:sz="8" w:space="0" w:color="231F20"/>
              <w:bottom w:val="single" w:sz="8" w:space="0" w:color="231F20"/>
            </w:tcBorders>
          </w:tcPr>
          <w:p>
            <w:pPr>
              <w:pStyle w:val="TableParagraph"/>
              <w:spacing w:before="13"/>
              <w:ind w:left="340"/>
              <w:rPr>
                <w:b/>
                <w:sz w:val="20"/>
              </w:rPr>
            </w:pPr>
            <w:r>
              <w:rPr>
                <w:b/>
                <w:color w:val="231F20"/>
                <w:sz w:val="20"/>
              </w:rPr>
              <w:t>2015</w:t>
            </w:r>
          </w:p>
        </w:tc>
        <w:tc>
          <w:tcPr>
            <w:tcW w:w="386" w:type="dxa"/>
            <w:tcBorders>
              <w:top w:val="single" w:sz="8" w:space="0" w:color="231F20"/>
              <w:bottom w:val="single" w:sz="8" w:space="0" w:color="231F20"/>
            </w:tcBorders>
          </w:tcPr>
          <w:p>
            <w:pPr/>
          </w:p>
        </w:tc>
        <w:tc>
          <w:tcPr>
            <w:tcW w:w="134" w:type="dxa"/>
            <w:tcBorders>
              <w:top w:val="single" w:sz="8" w:space="0" w:color="231F20"/>
            </w:tcBorders>
          </w:tcPr>
          <w:p>
            <w:pPr/>
          </w:p>
        </w:tc>
        <w:tc>
          <w:tcPr>
            <w:tcW w:w="700" w:type="dxa"/>
            <w:tcBorders>
              <w:top w:val="single" w:sz="8" w:space="0" w:color="231F20"/>
              <w:bottom w:val="single" w:sz="8" w:space="0" w:color="231F20"/>
            </w:tcBorders>
          </w:tcPr>
          <w:p>
            <w:pPr>
              <w:pStyle w:val="TableParagraph"/>
              <w:spacing w:before="13"/>
              <w:ind w:left="300"/>
              <w:rPr>
                <w:b/>
                <w:sz w:val="20"/>
              </w:rPr>
            </w:pPr>
            <w:r>
              <w:rPr>
                <w:b/>
                <w:color w:val="231F20"/>
                <w:sz w:val="20"/>
              </w:rPr>
              <w:t>2014</w:t>
            </w:r>
          </w:p>
        </w:tc>
        <w:tc>
          <w:tcPr>
            <w:tcW w:w="380" w:type="dxa"/>
            <w:tcBorders>
              <w:top w:val="single" w:sz="8" w:space="0" w:color="231F20"/>
              <w:bottom w:val="single" w:sz="8" w:space="0" w:color="231F20"/>
            </w:tcBorders>
          </w:tcPr>
          <w:p>
            <w:pPr/>
          </w:p>
        </w:tc>
      </w:tr>
      <w:tr>
        <w:trPr>
          <w:trHeight w:val="310" w:hRule="exact"/>
        </w:trPr>
        <w:tc>
          <w:tcPr>
            <w:tcW w:w="6760" w:type="dxa"/>
            <w:shd w:val="clear" w:color="auto" w:fill="D1D3D4"/>
          </w:tcPr>
          <w:p>
            <w:pPr>
              <w:pStyle w:val="TableParagraph"/>
              <w:ind w:left="50"/>
              <w:rPr>
                <w:sz w:val="20"/>
              </w:rPr>
            </w:pPr>
            <w:r>
              <w:rPr>
                <w:color w:val="231F20"/>
                <w:sz w:val="20"/>
              </w:rPr>
              <w:t>Mark-to-market impact from fuel contracts settling in future periods</w:t>
            </w:r>
          </w:p>
        </w:tc>
        <w:tc>
          <w:tcPr>
            <w:tcW w:w="760" w:type="dxa"/>
            <w:tcBorders>
              <w:top w:val="single" w:sz="8" w:space="0" w:color="231F20"/>
            </w:tcBorders>
            <w:shd w:val="clear" w:color="auto" w:fill="D1D3D4"/>
          </w:tcPr>
          <w:p>
            <w:pPr>
              <w:pStyle w:val="TableParagraph"/>
              <w:rPr>
                <w:sz w:val="20"/>
              </w:rPr>
            </w:pPr>
            <w:r>
              <w:rPr>
                <w:color w:val="231F20"/>
                <w:sz w:val="20"/>
              </w:rPr>
              <w:t>$</w:t>
            </w:r>
          </w:p>
        </w:tc>
        <w:tc>
          <w:tcPr>
            <w:tcW w:w="386" w:type="dxa"/>
            <w:tcBorders>
              <w:top w:val="single" w:sz="8" w:space="0" w:color="231F20"/>
            </w:tcBorders>
            <w:shd w:val="clear" w:color="auto" w:fill="D1D3D4"/>
          </w:tcPr>
          <w:p>
            <w:pPr>
              <w:pStyle w:val="TableParagraph"/>
              <w:ind w:left="20"/>
              <w:rPr>
                <w:sz w:val="20"/>
              </w:rPr>
            </w:pPr>
            <w:r>
              <w:rPr>
                <w:color w:val="231F20"/>
                <w:sz w:val="20"/>
              </w:rPr>
              <w:t>373</w:t>
            </w:r>
          </w:p>
        </w:tc>
        <w:tc>
          <w:tcPr>
            <w:tcW w:w="134" w:type="dxa"/>
            <w:shd w:val="clear" w:color="auto" w:fill="D1D3D4"/>
          </w:tcPr>
          <w:p>
            <w:pPr/>
          </w:p>
        </w:tc>
        <w:tc>
          <w:tcPr>
            <w:tcW w:w="700" w:type="dxa"/>
            <w:tcBorders>
              <w:top w:val="single" w:sz="8" w:space="0" w:color="231F20"/>
            </w:tcBorders>
            <w:shd w:val="clear" w:color="auto" w:fill="D1D3D4"/>
          </w:tcPr>
          <w:p>
            <w:pPr>
              <w:pStyle w:val="TableParagraph"/>
              <w:rPr>
                <w:sz w:val="20"/>
              </w:rPr>
            </w:pPr>
            <w:r>
              <w:rPr>
                <w:color w:val="231F20"/>
                <w:sz w:val="20"/>
              </w:rPr>
              <w:t>$</w:t>
            </w:r>
          </w:p>
        </w:tc>
        <w:tc>
          <w:tcPr>
            <w:tcW w:w="380" w:type="dxa"/>
            <w:tcBorders>
              <w:top w:val="single" w:sz="8" w:space="0" w:color="231F20"/>
            </w:tcBorders>
            <w:shd w:val="clear" w:color="auto" w:fill="D1D3D4"/>
          </w:tcPr>
          <w:p>
            <w:pPr>
              <w:pStyle w:val="TableParagraph"/>
              <w:rPr>
                <w:sz w:val="20"/>
              </w:rPr>
            </w:pPr>
            <w:r>
              <w:rPr>
                <w:color w:val="231F20"/>
                <w:sz w:val="20"/>
              </w:rPr>
              <w:t>251</w:t>
            </w:r>
          </w:p>
        </w:tc>
      </w:tr>
      <w:tr>
        <w:trPr>
          <w:trHeight w:val="300" w:hRule="exact"/>
        </w:trPr>
        <w:tc>
          <w:tcPr>
            <w:tcW w:w="6760" w:type="dxa"/>
          </w:tcPr>
          <w:p>
            <w:pPr>
              <w:pStyle w:val="TableParagraph"/>
              <w:ind w:left="50"/>
              <w:rPr>
                <w:sz w:val="20"/>
              </w:rPr>
            </w:pPr>
            <w:r>
              <w:rPr>
                <w:color w:val="231F20"/>
                <w:sz w:val="20"/>
              </w:rPr>
              <w:t>Ineffectiveness from fuel hedges settling in future periods</w:t>
            </w:r>
          </w:p>
        </w:tc>
        <w:tc>
          <w:tcPr>
            <w:tcW w:w="760" w:type="dxa"/>
          </w:tcPr>
          <w:p>
            <w:pPr/>
          </w:p>
        </w:tc>
        <w:tc>
          <w:tcPr>
            <w:tcW w:w="386" w:type="dxa"/>
          </w:tcPr>
          <w:p>
            <w:pPr>
              <w:pStyle w:val="TableParagraph"/>
              <w:jc w:val="right"/>
              <w:rPr>
                <w:sz w:val="20"/>
              </w:rPr>
            </w:pPr>
            <w:r>
              <w:rPr>
                <w:color w:val="231F20"/>
                <w:sz w:val="20"/>
              </w:rPr>
              <w:t>(9)</w:t>
            </w:r>
          </w:p>
        </w:tc>
        <w:tc>
          <w:tcPr>
            <w:tcW w:w="134" w:type="dxa"/>
          </w:tcPr>
          <w:p>
            <w:pPr/>
          </w:p>
        </w:tc>
        <w:tc>
          <w:tcPr>
            <w:tcW w:w="700" w:type="dxa"/>
          </w:tcPr>
          <w:p>
            <w:pPr/>
          </w:p>
        </w:tc>
        <w:tc>
          <w:tcPr>
            <w:tcW w:w="380" w:type="dxa"/>
          </w:tcPr>
          <w:p>
            <w:pPr>
              <w:pStyle w:val="TableParagraph"/>
              <w:ind w:left="200"/>
              <w:rPr>
                <w:sz w:val="20"/>
              </w:rPr>
            </w:pPr>
            <w:r>
              <w:rPr>
                <w:color w:val="231F20"/>
                <w:sz w:val="20"/>
              </w:rPr>
              <w:t>5</w:t>
            </w:r>
          </w:p>
        </w:tc>
      </w:tr>
      <w:tr>
        <w:trPr>
          <w:trHeight w:val="300" w:hRule="exact"/>
        </w:trPr>
        <w:tc>
          <w:tcPr>
            <w:tcW w:w="6760" w:type="dxa"/>
            <w:shd w:val="clear" w:color="auto" w:fill="D1D3D4"/>
          </w:tcPr>
          <w:p>
            <w:pPr>
              <w:pStyle w:val="TableParagraph"/>
              <w:ind w:left="50"/>
              <w:rPr>
                <w:sz w:val="20"/>
              </w:rPr>
            </w:pPr>
            <w:r>
              <w:rPr>
                <w:color w:val="231F20"/>
                <w:sz w:val="20"/>
              </w:rPr>
              <w:t>Realized ineffectiveness and mark-to-market (gains) or losses</w:t>
            </w:r>
          </w:p>
        </w:tc>
        <w:tc>
          <w:tcPr>
            <w:tcW w:w="760" w:type="dxa"/>
            <w:shd w:val="clear" w:color="auto" w:fill="D1D3D4"/>
          </w:tcPr>
          <w:p>
            <w:pPr/>
          </w:p>
        </w:tc>
        <w:tc>
          <w:tcPr>
            <w:tcW w:w="386" w:type="dxa"/>
            <w:shd w:val="clear" w:color="auto" w:fill="D1D3D4"/>
          </w:tcPr>
          <w:p>
            <w:pPr>
              <w:pStyle w:val="TableParagraph"/>
              <w:ind w:left="120"/>
              <w:rPr>
                <w:sz w:val="20"/>
              </w:rPr>
            </w:pPr>
            <w:r>
              <w:rPr>
                <w:color w:val="231F20"/>
                <w:sz w:val="20"/>
              </w:rPr>
              <w:t>72</w:t>
            </w:r>
          </w:p>
        </w:tc>
        <w:tc>
          <w:tcPr>
            <w:tcW w:w="134" w:type="dxa"/>
            <w:shd w:val="clear" w:color="auto" w:fill="D1D3D4"/>
          </w:tcPr>
          <w:p>
            <w:pPr/>
          </w:p>
        </w:tc>
        <w:tc>
          <w:tcPr>
            <w:tcW w:w="700" w:type="dxa"/>
            <w:shd w:val="clear" w:color="auto" w:fill="D1D3D4"/>
          </w:tcPr>
          <w:p>
            <w:pPr/>
          </w:p>
        </w:tc>
        <w:tc>
          <w:tcPr>
            <w:tcW w:w="380" w:type="dxa"/>
            <w:shd w:val="clear" w:color="auto" w:fill="D1D3D4"/>
          </w:tcPr>
          <w:p>
            <w:pPr>
              <w:pStyle w:val="TableParagraph"/>
              <w:ind w:right="11"/>
              <w:jc w:val="right"/>
              <w:rPr>
                <w:sz w:val="20"/>
              </w:rPr>
            </w:pPr>
            <w:r>
              <w:rPr>
                <w:color w:val="231F20"/>
                <w:sz w:val="20"/>
              </w:rPr>
              <w:t>(4)</w:t>
            </w:r>
          </w:p>
        </w:tc>
      </w:tr>
      <w:tr>
        <w:trPr>
          <w:trHeight w:val="300" w:hRule="exact"/>
        </w:trPr>
        <w:tc>
          <w:tcPr>
            <w:tcW w:w="6760" w:type="dxa"/>
          </w:tcPr>
          <w:p>
            <w:pPr>
              <w:pStyle w:val="TableParagraph"/>
              <w:ind w:left="50"/>
              <w:rPr>
                <w:sz w:val="20"/>
              </w:rPr>
            </w:pPr>
            <w:r>
              <w:rPr>
                <w:color w:val="231F20"/>
                <w:sz w:val="20"/>
              </w:rPr>
              <w:t>Premium cost of fuel contracts</w:t>
            </w:r>
          </w:p>
        </w:tc>
        <w:tc>
          <w:tcPr>
            <w:tcW w:w="760" w:type="dxa"/>
          </w:tcPr>
          <w:p>
            <w:pPr/>
          </w:p>
        </w:tc>
        <w:tc>
          <w:tcPr>
            <w:tcW w:w="386" w:type="dxa"/>
          </w:tcPr>
          <w:p>
            <w:pPr>
              <w:pStyle w:val="TableParagraph"/>
              <w:ind w:left="20"/>
              <w:rPr>
                <w:sz w:val="20"/>
              </w:rPr>
            </w:pPr>
            <w:r>
              <w:rPr>
                <w:color w:val="231F20"/>
                <w:sz w:val="20"/>
              </w:rPr>
              <w:t>124</w:t>
            </w:r>
          </w:p>
        </w:tc>
        <w:tc>
          <w:tcPr>
            <w:tcW w:w="134" w:type="dxa"/>
          </w:tcPr>
          <w:p>
            <w:pPr/>
          </w:p>
        </w:tc>
        <w:tc>
          <w:tcPr>
            <w:tcW w:w="700" w:type="dxa"/>
          </w:tcPr>
          <w:p>
            <w:pPr/>
          </w:p>
        </w:tc>
        <w:tc>
          <w:tcPr>
            <w:tcW w:w="380" w:type="dxa"/>
          </w:tcPr>
          <w:p>
            <w:pPr>
              <w:pStyle w:val="TableParagraph"/>
              <w:ind w:left="100"/>
              <w:rPr>
                <w:sz w:val="20"/>
              </w:rPr>
            </w:pPr>
            <w:r>
              <w:rPr>
                <w:color w:val="231F20"/>
                <w:sz w:val="20"/>
              </w:rPr>
              <w:t>62</w:t>
            </w:r>
          </w:p>
        </w:tc>
      </w:tr>
      <w:tr>
        <w:trPr>
          <w:trHeight w:val="335" w:hRule="exact"/>
        </w:trPr>
        <w:tc>
          <w:tcPr>
            <w:tcW w:w="6760" w:type="dxa"/>
            <w:shd w:val="clear" w:color="auto" w:fill="D1D3D4"/>
          </w:tcPr>
          <w:p>
            <w:pPr>
              <w:pStyle w:val="TableParagraph"/>
              <w:ind w:left="50"/>
              <w:rPr>
                <w:sz w:val="20"/>
              </w:rPr>
            </w:pPr>
            <w:r>
              <w:rPr>
                <w:color w:val="231F20"/>
                <w:sz w:val="20"/>
              </w:rPr>
              <w:t>Other</w:t>
            </w:r>
          </w:p>
        </w:tc>
        <w:tc>
          <w:tcPr>
            <w:tcW w:w="760" w:type="dxa"/>
            <w:tcBorders>
              <w:bottom w:val="single" w:sz="4" w:space="0" w:color="231F20"/>
            </w:tcBorders>
            <w:shd w:val="clear" w:color="auto" w:fill="D1D3D4"/>
          </w:tcPr>
          <w:p>
            <w:pPr/>
          </w:p>
        </w:tc>
        <w:tc>
          <w:tcPr>
            <w:tcW w:w="386" w:type="dxa"/>
            <w:tcBorders>
              <w:bottom w:val="single" w:sz="4" w:space="0" w:color="231F20"/>
            </w:tcBorders>
            <w:shd w:val="clear" w:color="auto" w:fill="D1D3D4"/>
          </w:tcPr>
          <w:p>
            <w:pPr>
              <w:pStyle w:val="TableParagraph"/>
              <w:jc w:val="right"/>
              <w:rPr>
                <w:sz w:val="20"/>
              </w:rPr>
            </w:pPr>
            <w:r>
              <w:rPr>
                <w:color w:val="231F20"/>
                <w:sz w:val="20"/>
              </w:rPr>
              <w:t>(4)</w:t>
            </w:r>
          </w:p>
        </w:tc>
        <w:tc>
          <w:tcPr>
            <w:tcW w:w="134" w:type="dxa"/>
            <w:shd w:val="clear" w:color="auto" w:fill="D1D3D4"/>
          </w:tcPr>
          <w:p>
            <w:pPr/>
          </w:p>
        </w:tc>
        <w:tc>
          <w:tcPr>
            <w:tcW w:w="700" w:type="dxa"/>
            <w:tcBorders>
              <w:bottom w:val="single" w:sz="4" w:space="0" w:color="231F20"/>
            </w:tcBorders>
            <w:shd w:val="clear" w:color="auto" w:fill="D1D3D4"/>
          </w:tcPr>
          <w:p>
            <w:pPr/>
          </w:p>
        </w:tc>
        <w:tc>
          <w:tcPr>
            <w:tcW w:w="380" w:type="dxa"/>
            <w:tcBorders>
              <w:bottom w:val="single" w:sz="4" w:space="0" w:color="231F20"/>
            </w:tcBorders>
            <w:shd w:val="clear" w:color="auto" w:fill="D1D3D4"/>
          </w:tcPr>
          <w:p>
            <w:pPr>
              <w:pStyle w:val="TableParagraph"/>
              <w:ind w:right="11"/>
              <w:jc w:val="right"/>
              <w:rPr>
                <w:sz w:val="20"/>
              </w:rPr>
            </w:pPr>
            <w:r>
              <w:rPr>
                <w:color w:val="231F20"/>
                <w:sz w:val="20"/>
              </w:rPr>
              <w:t>(5)</w:t>
            </w:r>
          </w:p>
        </w:tc>
      </w:tr>
      <w:tr>
        <w:trPr>
          <w:trHeight w:val="853" w:hRule="exact"/>
        </w:trPr>
        <w:tc>
          <w:tcPr>
            <w:tcW w:w="6760" w:type="dxa"/>
          </w:tcPr>
          <w:p>
            <w:pPr>
              <w:pStyle w:val="TableParagraph"/>
              <w:spacing w:before="0"/>
              <w:rPr>
                <w:b/>
                <w:sz w:val="24"/>
              </w:rPr>
            </w:pPr>
          </w:p>
          <w:p>
            <w:pPr>
              <w:pStyle w:val="TableParagraph"/>
              <w:spacing w:before="2"/>
              <w:rPr>
                <w:b/>
                <w:sz w:val="31"/>
              </w:rPr>
            </w:pPr>
          </w:p>
          <w:p>
            <w:pPr>
              <w:pStyle w:val="TableParagraph"/>
              <w:spacing w:before="0"/>
              <w:rPr>
                <w:b/>
                <w:sz w:val="22"/>
              </w:rPr>
            </w:pPr>
            <w:r>
              <w:rPr>
                <w:b/>
                <w:color w:val="231F20"/>
                <w:sz w:val="22"/>
              </w:rPr>
              <w:t>Income Taxes</w:t>
            </w:r>
          </w:p>
        </w:tc>
        <w:tc>
          <w:tcPr>
            <w:tcW w:w="760" w:type="dxa"/>
            <w:tcBorders>
              <w:top w:val="single" w:sz="4" w:space="0" w:color="231F20"/>
            </w:tcBorders>
          </w:tcPr>
          <w:p>
            <w:pPr>
              <w:pStyle w:val="TableParagraph"/>
              <w:rPr>
                <w:sz w:val="20"/>
              </w:rPr>
            </w:pPr>
            <w:r>
              <w:rPr>
                <w:color w:val="231F20"/>
                <w:sz w:val="20"/>
              </w:rPr>
              <w:t>$</w:t>
            </w:r>
          </w:p>
        </w:tc>
        <w:tc>
          <w:tcPr>
            <w:tcW w:w="386" w:type="dxa"/>
            <w:tcBorders>
              <w:top w:val="single" w:sz="4" w:space="0" w:color="231F20"/>
            </w:tcBorders>
          </w:tcPr>
          <w:p>
            <w:pPr>
              <w:pStyle w:val="TableParagraph"/>
              <w:ind w:left="19"/>
              <w:rPr>
                <w:sz w:val="20"/>
              </w:rPr>
            </w:pPr>
            <w:r>
              <w:rPr>
                <w:color w:val="231F20"/>
                <w:sz w:val="20"/>
              </w:rPr>
              <w:t>556</w:t>
            </w:r>
          </w:p>
        </w:tc>
        <w:tc>
          <w:tcPr>
            <w:tcW w:w="134" w:type="dxa"/>
          </w:tcPr>
          <w:p>
            <w:pPr/>
          </w:p>
        </w:tc>
        <w:tc>
          <w:tcPr>
            <w:tcW w:w="700" w:type="dxa"/>
            <w:tcBorders>
              <w:top w:val="single" w:sz="4" w:space="0" w:color="231F20"/>
            </w:tcBorders>
          </w:tcPr>
          <w:p>
            <w:pPr>
              <w:pStyle w:val="TableParagraph"/>
              <w:rPr>
                <w:sz w:val="20"/>
              </w:rPr>
            </w:pPr>
            <w:r>
              <w:rPr>
                <w:color w:val="231F20"/>
                <w:sz w:val="20"/>
              </w:rPr>
              <w:t>$</w:t>
            </w:r>
          </w:p>
        </w:tc>
        <w:tc>
          <w:tcPr>
            <w:tcW w:w="380" w:type="dxa"/>
            <w:tcBorders>
              <w:top w:val="single" w:sz="4" w:space="0" w:color="231F20"/>
            </w:tcBorders>
          </w:tcPr>
          <w:p>
            <w:pPr>
              <w:pStyle w:val="TableParagraph"/>
              <w:rPr>
                <w:sz w:val="20"/>
              </w:rPr>
            </w:pPr>
            <w:r>
              <w:rPr>
                <w:color w:val="231F20"/>
                <w:sz w:val="20"/>
              </w:rPr>
              <w:t>309</w:t>
            </w:r>
          </w:p>
        </w:tc>
      </w:tr>
    </w:tbl>
    <w:p>
      <w:pPr>
        <w:pStyle w:val="BodyText"/>
        <w:spacing w:before="5"/>
        <w:rPr>
          <w:b/>
          <w:sz w:val="21"/>
        </w:rPr>
      </w:pPr>
    </w:p>
    <w:p>
      <w:pPr>
        <w:pStyle w:val="BodyText"/>
        <w:ind w:left="120"/>
      </w:pPr>
      <w:r>
        <w:rPr>
          <w:color w:val="231F20"/>
        </w:rPr>
        <w:t>The Company’s effective tax rate was 37.3 percent for 2015, compared with 37.4 percent for 2014.</w:t>
      </w:r>
    </w:p>
    <w:p>
      <w:pPr>
        <w:spacing w:after="0"/>
        <w:sectPr>
          <w:pgSz w:w="11880" w:h="15480"/>
          <w:pgMar w:header="0" w:footer="1240" w:top="1240" w:bottom="1420" w:left="1260" w:right="1260"/>
        </w:sectPr>
      </w:pPr>
    </w:p>
    <w:p>
      <w:pPr>
        <w:pStyle w:val="Heading1"/>
        <w:spacing w:line="247" w:lineRule="auto" w:before="74"/>
        <w:ind w:right="171"/>
        <w:jc w:val="left"/>
      </w:pPr>
      <w:r>
        <w:rPr/>
        <w:pict>
          <v:shape style="position:absolute;margin-left:69pt;margin-top:116.550003pt;width:456.25pt;height:570.65pt;mso-position-horizontal-relative:page;mso-position-vertical-relative:page;z-index:24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1060"/>
                    <w:gridCol w:w="100"/>
                    <w:gridCol w:w="960"/>
                    <w:gridCol w:w="200"/>
                    <w:gridCol w:w="960"/>
                  </w:tblGrid>
                  <w:tr>
                    <w:trPr>
                      <w:trHeight w:val="260" w:hRule="exact"/>
                    </w:trPr>
                    <w:tc>
                      <w:tcPr>
                        <w:tcW w:w="5840" w:type="dxa"/>
                      </w:tcPr>
                      <w:p>
                        <w:pPr/>
                      </w:p>
                    </w:tc>
                    <w:tc>
                      <w:tcPr>
                        <w:tcW w:w="1060" w:type="dxa"/>
                        <w:tcBorders>
                          <w:top w:val="single" w:sz="8" w:space="0" w:color="231F20"/>
                          <w:bottom w:val="single" w:sz="8" w:space="0" w:color="231F20"/>
                        </w:tcBorders>
                      </w:tcPr>
                      <w:p>
                        <w:pPr>
                          <w:pStyle w:val="TableParagraph"/>
                          <w:spacing w:before="12"/>
                          <w:ind w:left="300"/>
                          <w:rPr>
                            <w:b/>
                            <w:sz w:val="18"/>
                          </w:rPr>
                        </w:pPr>
                        <w:r>
                          <w:rPr>
                            <w:b/>
                            <w:color w:val="231F20"/>
                            <w:sz w:val="18"/>
                          </w:rPr>
                          <w:t>2016</w:t>
                        </w:r>
                      </w:p>
                    </w:tc>
                    <w:tc>
                      <w:tcPr>
                        <w:tcW w:w="1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2"/>
                          <w:ind w:left="300"/>
                          <w:rPr>
                            <w:b/>
                            <w:sz w:val="18"/>
                          </w:rPr>
                        </w:pPr>
                        <w:r>
                          <w:rPr>
                            <w:b/>
                            <w:color w:val="231F20"/>
                            <w:sz w:val="18"/>
                          </w:rPr>
                          <w:t>2015</w:t>
                        </w:r>
                      </w:p>
                    </w:tc>
                    <w:tc>
                      <w:tcPr>
                        <w:tcW w:w="200" w:type="dxa"/>
                      </w:tcPr>
                      <w:p>
                        <w:pPr/>
                      </w:p>
                    </w:tc>
                    <w:tc>
                      <w:tcPr>
                        <w:tcW w:w="960" w:type="dxa"/>
                        <w:tcBorders>
                          <w:bottom w:val="single" w:sz="8" w:space="0" w:color="231F20"/>
                        </w:tcBorders>
                      </w:tcPr>
                      <w:p>
                        <w:pPr>
                          <w:pStyle w:val="TableParagraph"/>
                          <w:spacing w:before="22"/>
                          <w:ind w:left="185"/>
                          <w:rPr>
                            <w:b/>
                            <w:sz w:val="18"/>
                          </w:rPr>
                        </w:pPr>
                        <w:r>
                          <w:rPr>
                            <w:b/>
                            <w:color w:val="231F20"/>
                            <w:sz w:val="18"/>
                          </w:rPr>
                          <w:t>Change</w:t>
                        </w:r>
                      </w:p>
                    </w:tc>
                  </w:tr>
                  <w:tr>
                    <w:trPr>
                      <w:trHeight w:val="236" w:hRule="exact"/>
                    </w:trPr>
                    <w:tc>
                      <w:tcPr>
                        <w:tcW w:w="5840" w:type="dxa"/>
                        <w:shd w:val="clear" w:color="auto" w:fill="D1D3D4"/>
                      </w:tcPr>
                      <w:p>
                        <w:pPr>
                          <w:pStyle w:val="TableParagraph"/>
                          <w:spacing w:before="8"/>
                          <w:rPr>
                            <w:b/>
                            <w:sz w:val="18"/>
                          </w:rPr>
                        </w:pPr>
                        <w:r>
                          <w:rPr>
                            <w:b/>
                            <w:color w:val="231F20"/>
                            <w:sz w:val="18"/>
                          </w:rPr>
                          <w:t>Total operating revenues, as reported</w:t>
                        </w:r>
                      </w:p>
                    </w:tc>
                    <w:tc>
                      <w:tcPr>
                        <w:tcW w:w="1060" w:type="dxa"/>
                        <w:tcBorders>
                          <w:top w:val="single" w:sz="8" w:space="0" w:color="231F20"/>
                        </w:tcBorders>
                        <w:shd w:val="clear" w:color="auto" w:fill="D1D3D4"/>
                      </w:tcPr>
                      <w:p>
                        <w:pPr>
                          <w:pStyle w:val="TableParagraph"/>
                          <w:tabs>
                            <w:tab w:pos="404" w:val="left" w:leader="none"/>
                          </w:tabs>
                          <w:spacing w:before="8"/>
                          <w:rPr>
                            <w:sz w:val="18"/>
                          </w:rPr>
                        </w:pPr>
                        <w:r>
                          <w:rPr>
                            <w:color w:val="231F20"/>
                            <w:sz w:val="18"/>
                          </w:rPr>
                          <w:t>$</w:t>
                          <w:tab/>
                          <w:t>20,425</w:t>
                        </w:r>
                      </w:p>
                    </w:tc>
                    <w:tc>
                      <w:tcPr>
                        <w:tcW w:w="100" w:type="dxa"/>
                        <w:shd w:val="clear" w:color="auto" w:fill="D1D3D4"/>
                      </w:tcPr>
                      <w:p>
                        <w:pPr/>
                      </w:p>
                    </w:tc>
                    <w:tc>
                      <w:tcPr>
                        <w:tcW w:w="960" w:type="dxa"/>
                        <w:tcBorders>
                          <w:top w:val="single" w:sz="8" w:space="0" w:color="231F20"/>
                        </w:tcBorders>
                        <w:shd w:val="clear" w:color="auto" w:fill="D1D3D4"/>
                      </w:tcPr>
                      <w:p>
                        <w:pPr>
                          <w:pStyle w:val="TableParagraph"/>
                          <w:tabs>
                            <w:tab w:pos="404" w:val="left" w:leader="none"/>
                          </w:tabs>
                          <w:spacing w:before="8"/>
                          <w:rPr>
                            <w:sz w:val="18"/>
                          </w:rPr>
                        </w:pPr>
                        <w:r>
                          <w:rPr>
                            <w:color w:val="231F20"/>
                            <w:sz w:val="18"/>
                          </w:rPr>
                          <w:t>$</w:t>
                          <w:tab/>
                          <w:t>19,820</w:t>
                        </w:r>
                      </w:p>
                    </w:tc>
                    <w:tc>
                      <w:tcPr>
                        <w:tcW w:w="200" w:type="dxa"/>
                        <w:shd w:val="clear" w:color="auto" w:fill="D1D3D4"/>
                      </w:tcPr>
                      <w:p>
                        <w:pPr/>
                      </w:p>
                    </w:tc>
                    <w:tc>
                      <w:tcPr>
                        <w:tcW w:w="960" w:type="dxa"/>
                        <w:tcBorders>
                          <w:top w:val="single" w:sz="8" w:space="0" w:color="231F20"/>
                        </w:tcBorders>
                        <w:shd w:val="clear" w:color="auto" w:fill="D1D3D4"/>
                      </w:tcPr>
                      <w:p>
                        <w:pPr/>
                      </w:p>
                    </w:tc>
                  </w:tr>
                  <w:tr>
                    <w:trPr>
                      <w:trHeight w:val="241" w:hRule="exact"/>
                    </w:trPr>
                    <w:tc>
                      <w:tcPr>
                        <w:tcW w:w="5840" w:type="dxa"/>
                      </w:tcPr>
                      <w:p>
                        <w:pPr>
                          <w:pStyle w:val="TableParagraph"/>
                          <w:spacing w:before="8"/>
                          <w:rPr>
                            <w:sz w:val="18"/>
                          </w:rPr>
                        </w:pPr>
                        <w:r>
                          <w:rPr>
                            <w:color w:val="231F20"/>
                            <w:sz w:val="18"/>
                          </w:rPr>
                          <w:t>Deduct: Special revenue adjustment</w:t>
                        </w:r>
                      </w:p>
                    </w:tc>
                    <w:tc>
                      <w:tcPr>
                        <w:tcW w:w="1060" w:type="dxa"/>
                        <w:tcBorders>
                          <w:bottom w:val="single" w:sz="4" w:space="0" w:color="231F20"/>
                        </w:tcBorders>
                      </w:tcPr>
                      <w:p>
                        <w:pPr>
                          <w:pStyle w:val="TableParagraph"/>
                          <w:spacing w:before="8"/>
                          <w:ind w:right="157"/>
                          <w:jc w:val="right"/>
                          <w:rPr>
                            <w:sz w:val="18"/>
                          </w:rPr>
                        </w:pPr>
                        <w:r>
                          <w:rPr>
                            <w:color w:val="231F20"/>
                            <w:sz w:val="18"/>
                          </w:rPr>
                          <w:t>—</w:t>
                        </w:r>
                      </w:p>
                    </w:tc>
                    <w:tc>
                      <w:tcPr>
                        <w:tcW w:w="100" w:type="dxa"/>
                      </w:tcPr>
                      <w:p>
                        <w:pPr/>
                      </w:p>
                    </w:tc>
                    <w:tc>
                      <w:tcPr>
                        <w:tcW w:w="960" w:type="dxa"/>
                        <w:tcBorders>
                          <w:bottom w:val="single" w:sz="4" w:space="0" w:color="231F20"/>
                        </w:tcBorders>
                      </w:tcPr>
                      <w:p>
                        <w:pPr>
                          <w:pStyle w:val="TableParagraph"/>
                          <w:spacing w:before="8"/>
                          <w:jc w:val="right"/>
                          <w:rPr>
                            <w:sz w:val="18"/>
                          </w:rPr>
                        </w:pPr>
                        <w:r>
                          <w:rPr>
                            <w:color w:val="231F20"/>
                            <w:sz w:val="18"/>
                          </w:rPr>
                          <w:t>(172)</w:t>
                        </w:r>
                      </w:p>
                    </w:tc>
                    <w:tc>
                      <w:tcPr>
                        <w:tcW w:w="200" w:type="dxa"/>
                      </w:tcPr>
                      <w:p>
                        <w:pPr/>
                      </w:p>
                    </w:tc>
                    <w:tc>
                      <w:tcPr>
                        <w:tcW w:w="960" w:type="dxa"/>
                      </w:tcPr>
                      <w:p>
                        <w:pPr/>
                      </w:p>
                    </w:tc>
                  </w:tr>
                  <w:tr>
                    <w:trPr>
                      <w:trHeight w:val="262" w:hRule="exact"/>
                    </w:trPr>
                    <w:tc>
                      <w:tcPr>
                        <w:tcW w:w="5840" w:type="dxa"/>
                        <w:shd w:val="clear" w:color="auto" w:fill="D1D3D4"/>
                      </w:tcPr>
                      <w:p>
                        <w:pPr>
                          <w:pStyle w:val="TableParagraph"/>
                          <w:spacing w:before="8"/>
                          <w:rPr>
                            <w:b/>
                            <w:sz w:val="18"/>
                          </w:rPr>
                        </w:pPr>
                        <w:r>
                          <w:rPr>
                            <w:b/>
                            <w:color w:val="231F20"/>
                            <w:sz w:val="18"/>
                          </w:rPr>
                          <w:t>Operating revenues, non-GAAP</w:t>
                        </w:r>
                      </w:p>
                    </w:tc>
                    <w:tc>
                      <w:tcPr>
                        <w:tcW w:w="10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20,425</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19,648</w:t>
                        </w:r>
                      </w:p>
                    </w:tc>
                    <w:tc>
                      <w:tcPr>
                        <w:tcW w:w="2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4.0%</w:t>
                        </w:r>
                      </w:p>
                    </w:tc>
                  </w:tr>
                  <w:tr>
                    <w:trPr>
                      <w:trHeight w:val="255"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26" w:hRule="exact"/>
                    </w:trPr>
                    <w:tc>
                      <w:tcPr>
                        <w:tcW w:w="5840" w:type="dxa"/>
                        <w:shd w:val="clear" w:color="auto" w:fill="D1D3D4"/>
                      </w:tcPr>
                      <w:p>
                        <w:pPr>
                          <w:pStyle w:val="TableParagraph"/>
                          <w:spacing w:before="8"/>
                          <w:rPr>
                            <w:b/>
                            <w:sz w:val="18"/>
                          </w:rPr>
                        </w:pPr>
                        <w:r>
                          <w:rPr>
                            <w:b/>
                            <w:color w:val="231F20"/>
                            <w:sz w:val="18"/>
                          </w:rPr>
                          <w:t>Fuel and oil expense, unhedged</w:t>
                        </w:r>
                      </w:p>
                    </w:tc>
                    <w:tc>
                      <w:tcPr>
                        <w:tcW w:w="1060" w:type="dxa"/>
                        <w:shd w:val="clear" w:color="auto" w:fill="D1D3D4"/>
                      </w:tcPr>
                      <w:p>
                        <w:pPr>
                          <w:pStyle w:val="TableParagraph"/>
                          <w:tabs>
                            <w:tab w:pos="494" w:val="left" w:leader="none"/>
                          </w:tabs>
                          <w:spacing w:before="8"/>
                          <w:rPr>
                            <w:sz w:val="18"/>
                          </w:rPr>
                        </w:pPr>
                        <w:r>
                          <w:rPr>
                            <w:color w:val="231F20"/>
                            <w:sz w:val="18"/>
                          </w:rPr>
                          <w:t>$</w:t>
                          <w:tab/>
                          <w:t>2,827</w:t>
                        </w:r>
                      </w:p>
                    </w:tc>
                    <w:tc>
                      <w:tcPr>
                        <w:tcW w:w="100" w:type="dxa"/>
                        <w:shd w:val="clear" w:color="auto" w:fill="D1D3D4"/>
                      </w:tcPr>
                      <w:p>
                        <w:pPr/>
                      </w:p>
                    </w:tc>
                    <w:tc>
                      <w:tcPr>
                        <w:tcW w:w="960" w:type="dxa"/>
                        <w:shd w:val="clear" w:color="auto" w:fill="D1D3D4"/>
                      </w:tcPr>
                      <w:p>
                        <w:pPr>
                          <w:pStyle w:val="TableParagraph"/>
                          <w:tabs>
                            <w:tab w:pos="494" w:val="left" w:leader="none"/>
                          </w:tabs>
                          <w:spacing w:before="8"/>
                          <w:rPr>
                            <w:sz w:val="18"/>
                          </w:rPr>
                        </w:pPr>
                        <w:r>
                          <w:rPr>
                            <w:color w:val="231F20"/>
                            <w:sz w:val="18"/>
                          </w:rPr>
                          <w:t>$</w:t>
                          <w:tab/>
                          <w:t>3,362</w:t>
                        </w:r>
                      </w:p>
                    </w:tc>
                    <w:tc>
                      <w:tcPr>
                        <w:tcW w:w="200" w:type="dxa"/>
                        <w:shd w:val="clear" w:color="auto" w:fill="D1D3D4"/>
                      </w:tcPr>
                      <w:p>
                        <w:pPr/>
                      </w:p>
                    </w:tc>
                    <w:tc>
                      <w:tcPr>
                        <w:tcW w:w="960" w:type="dxa"/>
                        <w:shd w:val="clear" w:color="auto" w:fill="D1D3D4"/>
                      </w:tcPr>
                      <w:p>
                        <w:pPr/>
                      </w:p>
                    </w:tc>
                  </w:tr>
                  <w:tr>
                    <w:trPr>
                      <w:trHeight w:val="241" w:hRule="exact"/>
                    </w:trPr>
                    <w:tc>
                      <w:tcPr>
                        <w:tcW w:w="5840" w:type="dxa"/>
                      </w:tcPr>
                      <w:p>
                        <w:pPr>
                          <w:pStyle w:val="TableParagraph"/>
                          <w:spacing w:before="8"/>
                          <w:rPr>
                            <w:sz w:val="18"/>
                          </w:rPr>
                        </w:pPr>
                        <w:r>
                          <w:rPr>
                            <w:color w:val="231F20"/>
                            <w:sz w:val="18"/>
                          </w:rPr>
                          <w:t>Add: Fuel hedge (gains) losses included in Fuel and oil expense</w:t>
                        </w:r>
                      </w:p>
                    </w:tc>
                    <w:tc>
                      <w:tcPr>
                        <w:tcW w:w="1060" w:type="dxa"/>
                        <w:tcBorders>
                          <w:bottom w:val="single" w:sz="4" w:space="0" w:color="231F20"/>
                        </w:tcBorders>
                      </w:tcPr>
                      <w:p>
                        <w:pPr>
                          <w:pStyle w:val="TableParagraph"/>
                          <w:spacing w:before="8"/>
                          <w:ind w:right="157"/>
                          <w:jc w:val="right"/>
                          <w:rPr>
                            <w:sz w:val="18"/>
                          </w:rPr>
                        </w:pPr>
                        <w:r>
                          <w:rPr>
                            <w:color w:val="231F20"/>
                            <w:sz w:val="18"/>
                          </w:rPr>
                          <w:t>820</w:t>
                        </w:r>
                      </w:p>
                    </w:tc>
                    <w:tc>
                      <w:tcPr>
                        <w:tcW w:w="100" w:type="dxa"/>
                      </w:tcPr>
                      <w:p>
                        <w:pPr/>
                      </w:p>
                    </w:tc>
                    <w:tc>
                      <w:tcPr>
                        <w:tcW w:w="960" w:type="dxa"/>
                        <w:tcBorders>
                          <w:bottom w:val="single" w:sz="4" w:space="0" w:color="231F20"/>
                        </w:tcBorders>
                      </w:tcPr>
                      <w:p>
                        <w:pPr>
                          <w:pStyle w:val="TableParagraph"/>
                          <w:spacing w:before="8"/>
                          <w:ind w:right="58"/>
                          <w:jc w:val="right"/>
                          <w:rPr>
                            <w:sz w:val="18"/>
                          </w:rPr>
                        </w:pPr>
                        <w:r>
                          <w:rPr>
                            <w:color w:val="231F20"/>
                            <w:sz w:val="18"/>
                          </w:rPr>
                          <w:t>254</w:t>
                        </w:r>
                      </w:p>
                    </w:tc>
                    <w:tc>
                      <w:tcPr>
                        <w:tcW w:w="200" w:type="dxa"/>
                      </w:tcPr>
                      <w:p>
                        <w:pPr/>
                      </w:p>
                    </w:tc>
                    <w:tc>
                      <w:tcPr>
                        <w:tcW w:w="960" w:type="dxa"/>
                      </w:tcPr>
                      <w:p>
                        <w:pPr/>
                      </w:p>
                    </w:tc>
                  </w:tr>
                  <w:tr>
                    <w:trPr>
                      <w:trHeight w:val="231" w:hRule="exact"/>
                    </w:trPr>
                    <w:tc>
                      <w:tcPr>
                        <w:tcW w:w="5840" w:type="dxa"/>
                        <w:shd w:val="clear" w:color="auto" w:fill="D1D3D4"/>
                      </w:tcPr>
                      <w:p>
                        <w:pPr>
                          <w:pStyle w:val="TableParagraph"/>
                          <w:spacing w:before="8"/>
                          <w:rPr>
                            <w:b/>
                            <w:sz w:val="18"/>
                          </w:rPr>
                        </w:pPr>
                        <w:r>
                          <w:rPr>
                            <w:b/>
                            <w:color w:val="231F20"/>
                            <w:sz w:val="18"/>
                          </w:rPr>
                          <w:t>Fuel and oil expense, as reported</w:t>
                        </w:r>
                      </w:p>
                    </w:tc>
                    <w:tc>
                      <w:tcPr>
                        <w:tcW w:w="10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3,647</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3,616</w:t>
                        </w:r>
                      </w:p>
                    </w:tc>
                    <w:tc>
                      <w:tcPr>
                        <w:tcW w:w="200" w:type="dxa"/>
                        <w:shd w:val="clear" w:color="auto" w:fill="D1D3D4"/>
                      </w:tcPr>
                      <w:p>
                        <w:pPr/>
                      </w:p>
                    </w:tc>
                    <w:tc>
                      <w:tcPr>
                        <w:tcW w:w="960" w:type="dxa"/>
                        <w:shd w:val="clear" w:color="auto" w:fill="D1D3D4"/>
                      </w:tcPr>
                      <w:p>
                        <w:pPr/>
                      </w:p>
                    </w:tc>
                  </w:tr>
                  <w:tr>
                    <w:trPr>
                      <w:trHeight w:val="241" w:hRule="exact"/>
                    </w:trPr>
                    <w:tc>
                      <w:tcPr>
                        <w:tcW w:w="5840" w:type="dxa"/>
                      </w:tcPr>
                      <w:p>
                        <w:pPr>
                          <w:pStyle w:val="TableParagraph"/>
                          <w:spacing w:before="8"/>
                          <w:rPr>
                            <w:sz w:val="18"/>
                          </w:rPr>
                        </w:pPr>
                        <w:r>
                          <w:rPr>
                            <w:color w:val="231F20"/>
                            <w:sz w:val="18"/>
                          </w:rPr>
                          <w:t>Add: Net impact from fuel contracts</w:t>
                        </w:r>
                      </w:p>
                    </w:tc>
                    <w:tc>
                      <w:tcPr>
                        <w:tcW w:w="1060" w:type="dxa"/>
                        <w:tcBorders>
                          <w:bottom w:val="single" w:sz="4" w:space="0" w:color="231F20"/>
                        </w:tcBorders>
                      </w:tcPr>
                      <w:p>
                        <w:pPr>
                          <w:pStyle w:val="TableParagraph"/>
                          <w:spacing w:before="8"/>
                          <w:ind w:right="157"/>
                          <w:jc w:val="right"/>
                          <w:rPr>
                            <w:sz w:val="18"/>
                          </w:rPr>
                        </w:pPr>
                        <w:r>
                          <w:rPr>
                            <w:color w:val="231F20"/>
                            <w:sz w:val="18"/>
                          </w:rPr>
                          <w:t>202</w:t>
                        </w:r>
                      </w:p>
                    </w:tc>
                    <w:tc>
                      <w:tcPr>
                        <w:tcW w:w="100" w:type="dxa"/>
                      </w:tcPr>
                      <w:p>
                        <w:pPr/>
                      </w:p>
                    </w:tc>
                    <w:tc>
                      <w:tcPr>
                        <w:tcW w:w="960" w:type="dxa"/>
                        <w:tcBorders>
                          <w:bottom w:val="single" w:sz="4" w:space="0" w:color="231F20"/>
                        </w:tcBorders>
                      </w:tcPr>
                      <w:p>
                        <w:pPr>
                          <w:pStyle w:val="TableParagraph"/>
                          <w:spacing w:before="8"/>
                          <w:ind w:right="58"/>
                          <w:jc w:val="right"/>
                          <w:rPr>
                            <w:sz w:val="18"/>
                          </w:rPr>
                        </w:pPr>
                        <w:r>
                          <w:rPr>
                            <w:color w:val="231F20"/>
                            <w:sz w:val="18"/>
                          </w:rPr>
                          <w:t>323</w:t>
                        </w:r>
                      </w:p>
                    </w:tc>
                    <w:tc>
                      <w:tcPr>
                        <w:tcW w:w="200" w:type="dxa"/>
                      </w:tcPr>
                      <w:p>
                        <w:pPr/>
                      </w:p>
                    </w:tc>
                    <w:tc>
                      <w:tcPr>
                        <w:tcW w:w="960" w:type="dxa"/>
                      </w:tcPr>
                      <w:p>
                        <w:pPr/>
                      </w:p>
                    </w:tc>
                  </w:tr>
                  <w:tr>
                    <w:trPr>
                      <w:trHeight w:val="262" w:hRule="exact"/>
                    </w:trPr>
                    <w:tc>
                      <w:tcPr>
                        <w:tcW w:w="5840" w:type="dxa"/>
                        <w:shd w:val="clear" w:color="auto" w:fill="D1D3D4"/>
                      </w:tcPr>
                      <w:p>
                        <w:pPr>
                          <w:pStyle w:val="TableParagraph"/>
                          <w:spacing w:before="8"/>
                          <w:rPr>
                            <w:b/>
                            <w:sz w:val="18"/>
                          </w:rPr>
                        </w:pPr>
                        <w:r>
                          <w:rPr>
                            <w:b/>
                            <w:color w:val="231F20"/>
                            <w:sz w:val="18"/>
                          </w:rPr>
                          <w:t>Fuel and oil expense, non-GAAP (economic)</w:t>
                        </w:r>
                      </w:p>
                    </w:tc>
                    <w:tc>
                      <w:tcPr>
                        <w:tcW w:w="10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3,849</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94" w:val="left" w:leader="none"/>
                          </w:tabs>
                          <w:spacing w:before="8"/>
                          <w:rPr>
                            <w:sz w:val="18"/>
                          </w:rPr>
                        </w:pPr>
                        <w:r>
                          <w:rPr>
                            <w:color w:val="231F20"/>
                            <w:sz w:val="18"/>
                          </w:rPr>
                          <w:t>$</w:t>
                          <w:tab/>
                          <w:t>3,939</w:t>
                        </w:r>
                      </w:p>
                    </w:tc>
                    <w:tc>
                      <w:tcPr>
                        <w:tcW w:w="2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(2.3)%</w:t>
                        </w:r>
                      </w:p>
                    </w:tc>
                  </w:tr>
                  <w:tr>
                    <w:trPr>
                      <w:trHeight w:val="255" w:hRule="exact"/>
                    </w:trPr>
                    <w:tc>
                      <w:tcPr>
                        <w:tcW w:w="5840" w:type="dxa"/>
                      </w:tcPr>
                      <w:p>
                        <w:pP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226" w:hRule="exact"/>
                    </w:trPr>
                    <w:tc>
                      <w:tcPr>
                        <w:tcW w:w="5840" w:type="dxa"/>
                        <w:shd w:val="clear" w:color="auto" w:fill="D1D3D4"/>
                      </w:tcPr>
                      <w:p>
                        <w:pPr>
                          <w:pStyle w:val="TableParagraph"/>
                          <w:spacing w:before="8"/>
                          <w:rPr>
                            <w:b/>
                            <w:sz w:val="18"/>
                          </w:rPr>
                        </w:pPr>
                        <w:r>
                          <w:rPr>
                            <w:b/>
                            <w:color w:val="231F20"/>
                            <w:sz w:val="18"/>
                          </w:rPr>
                          <w:t>Total operating expenses, as reported</w:t>
                        </w:r>
                      </w:p>
                    </w:tc>
                    <w:tc>
                      <w:tcPr>
                        <w:tcW w:w="1060" w:type="dxa"/>
                        <w:shd w:val="clear" w:color="auto" w:fill="D1D3D4"/>
                      </w:tcPr>
                      <w:p>
                        <w:pPr>
                          <w:pStyle w:val="TableParagraph"/>
                          <w:tabs>
                            <w:tab w:pos="404" w:val="left" w:leader="none"/>
                          </w:tabs>
                          <w:spacing w:before="8"/>
                          <w:rPr>
                            <w:sz w:val="18"/>
                          </w:rPr>
                        </w:pPr>
                        <w:r>
                          <w:rPr>
                            <w:color w:val="231F20"/>
                            <w:sz w:val="18"/>
                          </w:rPr>
                          <w:t>$</w:t>
                          <w:tab/>
                          <w:t>16,665</w:t>
                        </w:r>
                      </w:p>
                    </w:tc>
                    <w:tc>
                      <w:tcPr>
                        <w:tcW w:w="100" w:type="dxa"/>
                        <w:shd w:val="clear" w:color="auto" w:fill="D1D3D4"/>
                      </w:tcPr>
                      <w:p>
                        <w:pPr/>
                      </w:p>
                    </w:tc>
                    <w:tc>
                      <w:tcPr>
                        <w:tcW w:w="960" w:type="dxa"/>
                        <w:shd w:val="clear" w:color="auto" w:fill="D1D3D4"/>
                      </w:tcPr>
                      <w:p>
                        <w:pPr>
                          <w:pStyle w:val="TableParagraph"/>
                          <w:tabs>
                            <w:tab w:pos="404" w:val="left" w:leader="none"/>
                          </w:tabs>
                          <w:spacing w:before="8"/>
                          <w:rPr>
                            <w:sz w:val="18"/>
                          </w:rPr>
                        </w:pPr>
                        <w:r>
                          <w:rPr>
                            <w:color w:val="231F20"/>
                            <w:sz w:val="18"/>
                          </w:rPr>
                          <w:t>$</w:t>
                          <w:tab/>
                          <w:t>15,704</w:t>
                        </w:r>
                      </w:p>
                    </w:tc>
                    <w:tc>
                      <w:tcPr>
                        <w:tcW w:w="200" w:type="dxa"/>
                        <w:shd w:val="clear" w:color="auto" w:fill="D1D3D4"/>
                      </w:tcPr>
                      <w:p>
                        <w:pPr/>
                      </w:p>
                    </w:tc>
                    <w:tc>
                      <w:tcPr>
                        <w:tcW w:w="960" w:type="dxa"/>
                        <w:shd w:val="clear" w:color="auto" w:fill="D1D3D4"/>
                      </w:tcPr>
                      <w:p>
                        <w:pPr/>
                      </w:p>
                    </w:tc>
                  </w:tr>
                  <w:tr>
                    <w:trPr>
                      <w:trHeight w:val="215" w:hRule="exact"/>
                    </w:trPr>
                    <w:tc>
                      <w:tcPr>
                        <w:tcW w:w="5840" w:type="dxa"/>
                      </w:tcPr>
                      <w:p>
                        <w:pPr>
                          <w:pStyle w:val="TableParagraph"/>
                          <w:spacing w:before="8"/>
                          <w:rPr>
                            <w:sz w:val="18"/>
                          </w:rPr>
                        </w:pPr>
                        <w:r>
                          <w:rPr>
                            <w:color w:val="231F20"/>
                            <w:sz w:val="18"/>
                          </w:rPr>
                          <w:t>Deduct: Union contract bonuses</w:t>
                        </w:r>
                      </w:p>
                    </w:tc>
                    <w:tc>
                      <w:tcPr>
                        <w:tcW w:w="1060" w:type="dxa"/>
                      </w:tcPr>
                      <w:p>
                        <w:pPr>
                          <w:pStyle w:val="TableParagraph"/>
                          <w:spacing w:before="8"/>
                          <w:ind w:right="98"/>
                          <w:jc w:val="right"/>
                          <w:rPr>
                            <w:sz w:val="18"/>
                          </w:rPr>
                        </w:pPr>
                        <w:r>
                          <w:rPr>
                            <w:color w:val="231F20"/>
                            <w:sz w:val="18"/>
                          </w:rPr>
                          <w:t>(356)</w:t>
                        </w:r>
                      </w:p>
                    </w:tc>
                    <w:tc>
                      <w:tcPr>
                        <w:tcW w:w="100" w:type="dxa"/>
                      </w:tcPr>
                      <w:p>
                        <w:pPr/>
                      </w:p>
                    </w:tc>
                    <w:tc>
                      <w:tcPr>
                        <w:tcW w:w="960" w:type="dxa"/>
                      </w:tcPr>
                      <w:p>
                        <w:pPr>
                          <w:pStyle w:val="TableParagraph"/>
                          <w:spacing w:before="8"/>
                          <w:jc w:val="right"/>
                          <w:rPr>
                            <w:sz w:val="18"/>
                          </w:rPr>
                        </w:pPr>
                        <w:r>
                          <w:rPr>
                            <w:color w:val="231F20"/>
                            <w:sz w:val="18"/>
                          </w:rPr>
                          <w:t>(334)</w:t>
                        </w:r>
                      </w:p>
                    </w:tc>
                    <w:tc>
                      <w:tcPr>
                        <w:tcW w:w="200" w:type="dxa"/>
                      </w:tcPr>
                      <w:p>
                        <w:pPr/>
                      </w:p>
                    </w:tc>
                    <w:tc>
                      <w:tcPr>
                        <w:tcW w:w="960" w:type="dxa"/>
                      </w:tcPr>
                      <w:p>
                        <w:pPr/>
                      </w:p>
                    </w:tc>
                  </w:tr>
                  <w:tr>
                    <w:trPr>
                      <w:trHeight w:val="413" w:hRule="exact"/>
                    </w:trPr>
                    <w:tc>
                      <w:tcPr>
                        <w:tcW w:w="9120" w:type="dxa"/>
                        <w:gridSpan w:val="6"/>
                        <w:shd w:val="clear" w:color="auto" w:fill="D1D3D4"/>
                      </w:tcPr>
                      <w:p>
                        <w:pPr>
                          <w:pStyle w:val="TableParagraph"/>
                          <w:spacing w:line="191" w:lineRule="exact" w:before="8"/>
                          <w:rPr>
                            <w:sz w:val="18"/>
                          </w:rPr>
                        </w:pPr>
                        <w:r>
                          <w:rPr>
                            <w:color w:val="231F20"/>
                            <w:sz w:val="18"/>
                          </w:rPr>
                          <w:t>Add: Reclassification between Fuel and oil and Other (gains) losses, net,</w:t>
                        </w:r>
                      </w:p>
                      <w:p>
                        <w:pPr>
                          <w:pStyle w:val="TableParagraph"/>
                          <w:tabs>
                            <w:tab w:pos="6649" w:val="left" w:leader="none"/>
                            <w:tab w:pos="7899" w:val="right" w:leader="none"/>
                          </w:tabs>
                          <w:spacing w:line="191" w:lineRule="exact" w:before="0"/>
                          <w:ind w:left="180"/>
                          <w:rPr>
                            <w:sz w:val="18"/>
                          </w:rPr>
                        </w:pPr>
                        <w:r>
                          <w:rPr>
                            <w:color w:val="231F20"/>
                            <w:sz w:val="18"/>
                          </w:rPr>
                          <w:t>associated with current period</w:t>
                        </w:r>
                        <w:r>
                          <w:rPr>
                            <w:color w:val="231F20"/>
                            <w:spacing w:val="-1"/>
                            <w:sz w:val="18"/>
                          </w:rPr>
                          <w:t> </w:t>
                        </w:r>
                        <w:r>
                          <w:rPr>
                            <w:color w:val="231F20"/>
                            <w:sz w:val="18"/>
                          </w:rPr>
                          <w:t>settled contracts</w:t>
                          <w:tab/>
                          <w:t>5</w:t>
                          <w:tab/>
                          <w:t>72</w:t>
                        </w:r>
                      </w:p>
                    </w:tc>
                  </w:tr>
                  <w:tr>
                    <w:trPr>
                      <w:trHeight w:val="203" w:hRule="exact"/>
                    </w:trPr>
                    <w:tc>
                      <w:tcPr>
                        <w:tcW w:w="5840" w:type="dxa"/>
                      </w:tcPr>
                      <w:p>
                        <w:pPr>
                          <w:pStyle w:val="TableParagraph"/>
                          <w:spacing w:before="8"/>
                          <w:rPr>
                            <w:sz w:val="18"/>
                          </w:rPr>
                        </w:pPr>
                        <w:r>
                          <w:rPr>
                            <w:color w:val="231F20"/>
                            <w:sz w:val="18"/>
                          </w:rPr>
                          <w:t>Add: Contracts settling in the current period, but for which gains and/or</w:t>
                        </w:r>
                      </w:p>
                    </w:tc>
                    <w:tc>
                      <w:tcPr>
                        <w:tcW w:w="1060" w:type="dxa"/>
                      </w:tcPr>
                      <w:p>
                        <w:pPr/>
                      </w:p>
                    </w:tc>
                    <w:tc>
                      <w:tcPr>
                        <w:tcW w:w="100" w:type="dxa"/>
                      </w:tcPr>
                      <w:p>
                        <w:pPr/>
                      </w:p>
                    </w:tc>
                    <w:tc>
                      <w:tcPr>
                        <w:tcW w:w="960" w:type="dxa"/>
                      </w:tcPr>
                      <w:p>
                        <w:pPr/>
                      </w:p>
                    </w:tc>
                    <w:tc>
                      <w:tcPr>
                        <w:tcW w:w="200" w:type="dxa"/>
                      </w:tcPr>
                      <w:p>
                        <w:pPr/>
                      </w:p>
                    </w:tc>
                    <w:tc>
                      <w:tcPr>
                        <w:tcW w:w="960" w:type="dxa"/>
                      </w:tcPr>
                      <w:p>
                        <w:pPr/>
                      </w:p>
                    </w:tc>
                  </w:tr>
                  <w:tr>
                    <w:trPr>
                      <w:trHeight w:val="199" w:hRule="exact"/>
                    </w:trPr>
                    <w:tc>
                      <w:tcPr>
                        <w:tcW w:w="5840" w:type="dxa"/>
                      </w:tcPr>
                      <w:p>
                        <w:pPr>
                          <w:pStyle w:val="TableParagraph"/>
                          <w:spacing w:line="201" w:lineRule="exact" w:before="0"/>
                          <w:ind w:left="180"/>
                          <w:rPr>
                            <w:sz w:val="18"/>
                          </w:rPr>
                        </w:pPr>
                        <w:r>
                          <w:rPr>
                            <w:color w:val="231F20"/>
                            <w:sz w:val="18"/>
                          </w:rPr>
                          <w:t>(losses) have been recognized in a prior period*</w:t>
                        </w:r>
                      </w:p>
                    </w:tc>
                    <w:tc>
                      <w:tcPr>
                        <w:tcW w:w="1060" w:type="dxa"/>
                      </w:tcPr>
                      <w:p>
                        <w:pPr>
                          <w:pStyle w:val="TableParagraph"/>
                          <w:spacing w:line="201" w:lineRule="exact" w:before="0"/>
                          <w:ind w:right="157"/>
                          <w:jc w:val="right"/>
                          <w:rPr>
                            <w:sz w:val="18"/>
                          </w:rPr>
                        </w:pPr>
                        <w:r>
                          <w:rPr>
                            <w:color w:val="231F20"/>
                            <w:sz w:val="18"/>
                          </w:rPr>
                          <w:t>197</w:t>
                        </w:r>
                      </w:p>
                    </w:tc>
                    <w:tc>
                      <w:tcPr>
                        <w:tcW w:w="100" w:type="dxa"/>
                      </w:tcPr>
                      <w:p>
                        <w:pPr/>
                      </w:p>
                    </w:tc>
                    <w:tc>
                      <w:tcPr>
                        <w:tcW w:w="960" w:type="dxa"/>
                      </w:tcPr>
                      <w:p>
                        <w:pPr>
                          <w:pStyle w:val="TableParagraph"/>
                          <w:spacing w:line="201" w:lineRule="exact" w:before="0"/>
                          <w:ind w:right="58"/>
                          <w:jc w:val="right"/>
                          <w:rPr>
                            <w:sz w:val="18"/>
                          </w:rPr>
                        </w:pPr>
                        <w:r>
                          <w:rPr>
                            <w:color w:val="231F20"/>
                            <w:sz w:val="18"/>
                          </w:rPr>
                          <w:t>251</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Acquisition and integration costs</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(39)</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Litigation settlement</w:t>
                        </w:r>
                      </w:p>
                    </w:tc>
                    <w:tc>
                      <w:tcPr>
                        <w:tcW w:w="1060" w:type="dxa"/>
                      </w:tcPr>
                      <w:p>
                        <w:pPr>
                          <w:pStyle w:val="TableParagraph"/>
                          <w:spacing w:before="8"/>
                          <w:ind w:right="157"/>
                          <w:jc w:val="right"/>
                          <w:rPr>
                            <w:sz w:val="18"/>
                          </w:rPr>
                        </w:pPr>
                        <w:r>
                          <w:rPr>
                            <w:color w:val="231F20"/>
                            <w:sz w:val="18"/>
                          </w:rPr>
                          <w:t>—</w:t>
                        </w:r>
                      </w:p>
                    </w:tc>
                    <w:tc>
                      <w:tcPr>
                        <w:tcW w:w="100" w:type="dxa"/>
                      </w:tcPr>
                      <w:p>
                        <w:pPr/>
                      </w:p>
                    </w:tc>
                    <w:tc>
                      <w:tcPr>
                        <w:tcW w:w="960" w:type="dxa"/>
                      </w:tcPr>
                      <w:p>
                        <w:pPr>
                          <w:pStyle w:val="TableParagraph"/>
                          <w:spacing w:before="8"/>
                          <w:ind w:right="58"/>
                          <w:jc w:val="right"/>
                          <w:rPr>
                            <w:sz w:val="18"/>
                          </w:rPr>
                        </w:pPr>
                        <w:r>
                          <w:rPr>
                            <w:color w:val="231F20"/>
                            <w:sz w:val="18"/>
                          </w:rPr>
                          <w:t>37</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Asset impairment</w:t>
                        </w:r>
                      </w:p>
                    </w:tc>
                    <w:tc>
                      <w:tcPr>
                        <w:tcW w:w="1060" w:type="dxa"/>
                        <w:shd w:val="clear" w:color="auto" w:fill="D1D3D4"/>
                      </w:tcPr>
                      <w:p>
                        <w:pPr>
                          <w:pStyle w:val="TableParagraph"/>
                          <w:spacing w:before="8"/>
                          <w:ind w:right="98"/>
                          <w:jc w:val="right"/>
                          <w:rPr>
                            <w:sz w:val="18"/>
                          </w:rPr>
                        </w:pPr>
                        <w:r>
                          <w:rPr>
                            <w:color w:val="231F20"/>
                            <w:sz w:val="18"/>
                          </w:rPr>
                          <w:t>(21)</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w:t>
                        </w:r>
                      </w:p>
                    </w:tc>
                    <w:tc>
                      <w:tcPr>
                        <w:tcW w:w="1160" w:type="dxa"/>
                        <w:gridSpan w:val="2"/>
                        <w:shd w:val="clear" w:color="auto" w:fill="D1D3D4"/>
                      </w:tcPr>
                      <w:p>
                        <w:pPr/>
                      </w:p>
                    </w:tc>
                  </w:tr>
                  <w:tr>
                    <w:trPr>
                      <w:trHeight w:val="241" w:hRule="exact"/>
                    </w:trPr>
                    <w:tc>
                      <w:tcPr>
                        <w:tcW w:w="5840" w:type="dxa"/>
                      </w:tcPr>
                      <w:p>
                        <w:pPr>
                          <w:pStyle w:val="TableParagraph"/>
                          <w:spacing w:before="8"/>
                          <w:rPr>
                            <w:sz w:val="18"/>
                          </w:rPr>
                        </w:pPr>
                        <w:r>
                          <w:rPr>
                            <w:color w:val="231F20"/>
                            <w:sz w:val="18"/>
                          </w:rPr>
                          <w:t>Deduct: Lease termination expense</w:t>
                        </w:r>
                      </w:p>
                    </w:tc>
                    <w:tc>
                      <w:tcPr>
                        <w:tcW w:w="1060" w:type="dxa"/>
                        <w:tcBorders>
                          <w:bottom w:val="single" w:sz="4" w:space="0" w:color="231F20"/>
                        </w:tcBorders>
                      </w:tcPr>
                      <w:p>
                        <w:pPr>
                          <w:pStyle w:val="TableParagraph"/>
                          <w:spacing w:before="8"/>
                          <w:ind w:right="98"/>
                          <w:jc w:val="right"/>
                          <w:rPr>
                            <w:sz w:val="18"/>
                          </w:rPr>
                        </w:pPr>
                        <w:r>
                          <w:rPr>
                            <w:color w:val="231F20"/>
                            <w:sz w:val="18"/>
                          </w:rPr>
                          <w:t>(22)</w:t>
                        </w:r>
                      </w:p>
                    </w:tc>
                    <w:tc>
                      <w:tcPr>
                        <w:tcW w:w="100" w:type="dxa"/>
                      </w:tcPr>
                      <w:p>
                        <w:pPr/>
                      </w:p>
                    </w:tc>
                    <w:tc>
                      <w:tcPr>
                        <w:tcW w:w="960" w:type="dxa"/>
                        <w:tcBorders>
                          <w:bottom w:val="single" w:sz="4" w:space="0" w:color="231F20"/>
                        </w:tcBorders>
                      </w:tcPr>
                      <w:p>
                        <w:pPr>
                          <w:pStyle w:val="TableParagraph"/>
                          <w:spacing w:before="8"/>
                          <w:ind w:right="58"/>
                          <w:jc w:val="right"/>
                          <w:rPr>
                            <w:sz w:val="18"/>
                          </w:rPr>
                        </w:pPr>
                        <w:r>
                          <w:rPr>
                            <w:color w:val="231F20"/>
                            <w:sz w:val="18"/>
                          </w:rPr>
                          <w:t>—</w:t>
                        </w:r>
                      </w:p>
                    </w:tc>
                    <w:tc>
                      <w:tcPr>
                        <w:tcW w:w="1160" w:type="dxa"/>
                        <w:gridSpan w:val="2"/>
                      </w:tcPr>
                      <w:p>
                        <w:pPr/>
                      </w:p>
                    </w:tc>
                  </w:tr>
                  <w:tr>
                    <w:trPr>
                      <w:trHeight w:val="262" w:hRule="exact"/>
                    </w:trPr>
                    <w:tc>
                      <w:tcPr>
                        <w:tcW w:w="5840" w:type="dxa"/>
                        <w:shd w:val="clear" w:color="auto" w:fill="D1D3D4"/>
                      </w:tcPr>
                      <w:p>
                        <w:pPr>
                          <w:pStyle w:val="TableParagraph"/>
                          <w:spacing w:before="8"/>
                          <w:rPr>
                            <w:b/>
                            <w:sz w:val="18"/>
                          </w:rPr>
                        </w:pPr>
                        <w:r>
                          <w:rPr>
                            <w:b/>
                            <w:color w:val="231F20"/>
                            <w:sz w:val="18"/>
                          </w:rPr>
                          <w:t>Total operating expenses, non-GAAP</w:t>
                        </w:r>
                      </w:p>
                    </w:tc>
                    <w:tc>
                      <w:tcPr>
                        <w:tcW w:w="10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16,468</w:t>
                        </w:r>
                      </w:p>
                    </w:tc>
                    <w:tc>
                      <w:tcPr>
                        <w:tcW w:w="100" w:type="dxa"/>
                        <w:shd w:val="clear" w:color="auto" w:fill="D1D3D4"/>
                      </w:tcPr>
                      <w:p>
                        <w:pPr/>
                      </w:p>
                    </w:tc>
                    <w:tc>
                      <w:tcPr>
                        <w:tcW w:w="960" w:type="dxa"/>
                        <w:tcBorders>
                          <w:top w:val="single" w:sz="4" w:space="0" w:color="231F20"/>
                        </w:tcBorders>
                        <w:shd w:val="clear" w:color="auto" w:fill="D1D3D4"/>
                      </w:tcPr>
                      <w:p>
                        <w:pPr>
                          <w:pStyle w:val="TableParagraph"/>
                          <w:tabs>
                            <w:tab w:pos="404" w:val="left" w:leader="none"/>
                          </w:tabs>
                          <w:spacing w:before="8"/>
                          <w:rPr>
                            <w:sz w:val="18"/>
                          </w:rPr>
                        </w:pPr>
                        <w:r>
                          <w:rPr>
                            <w:color w:val="231F20"/>
                            <w:sz w:val="18"/>
                          </w:rPr>
                          <w:t>$</w:t>
                          <w:tab/>
                          <w:t>15,691</w:t>
                        </w:r>
                      </w:p>
                    </w:tc>
                    <w:tc>
                      <w:tcPr>
                        <w:tcW w:w="1160" w:type="dxa"/>
                        <w:gridSpan w:val="2"/>
                        <w:shd w:val="clear" w:color="auto" w:fill="D1D3D4"/>
                      </w:tcPr>
                      <w:p>
                        <w:pPr>
                          <w:pStyle w:val="TableParagraph"/>
                          <w:spacing w:before="8"/>
                          <w:jc w:val="right"/>
                          <w:rPr>
                            <w:sz w:val="18"/>
                          </w:rPr>
                        </w:pPr>
                        <w:r>
                          <w:rPr>
                            <w:color w:val="231F20"/>
                            <w:sz w:val="18"/>
                          </w:rPr>
                          <w:t>5.0%</w:t>
                        </w:r>
                      </w:p>
                    </w:tc>
                  </w:tr>
                  <w:tr>
                    <w:trPr>
                      <w:trHeight w:val="255" w:hRule="exact"/>
                    </w:trPr>
                    <w:tc>
                      <w:tcPr>
                        <w:tcW w:w="5840" w:type="dxa"/>
                      </w:tcPr>
                      <w:p>
                        <w:pPr/>
                      </w:p>
                    </w:tc>
                    <w:tc>
                      <w:tcPr>
                        <w:tcW w:w="1060" w:type="dxa"/>
                      </w:tcPr>
                      <w:p>
                        <w:pPr/>
                      </w:p>
                    </w:tc>
                    <w:tc>
                      <w:tcPr>
                        <w:tcW w:w="100" w:type="dxa"/>
                      </w:tcPr>
                      <w:p>
                        <w:pPr/>
                      </w:p>
                    </w:tc>
                    <w:tc>
                      <w:tcPr>
                        <w:tcW w:w="960" w:type="dxa"/>
                      </w:tcPr>
                      <w:p>
                        <w:pPr/>
                      </w:p>
                    </w:tc>
                    <w:tc>
                      <w:tcPr>
                        <w:tcW w:w="1160" w:type="dxa"/>
                        <w:gridSpan w:val="2"/>
                      </w:tcPr>
                      <w:p>
                        <w:pPr/>
                      </w:p>
                    </w:tc>
                  </w:tr>
                  <w:tr>
                    <w:trPr>
                      <w:trHeight w:val="226" w:hRule="exact"/>
                    </w:trPr>
                    <w:tc>
                      <w:tcPr>
                        <w:tcW w:w="5840" w:type="dxa"/>
                        <w:shd w:val="clear" w:color="auto" w:fill="D1D3D4"/>
                      </w:tcPr>
                      <w:p>
                        <w:pPr>
                          <w:pStyle w:val="TableParagraph"/>
                          <w:spacing w:before="8"/>
                          <w:rPr>
                            <w:b/>
                            <w:sz w:val="18"/>
                          </w:rPr>
                        </w:pPr>
                        <w:r>
                          <w:rPr>
                            <w:b/>
                            <w:color w:val="231F20"/>
                            <w:sz w:val="18"/>
                          </w:rPr>
                          <w:t>Operating income, as reported</w:t>
                        </w:r>
                      </w:p>
                    </w:tc>
                    <w:tc>
                      <w:tcPr>
                        <w:tcW w:w="1060" w:type="dxa"/>
                        <w:shd w:val="clear" w:color="auto" w:fill="D1D3D4"/>
                      </w:tcPr>
                      <w:p>
                        <w:pPr>
                          <w:pStyle w:val="TableParagraph"/>
                          <w:tabs>
                            <w:tab w:pos="494" w:val="left" w:leader="none"/>
                          </w:tabs>
                          <w:spacing w:before="8"/>
                          <w:rPr>
                            <w:sz w:val="18"/>
                          </w:rPr>
                        </w:pPr>
                        <w:r>
                          <w:rPr>
                            <w:color w:val="231F20"/>
                            <w:sz w:val="18"/>
                          </w:rPr>
                          <w:t>$</w:t>
                          <w:tab/>
                          <w:t>3,760</w:t>
                        </w:r>
                      </w:p>
                    </w:tc>
                    <w:tc>
                      <w:tcPr>
                        <w:tcW w:w="100" w:type="dxa"/>
                        <w:shd w:val="clear" w:color="auto" w:fill="D1D3D4"/>
                      </w:tcPr>
                      <w:p>
                        <w:pPr/>
                      </w:p>
                    </w:tc>
                    <w:tc>
                      <w:tcPr>
                        <w:tcW w:w="960" w:type="dxa"/>
                        <w:shd w:val="clear" w:color="auto" w:fill="D1D3D4"/>
                      </w:tcPr>
                      <w:p>
                        <w:pPr>
                          <w:pStyle w:val="TableParagraph"/>
                          <w:tabs>
                            <w:tab w:pos="494" w:val="left" w:leader="none"/>
                          </w:tabs>
                          <w:spacing w:before="8"/>
                          <w:rPr>
                            <w:sz w:val="18"/>
                          </w:rPr>
                        </w:pPr>
                        <w:r>
                          <w:rPr>
                            <w:color w:val="231F20"/>
                            <w:sz w:val="18"/>
                          </w:rPr>
                          <w:t>$</w:t>
                          <w:tab/>
                          <w:t>4,116</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Deduct: Special revenue adjustment</w:t>
                        </w:r>
                      </w:p>
                    </w:tc>
                    <w:tc>
                      <w:tcPr>
                        <w:tcW w:w="1060" w:type="dxa"/>
                      </w:tcPr>
                      <w:p>
                        <w:pPr>
                          <w:pStyle w:val="TableParagraph"/>
                          <w:spacing w:before="8"/>
                          <w:ind w:right="157"/>
                          <w:jc w:val="right"/>
                          <w:rPr>
                            <w:sz w:val="18"/>
                          </w:rPr>
                        </w:pPr>
                        <w:r>
                          <w:rPr>
                            <w:color w:val="231F20"/>
                            <w:sz w:val="18"/>
                          </w:rPr>
                          <w:t>—</w:t>
                        </w:r>
                      </w:p>
                    </w:tc>
                    <w:tc>
                      <w:tcPr>
                        <w:tcW w:w="100" w:type="dxa"/>
                      </w:tcPr>
                      <w:p>
                        <w:pPr/>
                      </w:p>
                    </w:tc>
                    <w:tc>
                      <w:tcPr>
                        <w:tcW w:w="960" w:type="dxa"/>
                      </w:tcPr>
                      <w:p>
                        <w:pPr>
                          <w:pStyle w:val="TableParagraph"/>
                          <w:spacing w:before="8"/>
                          <w:jc w:val="right"/>
                          <w:rPr>
                            <w:sz w:val="18"/>
                          </w:rPr>
                        </w:pPr>
                        <w:r>
                          <w:rPr>
                            <w:color w:val="231F20"/>
                            <w:sz w:val="18"/>
                          </w:rPr>
                          <w:t>(172)</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Add: Union contract bonuses</w:t>
                        </w:r>
                      </w:p>
                    </w:tc>
                    <w:tc>
                      <w:tcPr>
                        <w:tcW w:w="1060" w:type="dxa"/>
                        <w:shd w:val="clear" w:color="auto" w:fill="D1D3D4"/>
                      </w:tcPr>
                      <w:p>
                        <w:pPr>
                          <w:pStyle w:val="TableParagraph"/>
                          <w:spacing w:before="8"/>
                          <w:ind w:right="157"/>
                          <w:jc w:val="right"/>
                          <w:rPr>
                            <w:sz w:val="18"/>
                          </w:rPr>
                        </w:pPr>
                        <w:r>
                          <w:rPr>
                            <w:color w:val="231F20"/>
                            <w:sz w:val="18"/>
                          </w:rPr>
                          <w:t>356</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334</w:t>
                        </w:r>
                      </w:p>
                    </w:tc>
                    <w:tc>
                      <w:tcPr>
                        <w:tcW w:w="1160" w:type="dxa"/>
                        <w:gridSpan w:val="2"/>
                        <w:shd w:val="clear" w:color="auto" w:fill="D1D3D4"/>
                      </w:tcPr>
                      <w:p>
                        <w:pPr/>
                      </w:p>
                    </w:tc>
                  </w:tr>
                  <w:tr>
                    <w:trPr>
                      <w:trHeight w:val="391" w:hRule="exact"/>
                    </w:trPr>
                    <w:tc>
                      <w:tcPr>
                        <w:tcW w:w="5840" w:type="dxa"/>
                      </w:tcPr>
                      <w:p>
                        <w:pPr>
                          <w:pStyle w:val="TableParagraph"/>
                          <w:spacing w:line="176" w:lineRule="exact" w:before="35"/>
                          <w:ind w:left="180" w:right="371" w:hanging="180"/>
                          <w:rPr>
                            <w:sz w:val="18"/>
                          </w:rPr>
                        </w:pPr>
                        <w:r>
                          <w:rPr>
                            <w:color w:val="231F20"/>
                            <w:sz w:val="18"/>
                          </w:rPr>
                          <w:t>Deduct: Reclassification between Fuel and oil and Other (gains) losses, net, associated with current period settled contracts</w:t>
                        </w:r>
                      </w:p>
                    </w:tc>
                    <w:tc>
                      <w:tcPr>
                        <w:tcW w:w="1060" w:type="dxa"/>
                      </w:tcPr>
                      <w:p>
                        <w:pPr>
                          <w:pStyle w:val="TableParagraph"/>
                          <w:spacing w:before="11"/>
                          <w:rPr>
                            <w:b/>
                            <w:sz w:val="15"/>
                          </w:rPr>
                        </w:pPr>
                      </w:p>
                      <w:p>
                        <w:pPr>
                          <w:pStyle w:val="TableParagraph"/>
                          <w:spacing w:before="0"/>
                          <w:ind w:right="98"/>
                          <w:jc w:val="right"/>
                          <w:rPr>
                            <w:sz w:val="18"/>
                          </w:rPr>
                        </w:pPr>
                        <w:r>
                          <w:rPr>
                            <w:color w:val="231F20"/>
                            <w:sz w:val="18"/>
                          </w:rPr>
                          <w:t>(5)</w:t>
                        </w:r>
                      </w:p>
                    </w:tc>
                    <w:tc>
                      <w:tcPr>
                        <w:tcW w:w="100" w:type="dxa"/>
                      </w:tcPr>
                      <w:p>
                        <w:pPr/>
                      </w:p>
                    </w:tc>
                    <w:tc>
                      <w:tcPr>
                        <w:tcW w:w="960" w:type="dxa"/>
                      </w:tcPr>
                      <w:p>
                        <w:pPr>
                          <w:pStyle w:val="TableParagraph"/>
                          <w:spacing w:before="11"/>
                          <w:rPr>
                            <w:b/>
                            <w:sz w:val="15"/>
                          </w:rPr>
                        </w:pPr>
                      </w:p>
                      <w:p>
                        <w:pPr>
                          <w:pStyle w:val="TableParagraph"/>
                          <w:spacing w:before="0"/>
                          <w:jc w:val="right"/>
                          <w:rPr>
                            <w:sz w:val="18"/>
                          </w:rPr>
                        </w:pPr>
                        <w:r>
                          <w:rPr>
                            <w:color w:val="231F20"/>
                            <w:sz w:val="18"/>
                          </w:rPr>
                          <w:t>(72)</w:t>
                        </w:r>
                      </w:p>
                    </w:tc>
                    <w:tc>
                      <w:tcPr>
                        <w:tcW w:w="200" w:type="dxa"/>
                      </w:tcPr>
                      <w:p>
                        <w:pPr/>
                      </w:p>
                    </w:tc>
                    <w:tc>
                      <w:tcPr>
                        <w:tcW w:w="960" w:type="dxa"/>
                      </w:tcPr>
                      <w:p>
                        <w:pPr/>
                      </w:p>
                    </w:tc>
                  </w:tr>
                  <w:tr>
                    <w:trPr>
                      <w:trHeight w:val="413" w:hRule="exact"/>
                    </w:trPr>
                    <w:tc>
                      <w:tcPr>
                        <w:tcW w:w="5840" w:type="dxa"/>
                        <w:shd w:val="clear" w:color="auto" w:fill="D1D3D4"/>
                      </w:tcPr>
                      <w:p>
                        <w:pPr>
                          <w:pStyle w:val="TableParagraph"/>
                          <w:spacing w:line="176" w:lineRule="exact" w:before="35"/>
                          <w:ind w:left="180" w:right="441" w:hanging="180"/>
                          <w:rPr>
                            <w:sz w:val="18"/>
                          </w:rPr>
                        </w:pPr>
                        <w:r>
                          <w:rPr>
                            <w:color w:val="231F20"/>
                            <w:sz w:val="18"/>
                          </w:rPr>
                          <w:t>Deduct: Contracts settling in the current period, but for which gains and/or (losses) have been recognized in a prior period*</w:t>
                        </w:r>
                      </w:p>
                    </w:tc>
                    <w:tc>
                      <w:tcPr>
                        <w:tcW w:w="1060" w:type="dxa"/>
                        <w:shd w:val="clear" w:color="auto" w:fill="D1D3D4"/>
                      </w:tcPr>
                      <w:p>
                        <w:pPr>
                          <w:pStyle w:val="TableParagraph"/>
                          <w:spacing w:before="0"/>
                          <w:rPr>
                            <w:b/>
                            <w:sz w:val="16"/>
                          </w:rPr>
                        </w:pPr>
                      </w:p>
                      <w:p>
                        <w:pPr>
                          <w:pStyle w:val="TableParagraph"/>
                          <w:spacing w:before="0"/>
                          <w:ind w:right="98"/>
                          <w:jc w:val="right"/>
                          <w:rPr>
                            <w:sz w:val="18"/>
                          </w:rPr>
                        </w:pPr>
                        <w:r>
                          <w:rPr>
                            <w:color w:val="231F20"/>
                            <w:sz w:val="18"/>
                          </w:rPr>
                          <w:t>(197)</w:t>
                        </w:r>
                      </w:p>
                    </w:tc>
                    <w:tc>
                      <w:tcPr>
                        <w:tcW w:w="100" w:type="dxa"/>
                        <w:shd w:val="clear" w:color="auto" w:fill="D1D3D4"/>
                      </w:tcPr>
                      <w:p>
                        <w:pPr/>
                      </w:p>
                    </w:tc>
                    <w:tc>
                      <w:tcPr>
                        <w:tcW w:w="960" w:type="dxa"/>
                        <w:shd w:val="clear" w:color="auto" w:fill="D1D3D4"/>
                      </w:tcPr>
                      <w:p>
                        <w:pPr>
                          <w:pStyle w:val="TableParagraph"/>
                          <w:spacing w:before="0"/>
                          <w:rPr>
                            <w:b/>
                            <w:sz w:val="16"/>
                          </w:rPr>
                        </w:pPr>
                      </w:p>
                      <w:p>
                        <w:pPr>
                          <w:pStyle w:val="TableParagraph"/>
                          <w:spacing w:before="0"/>
                          <w:jc w:val="right"/>
                          <w:rPr>
                            <w:sz w:val="18"/>
                          </w:rPr>
                        </w:pPr>
                        <w:r>
                          <w:rPr>
                            <w:color w:val="231F20"/>
                            <w:sz w:val="18"/>
                          </w:rPr>
                          <w:t>(251)</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Acquisition and integration costs</w:t>
                        </w:r>
                      </w:p>
                    </w:tc>
                    <w:tc>
                      <w:tcPr>
                        <w:tcW w:w="1060" w:type="dxa"/>
                      </w:tcPr>
                      <w:p>
                        <w:pPr>
                          <w:pStyle w:val="TableParagraph"/>
                          <w:spacing w:before="8"/>
                          <w:ind w:right="157"/>
                          <w:jc w:val="right"/>
                          <w:rPr>
                            <w:sz w:val="18"/>
                          </w:rPr>
                        </w:pPr>
                        <w:r>
                          <w:rPr>
                            <w:color w:val="231F20"/>
                            <w:sz w:val="18"/>
                          </w:rPr>
                          <w:t>—</w:t>
                        </w:r>
                      </w:p>
                    </w:tc>
                    <w:tc>
                      <w:tcPr>
                        <w:tcW w:w="100" w:type="dxa"/>
                      </w:tcPr>
                      <w:p>
                        <w:pPr/>
                      </w:p>
                    </w:tc>
                    <w:tc>
                      <w:tcPr>
                        <w:tcW w:w="960" w:type="dxa"/>
                      </w:tcPr>
                      <w:p>
                        <w:pPr>
                          <w:pStyle w:val="TableParagraph"/>
                          <w:spacing w:before="8"/>
                          <w:ind w:right="58"/>
                          <w:jc w:val="right"/>
                          <w:rPr>
                            <w:sz w:val="18"/>
                          </w:rPr>
                        </w:pPr>
                        <w:r>
                          <w:rPr>
                            <w:color w:val="231F20"/>
                            <w:sz w:val="18"/>
                          </w:rPr>
                          <w:t>39</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Litigation settlement</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(37)</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Asset impairment</w:t>
                        </w:r>
                      </w:p>
                    </w:tc>
                    <w:tc>
                      <w:tcPr>
                        <w:tcW w:w="1060" w:type="dxa"/>
                      </w:tcPr>
                      <w:p>
                        <w:pPr>
                          <w:pStyle w:val="TableParagraph"/>
                          <w:spacing w:before="8"/>
                          <w:ind w:right="157"/>
                          <w:jc w:val="right"/>
                          <w:rPr>
                            <w:sz w:val="18"/>
                          </w:rPr>
                        </w:pPr>
                        <w:r>
                          <w:rPr>
                            <w:color w:val="231F20"/>
                            <w:sz w:val="18"/>
                          </w:rPr>
                          <w:t>21</w:t>
                        </w:r>
                      </w:p>
                    </w:tc>
                    <w:tc>
                      <w:tcPr>
                        <w:tcW w:w="100" w:type="dxa"/>
                      </w:tcPr>
                      <w:p>
                        <w:pPr/>
                      </w:p>
                    </w:tc>
                    <w:tc>
                      <w:tcPr>
                        <w:tcW w:w="960" w:type="dxa"/>
                      </w:tcPr>
                      <w:p>
                        <w:pPr>
                          <w:pStyle w:val="TableParagraph"/>
                          <w:spacing w:before="8"/>
                          <w:ind w:right="58"/>
                          <w:jc w:val="right"/>
                          <w:rPr>
                            <w:sz w:val="18"/>
                          </w:rPr>
                        </w:pPr>
                        <w:r>
                          <w:rPr>
                            <w:color w:val="231F20"/>
                            <w:sz w:val="18"/>
                          </w:rPr>
                          <w:t>—</w:t>
                        </w:r>
                      </w:p>
                    </w:tc>
                    <w:tc>
                      <w:tcPr>
                        <w:tcW w:w="1160" w:type="dxa"/>
                        <w:gridSpan w:val="2"/>
                      </w:tcPr>
                      <w:p>
                        <w:pPr/>
                      </w:p>
                    </w:tc>
                  </w:tr>
                  <w:tr>
                    <w:trPr>
                      <w:trHeight w:val="241" w:hRule="exact"/>
                    </w:trPr>
                    <w:tc>
                      <w:tcPr>
                        <w:tcW w:w="5840" w:type="dxa"/>
                        <w:shd w:val="clear" w:color="auto" w:fill="D1D3D4"/>
                      </w:tcPr>
                      <w:p>
                        <w:pPr>
                          <w:pStyle w:val="TableParagraph"/>
                          <w:spacing w:before="8"/>
                          <w:rPr>
                            <w:sz w:val="18"/>
                          </w:rPr>
                        </w:pPr>
                        <w:r>
                          <w:rPr>
                            <w:color w:val="231F20"/>
                            <w:sz w:val="18"/>
                          </w:rPr>
                          <w:t>Add: Lease termination expense</w:t>
                        </w:r>
                      </w:p>
                    </w:tc>
                    <w:tc>
                      <w:tcPr>
                        <w:tcW w:w="1060" w:type="dxa"/>
                        <w:tcBorders>
                          <w:bottom w:val="single" w:sz="4" w:space="0" w:color="231F20"/>
                        </w:tcBorders>
                        <w:shd w:val="clear" w:color="auto" w:fill="D1D3D4"/>
                      </w:tcPr>
                      <w:p>
                        <w:pPr>
                          <w:pStyle w:val="TableParagraph"/>
                          <w:spacing w:before="8"/>
                          <w:ind w:right="157"/>
                          <w:jc w:val="right"/>
                          <w:rPr>
                            <w:sz w:val="18"/>
                          </w:rPr>
                        </w:pPr>
                        <w:r>
                          <w:rPr>
                            <w:color w:val="231F20"/>
                            <w:sz w:val="18"/>
                          </w:rPr>
                          <w:t>22</w:t>
                        </w:r>
                      </w:p>
                    </w:tc>
                    <w:tc>
                      <w:tcPr>
                        <w:tcW w:w="100" w:type="dxa"/>
                        <w:shd w:val="clear" w:color="auto" w:fill="D1D3D4"/>
                      </w:tcPr>
                      <w:p>
                        <w:pPr/>
                      </w:p>
                    </w:tc>
                    <w:tc>
                      <w:tcPr>
                        <w:tcW w:w="960" w:type="dxa"/>
                        <w:tcBorders>
                          <w:bottom w:val="single" w:sz="4" w:space="0" w:color="231F20"/>
                        </w:tcBorders>
                        <w:shd w:val="clear" w:color="auto" w:fill="D1D3D4"/>
                      </w:tcPr>
                      <w:p>
                        <w:pPr>
                          <w:pStyle w:val="TableParagraph"/>
                          <w:spacing w:before="8"/>
                          <w:ind w:right="58"/>
                          <w:jc w:val="right"/>
                          <w:rPr>
                            <w:sz w:val="18"/>
                          </w:rPr>
                        </w:pPr>
                        <w:r>
                          <w:rPr>
                            <w:color w:val="231F20"/>
                            <w:sz w:val="18"/>
                          </w:rPr>
                          <w:t>—</w:t>
                        </w:r>
                      </w:p>
                    </w:tc>
                    <w:tc>
                      <w:tcPr>
                        <w:tcW w:w="1160" w:type="dxa"/>
                        <w:gridSpan w:val="2"/>
                        <w:shd w:val="clear" w:color="auto" w:fill="D1D3D4"/>
                      </w:tcPr>
                      <w:p>
                        <w:pPr/>
                      </w:p>
                    </w:tc>
                  </w:tr>
                  <w:tr>
                    <w:trPr>
                      <w:trHeight w:val="279" w:hRule="exact"/>
                    </w:trPr>
                    <w:tc>
                      <w:tcPr>
                        <w:tcW w:w="5840" w:type="dxa"/>
                      </w:tcPr>
                      <w:p>
                        <w:pPr>
                          <w:pStyle w:val="TableParagraph"/>
                          <w:spacing w:before="28"/>
                          <w:rPr>
                            <w:b/>
                            <w:sz w:val="18"/>
                          </w:rPr>
                        </w:pPr>
                        <w:r>
                          <w:rPr>
                            <w:b/>
                            <w:color w:val="231F20"/>
                            <w:sz w:val="18"/>
                          </w:rPr>
                          <w:t>Operating income, non-GAAP</w:t>
                        </w:r>
                      </w:p>
                    </w:tc>
                    <w:tc>
                      <w:tcPr>
                        <w:tcW w:w="1060" w:type="dxa"/>
                        <w:tcBorders>
                          <w:top w:val="single" w:sz="4" w:space="0" w:color="231F20"/>
                        </w:tcBorders>
                      </w:tcPr>
                      <w:p>
                        <w:pPr>
                          <w:pStyle w:val="TableParagraph"/>
                          <w:tabs>
                            <w:tab w:pos="494" w:val="left" w:leader="none"/>
                          </w:tabs>
                          <w:spacing w:before="8"/>
                          <w:rPr>
                            <w:sz w:val="18"/>
                          </w:rPr>
                        </w:pPr>
                        <w:r>
                          <w:rPr>
                            <w:color w:val="231F20"/>
                            <w:sz w:val="18"/>
                          </w:rPr>
                          <w:t>$</w:t>
                          <w:tab/>
                          <w:t>3,957</w:t>
                        </w:r>
                      </w:p>
                    </w:tc>
                    <w:tc>
                      <w:tcPr>
                        <w:tcW w:w="100" w:type="dxa"/>
                      </w:tcPr>
                      <w:p>
                        <w:pPr/>
                      </w:p>
                    </w:tc>
                    <w:tc>
                      <w:tcPr>
                        <w:tcW w:w="960" w:type="dxa"/>
                        <w:tcBorders>
                          <w:top w:val="single" w:sz="4" w:space="0" w:color="231F20"/>
                        </w:tcBorders>
                      </w:tcPr>
                      <w:p>
                        <w:pPr>
                          <w:pStyle w:val="TableParagraph"/>
                          <w:tabs>
                            <w:tab w:pos="494" w:val="left" w:leader="none"/>
                          </w:tabs>
                          <w:spacing w:before="8"/>
                          <w:rPr>
                            <w:sz w:val="18"/>
                          </w:rPr>
                        </w:pPr>
                        <w:r>
                          <w:rPr>
                            <w:color w:val="231F20"/>
                            <w:sz w:val="18"/>
                          </w:rPr>
                          <w:t>$</w:t>
                          <w:tab/>
                          <w:t>3,957</w:t>
                        </w:r>
                      </w:p>
                    </w:tc>
                    <w:tc>
                      <w:tcPr>
                        <w:tcW w:w="1160" w:type="dxa"/>
                        <w:gridSpan w:val="2"/>
                      </w:tcPr>
                      <w:p>
                        <w:pPr>
                          <w:pStyle w:val="TableParagraph"/>
                          <w:spacing w:before="28"/>
                          <w:jc w:val="right"/>
                          <w:rPr>
                            <w:sz w:val="18"/>
                          </w:rPr>
                        </w:pPr>
                        <w:r>
                          <w:rPr>
                            <w:color w:val="231F20"/>
                            <w:sz w:val="18"/>
                          </w:rPr>
                          <w:t>—%</w:t>
                        </w:r>
                      </w:p>
                    </w:tc>
                  </w:tr>
                  <w:tr>
                    <w:trPr>
                      <w:trHeight w:val="239" w:hRule="exact"/>
                    </w:trPr>
                    <w:tc>
                      <w:tcPr>
                        <w:tcW w:w="5840" w:type="dxa"/>
                        <w:shd w:val="clear" w:color="auto" w:fill="D1D3D4"/>
                      </w:tcPr>
                      <w:p>
                        <w:pPr/>
                      </w:p>
                    </w:tc>
                    <w:tc>
                      <w:tcPr>
                        <w:tcW w:w="1060" w:type="dxa"/>
                        <w:shd w:val="clear" w:color="auto" w:fill="D1D3D4"/>
                      </w:tcPr>
                      <w:p>
                        <w:pPr/>
                      </w:p>
                    </w:tc>
                    <w:tc>
                      <w:tcPr>
                        <w:tcW w:w="100" w:type="dxa"/>
                        <w:shd w:val="clear" w:color="auto" w:fill="D1D3D4"/>
                      </w:tcPr>
                      <w:p>
                        <w:pPr/>
                      </w:p>
                    </w:tc>
                    <w:tc>
                      <w:tcPr>
                        <w:tcW w:w="960" w:type="dxa"/>
                        <w:shd w:val="clear" w:color="auto" w:fill="D1D3D4"/>
                      </w:tcPr>
                      <w:p>
                        <w:pPr/>
                      </w:p>
                    </w:tc>
                    <w:tc>
                      <w:tcPr>
                        <w:tcW w:w="1160" w:type="dxa"/>
                        <w:gridSpan w:val="2"/>
                        <w:shd w:val="clear" w:color="auto" w:fill="D1D3D4"/>
                      </w:tcPr>
                      <w:p>
                        <w:pPr/>
                      </w:p>
                    </w:tc>
                  </w:tr>
                  <w:tr>
                    <w:trPr>
                      <w:trHeight w:val="346" w:hRule="exact"/>
                    </w:trPr>
                    <w:tc>
                      <w:tcPr>
                        <w:tcW w:w="5840" w:type="dxa"/>
                      </w:tcPr>
                      <w:p>
                        <w:pPr>
                          <w:pStyle w:val="TableParagraph"/>
                          <w:spacing w:before="128"/>
                          <w:rPr>
                            <w:b/>
                            <w:sz w:val="18"/>
                          </w:rPr>
                        </w:pPr>
                        <w:r>
                          <w:rPr>
                            <w:b/>
                            <w:color w:val="231F20"/>
                            <w:sz w:val="18"/>
                          </w:rPr>
                          <w:t>Net income, as reported</w:t>
                        </w:r>
                      </w:p>
                    </w:tc>
                    <w:tc>
                      <w:tcPr>
                        <w:tcW w:w="1060" w:type="dxa"/>
                      </w:tcPr>
                      <w:p>
                        <w:pPr>
                          <w:pStyle w:val="TableParagraph"/>
                          <w:tabs>
                            <w:tab w:pos="494" w:val="left" w:leader="none"/>
                          </w:tabs>
                          <w:spacing w:before="128"/>
                          <w:rPr>
                            <w:sz w:val="18"/>
                          </w:rPr>
                        </w:pPr>
                        <w:r>
                          <w:rPr>
                            <w:color w:val="231F20"/>
                            <w:sz w:val="18"/>
                          </w:rPr>
                          <w:t>$</w:t>
                          <w:tab/>
                          <w:t>2,244</w:t>
                        </w:r>
                      </w:p>
                    </w:tc>
                    <w:tc>
                      <w:tcPr>
                        <w:tcW w:w="100" w:type="dxa"/>
                      </w:tcPr>
                      <w:p>
                        <w:pPr/>
                      </w:p>
                    </w:tc>
                    <w:tc>
                      <w:tcPr>
                        <w:tcW w:w="960" w:type="dxa"/>
                      </w:tcPr>
                      <w:p>
                        <w:pPr>
                          <w:pStyle w:val="TableParagraph"/>
                          <w:tabs>
                            <w:tab w:pos="494" w:val="left" w:leader="none"/>
                          </w:tabs>
                          <w:spacing w:before="128"/>
                          <w:rPr>
                            <w:sz w:val="18"/>
                          </w:rPr>
                        </w:pPr>
                        <w:r>
                          <w:rPr>
                            <w:color w:val="231F20"/>
                            <w:sz w:val="18"/>
                          </w:rPr>
                          <w:t>$</w:t>
                          <w:tab/>
                          <w:t>2,181</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Special revenue adjustment</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(172)</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Union contract bonuses</w:t>
                        </w:r>
                      </w:p>
                    </w:tc>
                    <w:tc>
                      <w:tcPr>
                        <w:tcW w:w="1060" w:type="dxa"/>
                      </w:tcPr>
                      <w:p>
                        <w:pPr>
                          <w:pStyle w:val="TableParagraph"/>
                          <w:spacing w:before="8"/>
                          <w:ind w:right="157"/>
                          <w:jc w:val="right"/>
                          <w:rPr>
                            <w:sz w:val="18"/>
                          </w:rPr>
                        </w:pPr>
                        <w:r>
                          <w:rPr>
                            <w:color w:val="231F20"/>
                            <w:sz w:val="18"/>
                          </w:rPr>
                          <w:t>356</w:t>
                        </w:r>
                      </w:p>
                    </w:tc>
                    <w:tc>
                      <w:tcPr>
                        <w:tcW w:w="100" w:type="dxa"/>
                      </w:tcPr>
                      <w:p>
                        <w:pPr/>
                      </w:p>
                    </w:tc>
                    <w:tc>
                      <w:tcPr>
                        <w:tcW w:w="960" w:type="dxa"/>
                      </w:tcPr>
                      <w:p>
                        <w:pPr>
                          <w:pStyle w:val="TableParagraph"/>
                          <w:spacing w:before="8"/>
                          <w:ind w:right="58"/>
                          <w:jc w:val="right"/>
                          <w:rPr>
                            <w:sz w:val="18"/>
                          </w:rPr>
                        </w:pPr>
                        <w:r>
                          <w:rPr>
                            <w:color w:val="231F20"/>
                            <w:sz w:val="18"/>
                          </w:rPr>
                          <w:t>334</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Add: Mark-to-market impact from fuel contracts settling in future periods</w:t>
                        </w:r>
                      </w:p>
                    </w:tc>
                    <w:tc>
                      <w:tcPr>
                        <w:tcW w:w="1060" w:type="dxa"/>
                        <w:shd w:val="clear" w:color="auto" w:fill="D1D3D4"/>
                      </w:tcPr>
                      <w:p>
                        <w:pPr>
                          <w:pStyle w:val="TableParagraph"/>
                          <w:spacing w:before="8"/>
                          <w:ind w:right="157"/>
                          <w:jc w:val="right"/>
                          <w:rPr>
                            <w:sz w:val="18"/>
                          </w:rPr>
                        </w:pPr>
                        <w:r>
                          <w:rPr>
                            <w:color w:val="231F20"/>
                            <w:sz w:val="18"/>
                          </w:rPr>
                          <w:t>9</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373</w:t>
                        </w:r>
                      </w:p>
                    </w:tc>
                    <w:tc>
                      <w:tcPr>
                        <w:tcW w:w="1160" w:type="dxa"/>
                        <w:gridSpan w:val="2"/>
                        <w:shd w:val="clear" w:color="auto" w:fill="D1D3D4"/>
                      </w:tcPr>
                      <w:p>
                        <w:pPr/>
                      </w:p>
                    </w:tc>
                  </w:tr>
                  <w:tr>
                    <w:trPr>
                      <w:trHeight w:val="416" w:hRule="exact"/>
                    </w:trPr>
                    <w:tc>
                      <w:tcPr>
                        <w:tcW w:w="5840" w:type="dxa"/>
                      </w:tcPr>
                      <w:p>
                        <w:pPr>
                          <w:pStyle w:val="TableParagraph"/>
                          <w:spacing w:line="261" w:lineRule="auto" w:before="8"/>
                          <w:ind w:right="491"/>
                          <w:rPr>
                            <w:sz w:val="18"/>
                          </w:rPr>
                        </w:pPr>
                        <w:r>
                          <w:rPr>
                            <w:color w:val="231F20"/>
                            <w:sz w:val="18"/>
                          </w:rPr>
                          <w:t>Deduct: Ineffectiveness from fuel hedges settling in future periods Deduct: Other net impact of fuel contracts settling in the current or a prior</w:t>
                        </w:r>
                      </w:p>
                    </w:tc>
                    <w:tc>
                      <w:tcPr>
                        <w:tcW w:w="1060" w:type="dxa"/>
                      </w:tcPr>
                      <w:p>
                        <w:pPr>
                          <w:pStyle w:val="TableParagraph"/>
                          <w:spacing w:before="8"/>
                          <w:ind w:right="98"/>
                          <w:jc w:val="right"/>
                          <w:rPr>
                            <w:sz w:val="18"/>
                          </w:rPr>
                        </w:pPr>
                        <w:r>
                          <w:rPr>
                            <w:color w:val="231F20"/>
                            <w:sz w:val="18"/>
                          </w:rPr>
                          <w:t>(11)</w:t>
                        </w:r>
                      </w:p>
                    </w:tc>
                    <w:tc>
                      <w:tcPr>
                        <w:tcW w:w="100" w:type="dxa"/>
                      </w:tcPr>
                      <w:p>
                        <w:pPr/>
                      </w:p>
                    </w:tc>
                    <w:tc>
                      <w:tcPr>
                        <w:tcW w:w="960" w:type="dxa"/>
                      </w:tcPr>
                      <w:p>
                        <w:pPr>
                          <w:pStyle w:val="TableParagraph"/>
                          <w:spacing w:before="8"/>
                          <w:jc w:val="right"/>
                          <w:rPr>
                            <w:sz w:val="18"/>
                          </w:rPr>
                        </w:pPr>
                        <w:r>
                          <w:rPr>
                            <w:color w:val="231F20"/>
                            <w:sz w:val="18"/>
                          </w:rPr>
                          <w:t>(9)</w:t>
                        </w:r>
                      </w:p>
                    </w:tc>
                    <w:tc>
                      <w:tcPr>
                        <w:tcW w:w="1160" w:type="dxa"/>
                        <w:gridSpan w:val="2"/>
                      </w:tcPr>
                      <w:p>
                        <w:pPr/>
                      </w:p>
                    </w:tc>
                  </w:tr>
                  <w:tr>
                    <w:trPr>
                      <w:trHeight w:val="214" w:hRule="exact"/>
                    </w:trPr>
                    <w:tc>
                      <w:tcPr>
                        <w:tcW w:w="5840" w:type="dxa"/>
                        <w:shd w:val="clear" w:color="auto" w:fill="D1D3D4"/>
                      </w:tcPr>
                      <w:p>
                        <w:pPr>
                          <w:pStyle w:val="TableParagraph"/>
                          <w:spacing w:line="201" w:lineRule="exact" w:before="0"/>
                          <w:ind w:left="180"/>
                          <w:rPr>
                            <w:sz w:val="18"/>
                          </w:rPr>
                        </w:pPr>
                        <w:r>
                          <w:rPr>
                            <w:color w:val="231F20"/>
                            <w:sz w:val="18"/>
                          </w:rPr>
                          <w:t>period (excluding reclassifications)</w:t>
                        </w:r>
                      </w:p>
                    </w:tc>
                    <w:tc>
                      <w:tcPr>
                        <w:tcW w:w="1060" w:type="dxa"/>
                        <w:shd w:val="clear" w:color="auto" w:fill="D1D3D4"/>
                      </w:tcPr>
                      <w:p>
                        <w:pPr>
                          <w:pStyle w:val="TableParagraph"/>
                          <w:spacing w:line="201" w:lineRule="exact" w:before="0"/>
                          <w:ind w:right="98"/>
                          <w:jc w:val="right"/>
                          <w:rPr>
                            <w:sz w:val="18"/>
                          </w:rPr>
                        </w:pPr>
                        <w:r>
                          <w:rPr>
                            <w:color w:val="231F20"/>
                            <w:sz w:val="18"/>
                          </w:rPr>
                          <w:t>(197)</w:t>
                        </w:r>
                      </w:p>
                    </w:tc>
                    <w:tc>
                      <w:tcPr>
                        <w:tcW w:w="100" w:type="dxa"/>
                        <w:shd w:val="clear" w:color="auto" w:fill="D1D3D4"/>
                      </w:tcPr>
                      <w:p>
                        <w:pPr/>
                      </w:p>
                    </w:tc>
                    <w:tc>
                      <w:tcPr>
                        <w:tcW w:w="960" w:type="dxa"/>
                        <w:shd w:val="clear" w:color="auto" w:fill="D1D3D4"/>
                      </w:tcPr>
                      <w:p>
                        <w:pPr>
                          <w:pStyle w:val="TableParagraph"/>
                          <w:spacing w:line="201" w:lineRule="exact" w:before="0"/>
                          <w:jc w:val="right"/>
                          <w:rPr>
                            <w:sz w:val="18"/>
                          </w:rPr>
                        </w:pPr>
                        <w:r>
                          <w:rPr>
                            <w:color w:val="231F20"/>
                            <w:sz w:val="18"/>
                          </w:rPr>
                          <w:t>(251)</w:t>
                        </w:r>
                      </w:p>
                    </w:tc>
                    <w:tc>
                      <w:tcPr>
                        <w:tcW w:w="1160" w:type="dxa"/>
                        <w:gridSpan w:val="2"/>
                        <w:shd w:val="clear" w:color="auto" w:fill="D1D3D4"/>
                      </w:tcPr>
                      <w:p>
                        <w:pPr/>
                      </w:p>
                    </w:tc>
                  </w:tr>
                  <w:tr>
                    <w:trPr>
                      <w:trHeight w:val="224" w:hRule="exact"/>
                    </w:trPr>
                    <w:tc>
                      <w:tcPr>
                        <w:tcW w:w="5840" w:type="dxa"/>
                      </w:tcPr>
                      <w:p>
                        <w:pPr>
                          <w:pStyle w:val="TableParagraph"/>
                          <w:spacing w:before="6"/>
                          <w:rPr>
                            <w:sz w:val="18"/>
                          </w:rPr>
                        </w:pPr>
                        <w:r>
                          <w:rPr>
                            <w:color w:val="231F20"/>
                            <w:sz w:val="18"/>
                          </w:rPr>
                          <w:t>Add: Acquisition and integration costs</w:t>
                        </w:r>
                      </w:p>
                    </w:tc>
                    <w:tc>
                      <w:tcPr>
                        <w:tcW w:w="1060" w:type="dxa"/>
                      </w:tcPr>
                      <w:p>
                        <w:pPr>
                          <w:pStyle w:val="TableParagraph"/>
                          <w:spacing w:before="6"/>
                          <w:ind w:right="157"/>
                          <w:jc w:val="right"/>
                          <w:rPr>
                            <w:sz w:val="18"/>
                          </w:rPr>
                        </w:pPr>
                        <w:r>
                          <w:rPr>
                            <w:color w:val="231F20"/>
                            <w:sz w:val="18"/>
                          </w:rPr>
                          <w:t>—</w:t>
                        </w:r>
                      </w:p>
                    </w:tc>
                    <w:tc>
                      <w:tcPr>
                        <w:tcW w:w="100" w:type="dxa"/>
                      </w:tcPr>
                      <w:p>
                        <w:pPr/>
                      </w:p>
                    </w:tc>
                    <w:tc>
                      <w:tcPr>
                        <w:tcW w:w="960" w:type="dxa"/>
                      </w:tcPr>
                      <w:p>
                        <w:pPr>
                          <w:pStyle w:val="TableParagraph"/>
                          <w:spacing w:before="6"/>
                          <w:ind w:right="58"/>
                          <w:jc w:val="right"/>
                          <w:rPr>
                            <w:sz w:val="18"/>
                          </w:rPr>
                        </w:pPr>
                        <w:r>
                          <w:rPr>
                            <w:color w:val="231F20"/>
                            <w:sz w:val="18"/>
                          </w:rPr>
                          <w:t>39</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Deduct: Litigation settlement</w:t>
                        </w:r>
                      </w:p>
                    </w:tc>
                    <w:tc>
                      <w:tcPr>
                        <w:tcW w:w="1060" w:type="dxa"/>
                        <w:shd w:val="clear" w:color="auto" w:fill="D1D3D4"/>
                      </w:tcPr>
                      <w:p>
                        <w:pPr>
                          <w:pStyle w:val="TableParagraph"/>
                          <w:spacing w:before="8"/>
                          <w:ind w:right="157"/>
                          <w:jc w:val="right"/>
                          <w:rPr>
                            <w:sz w:val="18"/>
                          </w:rPr>
                        </w:pPr>
                        <w:r>
                          <w:rPr>
                            <w:color w:val="231F20"/>
                            <w:sz w:val="18"/>
                          </w:rPr>
                          <w:t>—</w:t>
                        </w:r>
                      </w:p>
                    </w:tc>
                    <w:tc>
                      <w:tcPr>
                        <w:tcW w:w="100" w:type="dxa"/>
                        <w:shd w:val="clear" w:color="auto" w:fill="D1D3D4"/>
                      </w:tcPr>
                      <w:p>
                        <w:pPr/>
                      </w:p>
                    </w:tc>
                    <w:tc>
                      <w:tcPr>
                        <w:tcW w:w="960" w:type="dxa"/>
                        <w:shd w:val="clear" w:color="auto" w:fill="D1D3D4"/>
                      </w:tcPr>
                      <w:p>
                        <w:pPr>
                          <w:pStyle w:val="TableParagraph"/>
                          <w:spacing w:before="8"/>
                          <w:jc w:val="right"/>
                          <w:rPr>
                            <w:sz w:val="18"/>
                          </w:rPr>
                        </w:pPr>
                        <w:r>
                          <w:rPr>
                            <w:color w:val="231F20"/>
                            <w:sz w:val="18"/>
                          </w:rPr>
                          <w:t>(37)</w:t>
                        </w:r>
                      </w:p>
                    </w:tc>
                    <w:tc>
                      <w:tcPr>
                        <w:tcW w:w="1160" w:type="dxa"/>
                        <w:gridSpan w:val="2"/>
                        <w:shd w:val="clear" w:color="auto" w:fill="D1D3D4"/>
                      </w:tcPr>
                      <w:p>
                        <w:pPr/>
                      </w:p>
                    </w:tc>
                  </w:tr>
                  <w:tr>
                    <w:trPr>
                      <w:trHeight w:val="226" w:hRule="exact"/>
                    </w:trPr>
                    <w:tc>
                      <w:tcPr>
                        <w:tcW w:w="5840" w:type="dxa"/>
                      </w:tcPr>
                      <w:p>
                        <w:pPr>
                          <w:pStyle w:val="TableParagraph"/>
                          <w:spacing w:before="8"/>
                          <w:rPr>
                            <w:sz w:val="18"/>
                          </w:rPr>
                        </w:pPr>
                        <w:r>
                          <w:rPr>
                            <w:color w:val="231F20"/>
                            <w:sz w:val="18"/>
                          </w:rPr>
                          <w:t>Add: Asset impairment</w:t>
                        </w:r>
                      </w:p>
                    </w:tc>
                    <w:tc>
                      <w:tcPr>
                        <w:tcW w:w="1060" w:type="dxa"/>
                      </w:tcPr>
                      <w:p>
                        <w:pPr>
                          <w:pStyle w:val="TableParagraph"/>
                          <w:spacing w:before="8"/>
                          <w:ind w:right="157"/>
                          <w:jc w:val="right"/>
                          <w:rPr>
                            <w:sz w:val="18"/>
                          </w:rPr>
                        </w:pPr>
                        <w:r>
                          <w:rPr>
                            <w:color w:val="231F20"/>
                            <w:sz w:val="18"/>
                          </w:rPr>
                          <w:t>21</w:t>
                        </w:r>
                      </w:p>
                    </w:tc>
                    <w:tc>
                      <w:tcPr>
                        <w:tcW w:w="100" w:type="dxa"/>
                      </w:tcPr>
                      <w:p>
                        <w:pPr/>
                      </w:p>
                    </w:tc>
                    <w:tc>
                      <w:tcPr>
                        <w:tcW w:w="960" w:type="dxa"/>
                      </w:tcPr>
                      <w:p>
                        <w:pPr>
                          <w:pStyle w:val="TableParagraph"/>
                          <w:spacing w:before="8"/>
                          <w:ind w:right="58"/>
                          <w:jc w:val="right"/>
                          <w:rPr>
                            <w:sz w:val="18"/>
                          </w:rPr>
                        </w:pPr>
                        <w:r>
                          <w:rPr>
                            <w:color w:val="231F20"/>
                            <w:sz w:val="18"/>
                          </w:rPr>
                          <w:t>—</w:t>
                        </w:r>
                      </w:p>
                    </w:tc>
                    <w:tc>
                      <w:tcPr>
                        <w:tcW w:w="1160" w:type="dxa"/>
                        <w:gridSpan w:val="2"/>
                      </w:tcPr>
                      <w:p>
                        <w:pPr/>
                      </w:p>
                    </w:tc>
                  </w:tr>
                  <w:tr>
                    <w:trPr>
                      <w:trHeight w:val="226" w:hRule="exact"/>
                    </w:trPr>
                    <w:tc>
                      <w:tcPr>
                        <w:tcW w:w="5840" w:type="dxa"/>
                        <w:shd w:val="clear" w:color="auto" w:fill="D1D3D4"/>
                      </w:tcPr>
                      <w:p>
                        <w:pPr>
                          <w:pStyle w:val="TableParagraph"/>
                          <w:spacing w:before="8"/>
                          <w:rPr>
                            <w:sz w:val="18"/>
                          </w:rPr>
                        </w:pPr>
                        <w:r>
                          <w:rPr>
                            <w:color w:val="231F20"/>
                            <w:sz w:val="18"/>
                          </w:rPr>
                          <w:t>Add: Lease termination expense</w:t>
                        </w:r>
                      </w:p>
                    </w:tc>
                    <w:tc>
                      <w:tcPr>
                        <w:tcW w:w="1060" w:type="dxa"/>
                        <w:shd w:val="clear" w:color="auto" w:fill="D1D3D4"/>
                      </w:tcPr>
                      <w:p>
                        <w:pPr>
                          <w:pStyle w:val="TableParagraph"/>
                          <w:spacing w:before="8"/>
                          <w:ind w:right="157"/>
                          <w:jc w:val="right"/>
                          <w:rPr>
                            <w:sz w:val="18"/>
                          </w:rPr>
                        </w:pPr>
                        <w:r>
                          <w:rPr>
                            <w:color w:val="231F20"/>
                            <w:sz w:val="18"/>
                          </w:rPr>
                          <w:t>22</w:t>
                        </w:r>
                      </w:p>
                    </w:tc>
                    <w:tc>
                      <w:tcPr>
                        <w:tcW w:w="100" w:type="dxa"/>
                        <w:shd w:val="clear" w:color="auto" w:fill="D1D3D4"/>
                      </w:tcPr>
                      <w:p>
                        <w:pPr/>
                      </w:p>
                    </w:tc>
                    <w:tc>
                      <w:tcPr>
                        <w:tcW w:w="960" w:type="dxa"/>
                        <w:shd w:val="clear" w:color="auto" w:fill="D1D3D4"/>
                      </w:tcPr>
                      <w:p>
                        <w:pPr>
                          <w:pStyle w:val="TableParagraph"/>
                          <w:spacing w:before="8"/>
                          <w:ind w:right="58"/>
                          <w:jc w:val="right"/>
                          <w:rPr>
                            <w:sz w:val="18"/>
                          </w:rPr>
                        </w:pPr>
                        <w:r>
                          <w:rPr>
                            <w:color w:val="231F20"/>
                            <w:sz w:val="18"/>
                          </w:rPr>
                          <w:t>—</w:t>
                        </w:r>
                      </w:p>
                    </w:tc>
                    <w:tc>
                      <w:tcPr>
                        <w:tcW w:w="1160" w:type="dxa"/>
                        <w:gridSpan w:val="2"/>
                        <w:shd w:val="clear" w:color="auto" w:fill="D1D3D4"/>
                      </w:tcPr>
                      <w:p>
                        <w:pPr/>
                      </w:p>
                    </w:tc>
                  </w:tr>
                  <w:tr>
                    <w:trPr>
                      <w:trHeight w:val="241" w:hRule="exact"/>
                    </w:trPr>
                    <w:tc>
                      <w:tcPr>
                        <w:tcW w:w="5840" w:type="dxa"/>
                      </w:tcPr>
                      <w:p>
                        <w:pPr>
                          <w:pStyle w:val="TableParagraph"/>
                          <w:spacing w:before="8"/>
                          <w:rPr>
                            <w:sz w:val="18"/>
                          </w:rPr>
                        </w:pPr>
                        <w:r>
                          <w:rPr>
                            <w:color w:val="231F20"/>
                            <w:sz w:val="18"/>
                          </w:rPr>
                          <w:t>Deduct: Net income tax impact from fuel and special items (1)</w:t>
                        </w:r>
                      </w:p>
                    </w:tc>
                    <w:tc>
                      <w:tcPr>
                        <w:tcW w:w="1060" w:type="dxa"/>
                        <w:tcBorders>
                          <w:bottom w:val="single" w:sz="4" w:space="0" w:color="231F20"/>
                        </w:tcBorders>
                      </w:tcPr>
                      <w:p>
                        <w:pPr>
                          <w:pStyle w:val="TableParagraph"/>
                          <w:spacing w:before="8"/>
                          <w:ind w:right="98"/>
                          <w:jc w:val="right"/>
                          <w:rPr>
                            <w:sz w:val="18"/>
                          </w:rPr>
                        </w:pPr>
                        <w:r>
                          <w:rPr>
                            <w:color w:val="231F20"/>
                            <w:sz w:val="18"/>
                          </w:rPr>
                          <w:t>(74)</w:t>
                        </w:r>
                      </w:p>
                    </w:tc>
                    <w:tc>
                      <w:tcPr>
                        <w:tcW w:w="100" w:type="dxa"/>
                      </w:tcPr>
                      <w:p>
                        <w:pPr/>
                      </w:p>
                    </w:tc>
                    <w:tc>
                      <w:tcPr>
                        <w:tcW w:w="960" w:type="dxa"/>
                        <w:tcBorders>
                          <w:bottom w:val="single" w:sz="4" w:space="0" w:color="231F20"/>
                        </w:tcBorders>
                      </w:tcPr>
                      <w:p>
                        <w:pPr>
                          <w:pStyle w:val="TableParagraph"/>
                          <w:spacing w:before="8"/>
                          <w:jc w:val="right"/>
                          <w:rPr>
                            <w:sz w:val="18"/>
                          </w:rPr>
                        </w:pPr>
                        <w:r>
                          <w:rPr>
                            <w:color w:val="231F20"/>
                            <w:sz w:val="18"/>
                          </w:rPr>
                          <w:t>(103)</w:t>
                        </w:r>
                      </w:p>
                    </w:tc>
                    <w:tc>
                      <w:tcPr>
                        <w:tcW w:w="1160" w:type="dxa"/>
                        <w:gridSpan w:val="2"/>
                      </w:tcPr>
                      <w:p>
                        <w:pPr/>
                      </w:p>
                    </w:tc>
                  </w:tr>
                  <w:tr>
                    <w:trPr>
                      <w:trHeight w:val="286" w:hRule="exact"/>
                    </w:trPr>
                    <w:tc>
                      <w:tcPr>
                        <w:tcW w:w="5840" w:type="dxa"/>
                        <w:shd w:val="clear" w:color="auto" w:fill="D1D3D4"/>
                      </w:tcPr>
                      <w:p>
                        <w:pPr>
                          <w:pStyle w:val="TableParagraph"/>
                          <w:spacing w:before="8"/>
                          <w:rPr>
                            <w:b/>
                            <w:sz w:val="18"/>
                          </w:rPr>
                        </w:pPr>
                        <w:r>
                          <w:rPr>
                            <w:b/>
                            <w:color w:val="231F20"/>
                            <w:sz w:val="18"/>
                          </w:rPr>
                          <w:t>Net income, non-GAAP</w:t>
                        </w:r>
                      </w:p>
                    </w:tc>
                    <w:tc>
                      <w:tcPr>
                        <w:tcW w:w="1060" w:type="dxa"/>
                        <w:tcBorders>
                          <w:top w:val="single" w:sz="4" w:space="0" w:color="231F20"/>
                          <w:bottom w:val="single" w:sz="4" w:space="0" w:color="231F20"/>
                        </w:tcBorders>
                        <w:shd w:val="clear" w:color="auto" w:fill="D1D3D4"/>
                      </w:tcPr>
                      <w:p>
                        <w:pPr>
                          <w:pStyle w:val="TableParagraph"/>
                          <w:tabs>
                            <w:tab w:pos="494" w:val="left" w:leader="none"/>
                          </w:tabs>
                          <w:spacing w:before="8"/>
                          <w:rPr>
                            <w:sz w:val="18"/>
                          </w:rPr>
                        </w:pPr>
                        <w:r>
                          <w:rPr>
                            <w:color w:val="231F20"/>
                            <w:sz w:val="18"/>
                          </w:rPr>
                          <w:t>$</w:t>
                          <w:tab/>
                          <w:t>2,370</w:t>
                        </w:r>
                      </w:p>
                    </w:tc>
                    <w:tc>
                      <w:tcPr>
                        <w:tcW w:w="100" w:type="dxa"/>
                        <w:shd w:val="clear" w:color="auto" w:fill="D1D3D4"/>
                      </w:tcPr>
                      <w:p>
                        <w:pPr/>
                      </w:p>
                    </w:tc>
                    <w:tc>
                      <w:tcPr>
                        <w:tcW w:w="960" w:type="dxa"/>
                        <w:tcBorders>
                          <w:top w:val="single" w:sz="4" w:space="0" w:color="231F20"/>
                          <w:bottom w:val="single" w:sz="4" w:space="0" w:color="231F20"/>
                        </w:tcBorders>
                        <w:shd w:val="clear" w:color="auto" w:fill="D1D3D4"/>
                      </w:tcPr>
                      <w:p>
                        <w:pPr>
                          <w:pStyle w:val="TableParagraph"/>
                          <w:tabs>
                            <w:tab w:pos="494" w:val="left" w:leader="none"/>
                          </w:tabs>
                          <w:spacing w:before="8"/>
                          <w:rPr>
                            <w:sz w:val="18"/>
                          </w:rPr>
                        </w:pPr>
                        <w:r>
                          <w:rPr>
                            <w:color w:val="231F20"/>
                            <w:sz w:val="18"/>
                          </w:rPr>
                          <w:t>$</w:t>
                          <w:tab/>
                          <w:t>2,355</w:t>
                        </w:r>
                      </w:p>
                    </w:tc>
                    <w:tc>
                      <w:tcPr>
                        <w:tcW w:w="1160" w:type="dxa"/>
                        <w:gridSpan w:val="2"/>
                        <w:shd w:val="clear" w:color="auto" w:fill="D1D3D4"/>
                      </w:tcPr>
                      <w:p>
                        <w:pPr>
                          <w:pStyle w:val="TableParagraph"/>
                          <w:spacing w:before="8"/>
                          <w:jc w:val="right"/>
                          <w:rPr>
                            <w:sz w:val="18"/>
                          </w:rPr>
                        </w:pPr>
                        <w:r>
                          <w:rPr>
                            <w:color w:val="231F20"/>
                            <w:sz w:val="18"/>
                          </w:rPr>
                          <w:t>0.6%</w:t>
                        </w:r>
                      </w:p>
                    </w:tc>
                  </w:tr>
                </w:tbl>
                <w:p>
                  <w:pPr>
                    <w:pStyle w:val="BodyText"/>
                  </w:pPr>
                </w:p>
              </w:txbxContent>
            </v:textbox>
            <w10:wrap type="none"/>
          </v:shape>
        </w:pict>
      </w:r>
      <w:r>
        <w:rPr>
          <w:color w:val="231F20"/>
        </w:rPr>
        <w:t>Reconciliation of Reported Amounts to Non-GAAP Financial Measures (unaudited) (in millions, except per share and per ASM amounts)</w:t>
      </w:r>
    </w:p>
    <w:p>
      <w:pPr>
        <w:spacing w:line="193" w:lineRule="exact" w:before="77"/>
        <w:ind w:left="0" w:right="1895" w:firstLine="0"/>
        <w:jc w:val="right"/>
        <w:rPr>
          <w:b/>
          <w:sz w:val="18"/>
        </w:rPr>
      </w:pPr>
      <w:r>
        <w:rPr>
          <w:b/>
          <w:color w:val="231F20"/>
          <w:sz w:val="18"/>
        </w:rPr>
        <w:t>Year ended</w:t>
      </w:r>
    </w:p>
    <w:p>
      <w:pPr>
        <w:tabs>
          <w:tab w:pos="1969" w:val="left" w:leader="none"/>
        </w:tabs>
        <w:spacing w:line="273" w:lineRule="exact" w:before="0"/>
        <w:ind w:left="0" w:right="303" w:firstLine="0"/>
        <w:jc w:val="right"/>
        <w:rPr>
          <w:b/>
          <w:sz w:val="18"/>
        </w:rPr>
      </w:pPr>
      <w:r>
        <w:rPr>
          <w:b/>
          <w:color w:val="231F20"/>
          <w:sz w:val="18"/>
        </w:rPr>
        <w:t>December 31,</w:t>
        <w:tab/>
      </w:r>
      <w:r>
        <w:rPr>
          <w:b/>
          <w:color w:val="231F20"/>
          <w:spacing w:val="-1"/>
          <w:position w:val="-7"/>
          <w:sz w:val="18"/>
        </w:rPr>
        <w:t>Percent</w:t>
      </w:r>
    </w:p>
    <w:p>
      <w:pPr>
        <w:pStyle w:val="BodyText"/>
        <w:rPr>
          <w:b/>
          <w:sz w:val="20"/>
        </w:rPr>
      </w:pPr>
    </w:p>
    <w:p>
      <w:pPr>
        <w:pStyle w:val="BodyText"/>
        <w:rPr>
          <w:b/>
          <w:sz w:val="20"/>
        </w:rPr>
      </w:pPr>
    </w:p>
    <w:p>
      <w:pPr>
        <w:pStyle w:val="BodyText"/>
        <w:rPr>
          <w:b/>
          <w:sz w:val="20"/>
        </w:rPr>
      </w:pPr>
    </w:p>
    <w:p>
      <w:pPr>
        <w:pStyle w:val="BodyText"/>
        <w:spacing w:before="5"/>
        <w:rPr>
          <w:b/>
          <w:sz w:val="17"/>
        </w:rPr>
      </w:pPr>
      <w:r>
        <w:rPr/>
        <w:pict>
          <v:group style="position:absolute;margin-left:360.75pt;margin-top:11.97868pt;width:48.5pt;height:2.5pt;mso-position-horizontal-relative:page;mso-position-vertical-relative:paragraph;z-index:2176;mso-wrap-distance-left:0;mso-wrap-distance-right:0" coordorigin="7215,240" coordsize="970,50">
            <v:line style="position:absolute" from="7220,245" to="8180,245" stroked="true" strokeweight=".5pt" strokecolor="#231f20">
              <v:stroke dashstyle="solid"/>
            </v:line>
            <v:line style="position:absolute" from="7220,285" to="8180,285" stroked="true" strokeweight=".5pt" strokecolor="#231f20">
              <v:stroke dashstyle="solid"/>
            </v:line>
            <w10:wrap type="topAndBottom"/>
          </v:group>
        </w:pict>
      </w:r>
      <w:r>
        <w:rPr/>
        <w:pict>
          <v:group style="position:absolute;margin-left:418.75pt;margin-top:11.97868pt;width:48.5pt;height:2.5pt;mso-position-horizontal-relative:page;mso-position-vertical-relative:paragraph;z-index:2200;mso-wrap-distance-left:0;mso-wrap-distance-right:0" coordorigin="8375,240" coordsize="970,50">
            <v:line style="position:absolute" from="8380,245" to="9340,245" stroked="true" strokeweight=".5pt" strokecolor="#231f20">
              <v:stroke dashstyle="solid"/>
            </v:line>
            <v:line style="position:absolute" from="8380,285" to="9340,285"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6"/>
        </w:rPr>
      </w:pPr>
      <w:r>
        <w:rPr/>
        <w:pict>
          <v:group style="position:absolute;margin-left:360.75pt;margin-top:11.354883pt;width:48.5pt;height:2.5pt;mso-position-horizontal-relative:page;mso-position-vertical-relative:paragraph;z-index:2224;mso-wrap-distance-left:0;mso-wrap-distance-right:0" coordorigin="7215,227" coordsize="970,50">
            <v:line style="position:absolute" from="7220,232" to="8180,232" stroked="true" strokeweight=".5pt" strokecolor="#231f20">
              <v:stroke dashstyle="solid"/>
            </v:line>
            <v:line style="position:absolute" from="7220,272" to="8180,272" stroked="true" strokeweight=".5pt" strokecolor="#231f20">
              <v:stroke dashstyle="solid"/>
            </v:line>
            <w10:wrap type="topAndBottom"/>
          </v:group>
        </w:pict>
      </w:r>
      <w:r>
        <w:rPr/>
        <w:pict>
          <v:group style="position:absolute;margin-left:418.75pt;margin-top:11.354883pt;width:48.5pt;height:2.5pt;mso-position-horizontal-relative:page;mso-position-vertical-relative:paragraph;z-index:2248;mso-wrap-distance-left:0;mso-wrap-distance-right:0" coordorigin="8375,227" coordsize="970,50">
            <v:line style="position:absolute" from="8380,232" to="9340,232" stroked="true" strokeweight=".5pt" strokecolor="#231f20">
              <v:stroke dashstyle="solid"/>
            </v:line>
            <v:line style="position:absolute" from="8380,272" to="9340,272"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r>
        <w:rPr/>
        <w:pict>
          <v:group style="position:absolute;margin-left:360.75pt;margin-top:15.659765pt;width:48.5pt;height:2.5pt;mso-position-horizontal-relative:page;mso-position-vertical-relative:paragraph;z-index:2272;mso-wrap-distance-left:0;mso-wrap-distance-right:0" coordorigin="7215,313" coordsize="970,50">
            <v:line style="position:absolute" from="7220,318" to="8180,318" stroked="true" strokeweight=".5pt" strokecolor="#231f20">
              <v:stroke dashstyle="solid"/>
            </v:line>
            <v:line style="position:absolute" from="7220,358" to="8180,358" stroked="true" strokeweight=".5pt" strokecolor="#231f20">
              <v:stroke dashstyle="solid"/>
            </v:line>
            <w10:wrap type="topAndBottom"/>
          </v:group>
        </w:pict>
      </w:r>
      <w:r>
        <w:rPr/>
        <w:pict>
          <v:group style="position:absolute;margin-left:418.75pt;margin-top:15.659765pt;width:48.5pt;height:2.5pt;mso-position-horizontal-relative:page;mso-position-vertical-relative:paragraph;z-index:2296;mso-wrap-distance-left:0;mso-wrap-distance-right:0" coordorigin="8375,313" coordsize="970,50">
            <v:line style="position:absolute" from="8380,318" to="9340,318" stroked="true" strokeweight=".5pt" strokecolor="#231f20">
              <v:stroke dashstyle="solid"/>
            </v:line>
            <v:line style="position:absolute" from="8380,358" to="9340,358"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r>
        <w:rPr/>
        <w:pict>
          <v:group style="position:absolute;margin-left:360.75pt;margin-top:15.460742pt;width:48.5pt;height:2.5pt;mso-position-horizontal-relative:page;mso-position-vertical-relative:paragraph;z-index:2320;mso-wrap-distance-left:0;mso-wrap-distance-right:0" coordorigin="7215,309" coordsize="970,50">
            <v:line style="position:absolute" from="7220,314" to="8180,314" stroked="true" strokeweight=".5pt" strokecolor="#231f20">
              <v:stroke dashstyle="solid"/>
            </v:line>
            <v:line style="position:absolute" from="7220,354" to="8180,354" stroked="true" strokeweight=".5pt" strokecolor="#231f20">
              <v:stroke dashstyle="solid"/>
            </v:line>
            <w10:wrap type="topAndBottom"/>
          </v:group>
        </w:pict>
      </w:r>
      <w:r>
        <w:rPr/>
        <w:pict>
          <v:group style="position:absolute;margin-left:418.75pt;margin-top:15.460742pt;width:48.5pt;height:2.5pt;mso-position-horizontal-relative:page;mso-position-vertical-relative:paragraph;z-index:2344;mso-wrap-distance-left:0;mso-wrap-distance-right:0" coordorigin="8375,309" coordsize="970,50">
            <v:line style="position:absolute" from="8380,314" to="9340,314" stroked="true" strokeweight=".5pt" strokecolor="#231f20">
              <v:stroke dashstyle="solid"/>
            </v:line>
            <v:line style="position:absolute" from="8380,354" to="9340,354"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r>
        <w:rPr/>
        <w:pict>
          <v:rect style="position:absolute;margin-left:69pt;margin-top:14.854883pt;width:456pt;height:20.1pt;mso-position-horizontal-relative:page;mso-position-vertical-relative:paragraph;z-index:2368;mso-wrap-distance-left:0;mso-wrap-distance-right:0" filled="true" fillcolor="#d1d3d4" stroked="false">
            <v:fill type="solid"/>
            <w10:wrap type="topAndBottom"/>
          </v:rect>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4"/>
        </w:rPr>
      </w:pPr>
      <w:r>
        <w:rPr/>
        <w:pict>
          <v:line style="position:absolute;mso-position-horizontal-relative:page;mso-position-vertical-relative:paragraph;z-index:2392;mso-wrap-distance-left:0;mso-wrap-distance-right:0" from="361pt,10.604883pt" to="409pt,10.604883pt" stroked="true" strokeweight=".5pt" strokecolor="#231f20">
            <v:stroke dashstyle="solid"/>
            <w10:wrap type="topAndBottom"/>
          </v:line>
        </w:pict>
      </w:r>
      <w:r>
        <w:rPr/>
        <w:pict>
          <v:line style="position:absolute;mso-position-horizontal-relative:page;mso-position-vertical-relative:paragraph;z-index:2416;mso-wrap-distance-left:0;mso-wrap-distance-right:0" from="419pt,10.604883pt" to="467pt,10.604883pt" stroked="true" strokeweight=".5pt" strokecolor="#231f20">
            <v:stroke dashstyle="solid"/>
            <w10:wrap type="topAndBottom"/>
          </v:line>
        </w:pict>
      </w:r>
    </w:p>
    <w:p>
      <w:pPr>
        <w:spacing w:after="0"/>
        <w:rPr>
          <w:sz w:val="14"/>
        </w:rPr>
        <w:sectPr>
          <w:pgSz w:w="11880" w:h="15480"/>
          <w:pgMar w:header="0" w:footer="1240" w:top="1240" w:bottom="1420" w:left="1280" w:right="1260"/>
        </w:sectPr>
      </w:pPr>
    </w:p>
    <w:p>
      <w:pPr>
        <w:spacing w:line="193" w:lineRule="exact" w:before="72"/>
        <w:ind w:left="0" w:right="1895" w:firstLine="0"/>
        <w:jc w:val="right"/>
        <w:rPr>
          <w:b/>
          <w:sz w:val="18"/>
        </w:rPr>
      </w:pPr>
      <w:r>
        <w:rPr>
          <w:b/>
          <w:color w:val="231F20"/>
          <w:sz w:val="18"/>
        </w:rPr>
        <w:t>Year ended</w:t>
      </w:r>
    </w:p>
    <w:p>
      <w:pPr>
        <w:tabs>
          <w:tab w:pos="1969" w:val="left" w:leader="none"/>
        </w:tabs>
        <w:spacing w:line="273" w:lineRule="exact" w:before="0"/>
        <w:ind w:left="0" w:right="303" w:firstLine="0"/>
        <w:jc w:val="right"/>
        <w:rPr>
          <w:b/>
          <w:sz w:val="18"/>
        </w:rPr>
      </w:pPr>
      <w:r>
        <w:rPr/>
        <w:pict>
          <v:shape style="position:absolute;margin-left:69pt;margin-top:11.227783pt;width:456pt;height:185.3pt;mso-position-horizontal-relative:page;mso-position-vertical-relative:paragraph;z-index:25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0"/>
                    <w:gridCol w:w="960"/>
                    <w:gridCol w:w="200"/>
                    <w:gridCol w:w="960"/>
                    <w:gridCol w:w="200"/>
                    <w:gridCol w:w="960"/>
                  </w:tblGrid>
                  <w:tr>
                    <w:trPr>
                      <w:trHeight w:val="260" w:hRule="exact"/>
                    </w:trPr>
                    <w:tc>
                      <w:tcPr>
                        <w:tcW w:w="5840" w:type="dxa"/>
                      </w:tcPr>
                      <w:p>
                        <w:pPr/>
                      </w:p>
                    </w:tc>
                    <w:tc>
                      <w:tcPr>
                        <w:tcW w:w="960" w:type="dxa"/>
                        <w:tcBorders>
                          <w:top w:val="single" w:sz="8" w:space="0" w:color="231F20"/>
                          <w:bottom w:val="single" w:sz="8" w:space="0" w:color="231F20"/>
                        </w:tcBorders>
                      </w:tcPr>
                      <w:p>
                        <w:pPr>
                          <w:pStyle w:val="TableParagraph"/>
                          <w:spacing w:before="12"/>
                          <w:ind w:left="300"/>
                          <w:rPr>
                            <w:b/>
                            <w:sz w:val="18"/>
                          </w:rPr>
                        </w:pPr>
                        <w:r>
                          <w:rPr>
                            <w:b/>
                            <w:color w:val="231F20"/>
                            <w:sz w:val="18"/>
                          </w:rPr>
                          <w:t>2016</w:t>
                        </w:r>
                      </w:p>
                    </w:tc>
                    <w:tc>
                      <w:tcPr>
                        <w:tcW w:w="200" w:type="dxa"/>
                        <w:tcBorders>
                          <w:top w:val="single" w:sz="8" w:space="0" w:color="231F20"/>
                        </w:tcBorders>
                      </w:tcPr>
                      <w:p>
                        <w:pPr/>
                      </w:p>
                    </w:tc>
                    <w:tc>
                      <w:tcPr>
                        <w:tcW w:w="960" w:type="dxa"/>
                        <w:tcBorders>
                          <w:top w:val="single" w:sz="8" w:space="0" w:color="231F20"/>
                          <w:bottom w:val="single" w:sz="8" w:space="0" w:color="231F20"/>
                        </w:tcBorders>
                      </w:tcPr>
                      <w:p>
                        <w:pPr>
                          <w:pStyle w:val="TableParagraph"/>
                          <w:spacing w:before="12"/>
                          <w:ind w:left="300"/>
                          <w:rPr>
                            <w:b/>
                            <w:sz w:val="18"/>
                          </w:rPr>
                        </w:pPr>
                        <w:r>
                          <w:rPr>
                            <w:b/>
                            <w:color w:val="231F20"/>
                            <w:sz w:val="18"/>
                          </w:rPr>
                          <w:t>2015</w:t>
                        </w:r>
                      </w:p>
                    </w:tc>
                    <w:tc>
                      <w:tcPr>
                        <w:tcW w:w="200" w:type="dxa"/>
                      </w:tcPr>
                      <w:p>
                        <w:pPr/>
                      </w:p>
                    </w:tc>
                    <w:tc>
                      <w:tcPr>
                        <w:tcW w:w="960" w:type="dxa"/>
                        <w:tcBorders>
                          <w:bottom w:val="single" w:sz="8" w:space="0" w:color="231F20"/>
                        </w:tcBorders>
                      </w:tcPr>
                      <w:p>
                        <w:pPr>
                          <w:pStyle w:val="TableParagraph"/>
                          <w:spacing w:before="22"/>
                          <w:ind w:left="185"/>
                          <w:rPr>
                            <w:b/>
                            <w:sz w:val="18"/>
                          </w:rPr>
                        </w:pPr>
                        <w:r>
                          <w:rPr>
                            <w:b/>
                            <w:color w:val="231F20"/>
                            <w:sz w:val="18"/>
                          </w:rPr>
                          <w:t>Change</w:t>
                        </w:r>
                      </w:p>
                    </w:tc>
                  </w:tr>
                  <w:tr>
                    <w:trPr>
                      <w:trHeight w:val="283" w:hRule="exact"/>
                    </w:trPr>
                    <w:tc>
                      <w:tcPr>
                        <w:tcW w:w="5840" w:type="dxa"/>
                        <w:shd w:val="clear" w:color="auto" w:fill="D1D3D4"/>
                      </w:tcPr>
                      <w:p>
                        <w:pPr>
                          <w:pStyle w:val="TableParagraph"/>
                          <w:spacing w:before="45"/>
                          <w:ind w:left="60"/>
                          <w:rPr>
                            <w:b/>
                            <w:sz w:val="18"/>
                          </w:rPr>
                        </w:pPr>
                        <w:r>
                          <w:rPr>
                            <w:b/>
                            <w:color w:val="231F20"/>
                            <w:sz w:val="18"/>
                          </w:rPr>
                          <w:t>Net income per share, diluted, as reported</w:t>
                        </w:r>
                      </w:p>
                    </w:tc>
                    <w:tc>
                      <w:tcPr>
                        <w:tcW w:w="960" w:type="dxa"/>
                        <w:tcBorders>
                          <w:top w:val="single" w:sz="8" w:space="0" w:color="231F20"/>
                        </w:tcBorders>
                        <w:shd w:val="clear" w:color="auto" w:fill="D1D3D4"/>
                      </w:tcPr>
                      <w:p>
                        <w:pPr>
                          <w:pStyle w:val="TableParagraph"/>
                          <w:tabs>
                            <w:tab w:pos="584" w:val="left" w:leader="none"/>
                          </w:tabs>
                          <w:spacing w:before="45"/>
                          <w:rPr>
                            <w:sz w:val="18"/>
                          </w:rPr>
                        </w:pPr>
                        <w:r>
                          <w:rPr>
                            <w:color w:val="231F20"/>
                            <w:sz w:val="18"/>
                          </w:rPr>
                          <w:t>$</w:t>
                          <w:tab/>
                          <w:t>3.55</w:t>
                        </w:r>
                      </w:p>
                    </w:tc>
                    <w:tc>
                      <w:tcPr>
                        <w:tcW w:w="200" w:type="dxa"/>
                        <w:shd w:val="clear" w:color="auto" w:fill="D1D3D4"/>
                      </w:tcPr>
                      <w:p>
                        <w:pPr/>
                      </w:p>
                    </w:tc>
                    <w:tc>
                      <w:tcPr>
                        <w:tcW w:w="960" w:type="dxa"/>
                        <w:tcBorders>
                          <w:top w:val="single" w:sz="8" w:space="0" w:color="231F20"/>
                        </w:tcBorders>
                        <w:shd w:val="clear" w:color="auto" w:fill="D1D3D4"/>
                      </w:tcPr>
                      <w:p>
                        <w:pPr>
                          <w:pStyle w:val="TableParagraph"/>
                          <w:tabs>
                            <w:tab w:pos="584" w:val="left" w:leader="none"/>
                          </w:tabs>
                          <w:spacing w:before="45"/>
                          <w:rPr>
                            <w:sz w:val="18"/>
                          </w:rPr>
                        </w:pPr>
                        <w:r>
                          <w:rPr>
                            <w:color w:val="231F20"/>
                            <w:sz w:val="18"/>
                          </w:rPr>
                          <w:t>$</w:t>
                          <w:tab/>
                          <w:t>3.27</w:t>
                        </w:r>
                      </w:p>
                    </w:tc>
                    <w:tc>
                      <w:tcPr>
                        <w:tcW w:w="200" w:type="dxa"/>
                        <w:shd w:val="clear" w:color="auto" w:fill="D1D3D4"/>
                      </w:tcPr>
                      <w:p>
                        <w:pPr/>
                      </w:p>
                    </w:tc>
                    <w:tc>
                      <w:tcPr>
                        <w:tcW w:w="960" w:type="dxa"/>
                        <w:tcBorders>
                          <w:top w:val="single" w:sz="8" w:space="0" w:color="231F20"/>
                        </w:tcBorders>
                        <w:shd w:val="clear" w:color="auto" w:fill="D1D3D4"/>
                      </w:tcPr>
                      <w:p>
                        <w:pPr/>
                      </w:p>
                    </w:tc>
                  </w:tr>
                  <w:tr>
                    <w:trPr>
                      <w:trHeight w:val="525" w:hRule="exact"/>
                    </w:trPr>
                    <w:tc>
                      <w:tcPr>
                        <w:tcW w:w="5840" w:type="dxa"/>
                      </w:tcPr>
                      <w:p>
                        <w:pPr>
                          <w:pStyle w:val="TableParagraph"/>
                          <w:spacing w:line="242" w:lineRule="auto" w:before="45"/>
                          <w:ind w:left="260" w:right="428" w:hanging="200"/>
                          <w:rPr>
                            <w:sz w:val="20"/>
                          </w:rPr>
                        </w:pPr>
                        <w:r>
                          <w:rPr>
                            <w:color w:val="231F20"/>
                            <w:sz w:val="20"/>
                          </w:rPr>
                          <w:t>Add (Deduct): Net impact to net income above from fuel contracts divided by dilutive shares</w:t>
                        </w:r>
                      </w:p>
                    </w:tc>
                    <w:tc>
                      <w:tcPr>
                        <w:tcW w:w="960" w:type="dxa"/>
                      </w:tcPr>
                      <w:p>
                        <w:pPr>
                          <w:pStyle w:val="TableParagraph"/>
                          <w:spacing w:before="2"/>
                          <w:rPr>
                            <w:sz w:val="24"/>
                          </w:rPr>
                        </w:pPr>
                      </w:p>
                      <w:p>
                        <w:pPr>
                          <w:pStyle w:val="TableParagraph"/>
                          <w:spacing w:before="0"/>
                          <w:jc w:val="right"/>
                          <w:rPr>
                            <w:sz w:val="20"/>
                          </w:rPr>
                        </w:pPr>
                        <w:r>
                          <w:rPr>
                            <w:color w:val="231F20"/>
                            <w:sz w:val="20"/>
                          </w:rPr>
                          <w:t>(0.31)</w:t>
                        </w:r>
                      </w:p>
                    </w:tc>
                    <w:tc>
                      <w:tcPr>
                        <w:tcW w:w="200" w:type="dxa"/>
                      </w:tcPr>
                      <w:p>
                        <w:pPr/>
                      </w:p>
                    </w:tc>
                    <w:tc>
                      <w:tcPr>
                        <w:tcW w:w="960" w:type="dxa"/>
                      </w:tcPr>
                      <w:p>
                        <w:pPr>
                          <w:pStyle w:val="TableParagraph"/>
                          <w:spacing w:before="2"/>
                          <w:rPr>
                            <w:sz w:val="24"/>
                          </w:rPr>
                        </w:pPr>
                      </w:p>
                      <w:p>
                        <w:pPr>
                          <w:pStyle w:val="TableParagraph"/>
                          <w:spacing w:before="0"/>
                          <w:ind w:right="65"/>
                          <w:jc w:val="right"/>
                          <w:rPr>
                            <w:sz w:val="20"/>
                          </w:rPr>
                        </w:pPr>
                        <w:r>
                          <w:rPr>
                            <w:color w:val="231F20"/>
                            <w:sz w:val="20"/>
                          </w:rPr>
                          <w:t>0.17</w:t>
                        </w:r>
                      </w:p>
                    </w:tc>
                    <w:tc>
                      <w:tcPr>
                        <w:tcW w:w="200" w:type="dxa"/>
                      </w:tcPr>
                      <w:p>
                        <w:pPr/>
                      </w:p>
                    </w:tc>
                    <w:tc>
                      <w:tcPr>
                        <w:tcW w:w="960" w:type="dxa"/>
                      </w:tcPr>
                      <w:p>
                        <w:pPr/>
                      </w:p>
                    </w:tc>
                  </w:tr>
                  <w:tr>
                    <w:trPr>
                      <w:trHeight w:val="292" w:hRule="exact"/>
                    </w:trPr>
                    <w:tc>
                      <w:tcPr>
                        <w:tcW w:w="5840" w:type="dxa"/>
                        <w:shd w:val="clear" w:color="auto" w:fill="D1D3D4"/>
                      </w:tcPr>
                      <w:p>
                        <w:pPr>
                          <w:pStyle w:val="TableParagraph"/>
                          <w:spacing w:before="45"/>
                          <w:ind w:left="60"/>
                          <w:rPr>
                            <w:sz w:val="20"/>
                          </w:rPr>
                        </w:pPr>
                        <w:r>
                          <w:rPr>
                            <w:color w:val="231F20"/>
                            <w:sz w:val="20"/>
                          </w:rPr>
                          <w:t>Add: Impact of special items</w:t>
                        </w:r>
                      </w:p>
                    </w:tc>
                    <w:tc>
                      <w:tcPr>
                        <w:tcW w:w="960" w:type="dxa"/>
                        <w:shd w:val="clear" w:color="auto" w:fill="D1D3D4"/>
                      </w:tcPr>
                      <w:p>
                        <w:pPr>
                          <w:pStyle w:val="TableParagraph"/>
                          <w:spacing w:before="45"/>
                          <w:ind w:right="65"/>
                          <w:jc w:val="right"/>
                          <w:rPr>
                            <w:sz w:val="20"/>
                          </w:rPr>
                        </w:pPr>
                        <w:r>
                          <w:rPr>
                            <w:color w:val="231F20"/>
                            <w:sz w:val="20"/>
                          </w:rPr>
                          <w:t>0.63</w:t>
                        </w:r>
                      </w:p>
                    </w:tc>
                    <w:tc>
                      <w:tcPr>
                        <w:tcW w:w="200" w:type="dxa"/>
                        <w:shd w:val="clear" w:color="auto" w:fill="D1D3D4"/>
                      </w:tcPr>
                      <w:p>
                        <w:pPr/>
                      </w:p>
                    </w:tc>
                    <w:tc>
                      <w:tcPr>
                        <w:tcW w:w="960" w:type="dxa"/>
                        <w:shd w:val="clear" w:color="auto" w:fill="D1D3D4"/>
                      </w:tcPr>
                      <w:p>
                        <w:pPr>
                          <w:pStyle w:val="TableParagraph"/>
                          <w:spacing w:before="45"/>
                          <w:ind w:right="65"/>
                          <w:jc w:val="right"/>
                          <w:rPr>
                            <w:sz w:val="20"/>
                          </w:rPr>
                        </w:pPr>
                        <w:r>
                          <w:rPr>
                            <w:color w:val="231F20"/>
                            <w:sz w:val="20"/>
                          </w:rPr>
                          <w:t>0.24</w:t>
                        </w:r>
                      </w:p>
                    </w:tc>
                    <w:tc>
                      <w:tcPr>
                        <w:tcW w:w="200" w:type="dxa"/>
                        <w:shd w:val="clear" w:color="auto" w:fill="D1D3D4"/>
                      </w:tcPr>
                      <w:p>
                        <w:pPr/>
                      </w:p>
                    </w:tc>
                    <w:tc>
                      <w:tcPr>
                        <w:tcW w:w="960" w:type="dxa"/>
                        <w:shd w:val="clear" w:color="auto" w:fill="D1D3D4"/>
                      </w:tcPr>
                      <w:p>
                        <w:pPr/>
                      </w:p>
                    </w:tc>
                  </w:tr>
                  <w:tr>
                    <w:trPr>
                      <w:trHeight w:val="307" w:hRule="exact"/>
                    </w:trPr>
                    <w:tc>
                      <w:tcPr>
                        <w:tcW w:w="5840" w:type="dxa"/>
                      </w:tcPr>
                      <w:p>
                        <w:pPr>
                          <w:pStyle w:val="TableParagraph"/>
                          <w:spacing w:before="45"/>
                          <w:ind w:left="60"/>
                          <w:rPr>
                            <w:sz w:val="20"/>
                          </w:rPr>
                        </w:pPr>
                        <w:r>
                          <w:rPr>
                            <w:color w:val="231F20"/>
                            <w:sz w:val="20"/>
                          </w:rPr>
                          <w:t>Deduct: Net income tax impact of fuel and special items (1)</w:t>
                        </w:r>
                      </w:p>
                    </w:tc>
                    <w:tc>
                      <w:tcPr>
                        <w:tcW w:w="960" w:type="dxa"/>
                        <w:tcBorders>
                          <w:bottom w:val="single" w:sz="4" w:space="0" w:color="231F20"/>
                        </w:tcBorders>
                      </w:tcPr>
                      <w:p>
                        <w:pPr>
                          <w:pStyle w:val="TableParagraph"/>
                          <w:spacing w:before="45"/>
                          <w:jc w:val="right"/>
                          <w:rPr>
                            <w:sz w:val="20"/>
                          </w:rPr>
                        </w:pPr>
                        <w:r>
                          <w:rPr>
                            <w:color w:val="231F20"/>
                            <w:sz w:val="20"/>
                          </w:rPr>
                          <w:t>(0.12)</w:t>
                        </w:r>
                      </w:p>
                    </w:tc>
                    <w:tc>
                      <w:tcPr>
                        <w:tcW w:w="200" w:type="dxa"/>
                      </w:tcPr>
                      <w:p>
                        <w:pPr/>
                      </w:p>
                    </w:tc>
                    <w:tc>
                      <w:tcPr>
                        <w:tcW w:w="960" w:type="dxa"/>
                        <w:tcBorders>
                          <w:bottom w:val="single" w:sz="4" w:space="0" w:color="231F20"/>
                        </w:tcBorders>
                      </w:tcPr>
                      <w:p>
                        <w:pPr>
                          <w:pStyle w:val="TableParagraph"/>
                          <w:spacing w:before="45"/>
                          <w:jc w:val="right"/>
                          <w:rPr>
                            <w:sz w:val="20"/>
                          </w:rPr>
                        </w:pPr>
                        <w:r>
                          <w:rPr>
                            <w:color w:val="231F20"/>
                            <w:sz w:val="20"/>
                          </w:rPr>
                          <w:t>(0.16)</w:t>
                        </w:r>
                      </w:p>
                    </w:tc>
                    <w:tc>
                      <w:tcPr>
                        <w:tcW w:w="200" w:type="dxa"/>
                      </w:tcPr>
                      <w:p>
                        <w:pPr/>
                      </w:p>
                    </w:tc>
                    <w:tc>
                      <w:tcPr>
                        <w:tcW w:w="960" w:type="dxa"/>
                      </w:tcPr>
                      <w:p>
                        <w:pPr/>
                      </w:p>
                    </w:tc>
                  </w:tr>
                  <w:tr>
                    <w:trPr>
                      <w:trHeight w:val="309" w:hRule="exact"/>
                    </w:trPr>
                    <w:tc>
                      <w:tcPr>
                        <w:tcW w:w="5840" w:type="dxa"/>
                        <w:shd w:val="clear" w:color="auto" w:fill="D1D3D4"/>
                      </w:tcPr>
                      <w:p>
                        <w:pPr>
                          <w:pStyle w:val="TableParagraph"/>
                          <w:spacing w:before="45"/>
                          <w:ind w:left="60"/>
                          <w:rPr>
                            <w:b/>
                            <w:sz w:val="18"/>
                          </w:rPr>
                        </w:pPr>
                        <w:r>
                          <w:rPr>
                            <w:b/>
                            <w:color w:val="231F20"/>
                            <w:sz w:val="18"/>
                          </w:rPr>
                          <w:t>Net income per share, diluted, non-GAAP</w:t>
                        </w:r>
                      </w:p>
                    </w:tc>
                    <w:tc>
                      <w:tcPr>
                        <w:tcW w:w="960" w:type="dxa"/>
                        <w:tcBorders>
                          <w:top w:val="single" w:sz="4" w:space="0" w:color="231F20"/>
                        </w:tcBorders>
                        <w:shd w:val="clear" w:color="auto" w:fill="D1D3D4"/>
                      </w:tcPr>
                      <w:p>
                        <w:pPr>
                          <w:pStyle w:val="TableParagraph"/>
                          <w:tabs>
                            <w:tab w:pos="584" w:val="left" w:leader="none"/>
                          </w:tabs>
                          <w:spacing w:before="45"/>
                          <w:rPr>
                            <w:sz w:val="18"/>
                          </w:rPr>
                        </w:pPr>
                        <w:r>
                          <w:rPr>
                            <w:color w:val="231F20"/>
                            <w:sz w:val="18"/>
                          </w:rPr>
                          <w:t>$</w:t>
                          <w:tab/>
                          <w:t>3.75</w:t>
                        </w:r>
                      </w:p>
                    </w:tc>
                    <w:tc>
                      <w:tcPr>
                        <w:tcW w:w="200" w:type="dxa"/>
                        <w:shd w:val="clear" w:color="auto" w:fill="D1D3D4"/>
                      </w:tcPr>
                      <w:p>
                        <w:pPr/>
                      </w:p>
                    </w:tc>
                    <w:tc>
                      <w:tcPr>
                        <w:tcW w:w="960" w:type="dxa"/>
                        <w:tcBorders>
                          <w:top w:val="single" w:sz="4" w:space="0" w:color="231F20"/>
                        </w:tcBorders>
                        <w:shd w:val="clear" w:color="auto" w:fill="D1D3D4"/>
                      </w:tcPr>
                      <w:p>
                        <w:pPr>
                          <w:pStyle w:val="TableParagraph"/>
                          <w:tabs>
                            <w:tab w:pos="584" w:val="left" w:leader="none"/>
                          </w:tabs>
                          <w:spacing w:before="45"/>
                          <w:rPr>
                            <w:sz w:val="18"/>
                          </w:rPr>
                        </w:pPr>
                        <w:r>
                          <w:rPr>
                            <w:color w:val="231F20"/>
                            <w:sz w:val="18"/>
                          </w:rPr>
                          <w:t>$</w:t>
                          <w:tab/>
                          <w:t>3.52</w:t>
                        </w:r>
                      </w:p>
                    </w:tc>
                    <w:tc>
                      <w:tcPr>
                        <w:tcW w:w="200" w:type="dxa"/>
                        <w:shd w:val="clear" w:color="auto" w:fill="D1D3D4"/>
                      </w:tcPr>
                      <w:p>
                        <w:pPr/>
                      </w:p>
                    </w:tc>
                    <w:tc>
                      <w:tcPr>
                        <w:tcW w:w="960" w:type="dxa"/>
                        <w:shd w:val="clear" w:color="auto" w:fill="D1D3D4"/>
                      </w:tcPr>
                      <w:p>
                        <w:pPr>
                          <w:pStyle w:val="TableParagraph"/>
                          <w:spacing w:before="45"/>
                          <w:jc w:val="right"/>
                          <w:rPr>
                            <w:sz w:val="18"/>
                          </w:rPr>
                        </w:pPr>
                        <w:r>
                          <w:rPr>
                            <w:color w:val="231F20"/>
                            <w:sz w:val="18"/>
                          </w:rPr>
                          <w:t>6.5%</w:t>
                        </w:r>
                      </w:p>
                    </w:tc>
                  </w:tr>
                  <w:tr>
                    <w:trPr>
                      <w:trHeight w:val="302" w:hRule="exact"/>
                    </w:trPr>
                    <w:tc>
                      <w:tcPr>
                        <w:tcW w:w="5840" w:type="dxa"/>
                      </w:tcPr>
                      <w:p>
                        <w:pPr/>
                      </w:p>
                    </w:tc>
                    <w:tc>
                      <w:tcPr>
                        <w:tcW w:w="960" w:type="dxa"/>
                      </w:tcPr>
                      <w:p>
                        <w:pPr/>
                      </w:p>
                    </w:tc>
                    <w:tc>
                      <w:tcPr>
                        <w:tcW w:w="200" w:type="dxa"/>
                      </w:tcPr>
                      <w:p>
                        <w:pPr/>
                      </w:p>
                    </w:tc>
                    <w:tc>
                      <w:tcPr>
                        <w:tcW w:w="960" w:type="dxa"/>
                      </w:tcPr>
                      <w:p>
                        <w:pPr/>
                      </w:p>
                    </w:tc>
                    <w:tc>
                      <w:tcPr>
                        <w:tcW w:w="200" w:type="dxa"/>
                      </w:tcPr>
                      <w:p>
                        <w:pPr/>
                      </w:p>
                    </w:tc>
                    <w:tc>
                      <w:tcPr>
                        <w:tcW w:w="960" w:type="dxa"/>
                      </w:tcPr>
                      <w:p>
                        <w:pPr/>
                      </w:p>
                    </w:tc>
                  </w:tr>
                  <w:tr>
                    <w:trPr>
                      <w:trHeight w:val="273" w:hRule="exact"/>
                    </w:trPr>
                    <w:tc>
                      <w:tcPr>
                        <w:tcW w:w="5840" w:type="dxa"/>
                        <w:shd w:val="clear" w:color="auto" w:fill="D1D3D4"/>
                      </w:tcPr>
                      <w:p>
                        <w:pPr>
                          <w:pStyle w:val="TableParagraph"/>
                          <w:spacing w:before="45"/>
                          <w:ind w:left="60"/>
                          <w:rPr>
                            <w:b/>
                            <w:sz w:val="18"/>
                          </w:rPr>
                        </w:pPr>
                        <w:r>
                          <w:rPr>
                            <w:b/>
                            <w:color w:val="231F20"/>
                            <w:sz w:val="18"/>
                          </w:rPr>
                          <w:t>Operating expenses per ASM (cents)</w:t>
                        </w:r>
                      </w:p>
                    </w:tc>
                    <w:tc>
                      <w:tcPr>
                        <w:tcW w:w="960" w:type="dxa"/>
                        <w:shd w:val="clear" w:color="auto" w:fill="D1D3D4"/>
                      </w:tcPr>
                      <w:p>
                        <w:pPr>
                          <w:pStyle w:val="TableParagraph"/>
                          <w:spacing w:before="45"/>
                          <w:jc w:val="right"/>
                          <w:rPr>
                            <w:sz w:val="18"/>
                          </w:rPr>
                        </w:pPr>
                        <w:r>
                          <w:rPr>
                            <w:color w:val="231F20"/>
                            <w:sz w:val="18"/>
                          </w:rPr>
                          <w:t>11.22¢</w:t>
                        </w:r>
                      </w:p>
                    </w:tc>
                    <w:tc>
                      <w:tcPr>
                        <w:tcW w:w="200" w:type="dxa"/>
                        <w:shd w:val="clear" w:color="auto" w:fill="D1D3D4"/>
                      </w:tcPr>
                      <w:p>
                        <w:pPr/>
                      </w:p>
                    </w:tc>
                    <w:tc>
                      <w:tcPr>
                        <w:tcW w:w="960" w:type="dxa"/>
                        <w:shd w:val="clear" w:color="auto" w:fill="D1D3D4"/>
                      </w:tcPr>
                      <w:p>
                        <w:pPr>
                          <w:pStyle w:val="TableParagraph"/>
                          <w:spacing w:before="45"/>
                          <w:jc w:val="right"/>
                          <w:rPr>
                            <w:sz w:val="18"/>
                          </w:rPr>
                        </w:pPr>
                        <w:r>
                          <w:rPr>
                            <w:color w:val="231F20"/>
                            <w:sz w:val="18"/>
                          </w:rPr>
                          <w:t>11.18¢</w:t>
                        </w:r>
                      </w:p>
                    </w:tc>
                    <w:tc>
                      <w:tcPr>
                        <w:tcW w:w="200" w:type="dxa"/>
                        <w:shd w:val="clear" w:color="auto" w:fill="D1D3D4"/>
                      </w:tcPr>
                      <w:p>
                        <w:pPr/>
                      </w:p>
                    </w:tc>
                    <w:tc>
                      <w:tcPr>
                        <w:tcW w:w="960" w:type="dxa"/>
                        <w:shd w:val="clear" w:color="auto" w:fill="D1D3D4"/>
                      </w:tcPr>
                      <w:p>
                        <w:pPr/>
                      </w:p>
                    </w:tc>
                  </w:tr>
                  <w:tr>
                    <w:trPr>
                      <w:trHeight w:val="292" w:hRule="exact"/>
                    </w:trPr>
                    <w:tc>
                      <w:tcPr>
                        <w:tcW w:w="5840" w:type="dxa"/>
                      </w:tcPr>
                      <w:p>
                        <w:pPr>
                          <w:pStyle w:val="TableParagraph"/>
                          <w:spacing w:before="45"/>
                          <w:ind w:left="60"/>
                          <w:rPr>
                            <w:sz w:val="20"/>
                          </w:rPr>
                        </w:pPr>
                        <w:r>
                          <w:rPr>
                            <w:color w:val="231F20"/>
                            <w:sz w:val="20"/>
                          </w:rPr>
                          <w:t>Deduct: Fuel expense divided by ASMs</w:t>
                        </w:r>
                      </w:p>
                    </w:tc>
                    <w:tc>
                      <w:tcPr>
                        <w:tcW w:w="960" w:type="dxa"/>
                      </w:tcPr>
                      <w:p>
                        <w:pPr>
                          <w:pStyle w:val="TableParagraph"/>
                          <w:spacing w:before="45"/>
                          <w:jc w:val="right"/>
                          <w:rPr>
                            <w:sz w:val="20"/>
                          </w:rPr>
                        </w:pPr>
                        <w:r>
                          <w:rPr>
                            <w:color w:val="231F20"/>
                            <w:sz w:val="20"/>
                          </w:rPr>
                          <w:t>(2.46)</w:t>
                        </w:r>
                      </w:p>
                    </w:tc>
                    <w:tc>
                      <w:tcPr>
                        <w:tcW w:w="200" w:type="dxa"/>
                      </w:tcPr>
                      <w:p>
                        <w:pPr/>
                      </w:p>
                    </w:tc>
                    <w:tc>
                      <w:tcPr>
                        <w:tcW w:w="960" w:type="dxa"/>
                      </w:tcPr>
                      <w:p>
                        <w:pPr>
                          <w:pStyle w:val="TableParagraph"/>
                          <w:spacing w:before="45"/>
                          <w:jc w:val="right"/>
                          <w:rPr>
                            <w:sz w:val="20"/>
                          </w:rPr>
                        </w:pPr>
                        <w:r>
                          <w:rPr>
                            <w:color w:val="231F20"/>
                            <w:sz w:val="20"/>
                          </w:rPr>
                          <w:t>(2.58)</w:t>
                        </w:r>
                      </w:p>
                    </w:tc>
                    <w:tc>
                      <w:tcPr>
                        <w:tcW w:w="200" w:type="dxa"/>
                      </w:tcPr>
                      <w:p>
                        <w:pPr/>
                      </w:p>
                    </w:tc>
                    <w:tc>
                      <w:tcPr>
                        <w:tcW w:w="960" w:type="dxa"/>
                      </w:tcPr>
                      <w:p>
                        <w:pPr/>
                      </w:p>
                    </w:tc>
                  </w:tr>
                  <w:tr>
                    <w:trPr>
                      <w:trHeight w:val="307" w:hRule="exact"/>
                    </w:trPr>
                    <w:tc>
                      <w:tcPr>
                        <w:tcW w:w="5840" w:type="dxa"/>
                        <w:shd w:val="clear" w:color="auto" w:fill="D1D3D4"/>
                      </w:tcPr>
                      <w:p>
                        <w:pPr>
                          <w:pStyle w:val="TableParagraph"/>
                          <w:spacing w:before="45"/>
                          <w:ind w:left="60"/>
                          <w:rPr>
                            <w:sz w:val="20"/>
                          </w:rPr>
                        </w:pPr>
                        <w:r>
                          <w:rPr>
                            <w:color w:val="231F20"/>
                            <w:sz w:val="20"/>
                          </w:rPr>
                          <w:t>Deduct: Impact of special items</w:t>
                        </w:r>
                      </w:p>
                    </w:tc>
                    <w:tc>
                      <w:tcPr>
                        <w:tcW w:w="960" w:type="dxa"/>
                        <w:tcBorders>
                          <w:bottom w:val="single" w:sz="4" w:space="0" w:color="231F20"/>
                        </w:tcBorders>
                        <w:shd w:val="clear" w:color="auto" w:fill="D1D3D4"/>
                      </w:tcPr>
                      <w:p>
                        <w:pPr>
                          <w:pStyle w:val="TableParagraph"/>
                          <w:spacing w:before="45"/>
                          <w:jc w:val="right"/>
                          <w:rPr>
                            <w:sz w:val="20"/>
                          </w:rPr>
                        </w:pPr>
                        <w:r>
                          <w:rPr>
                            <w:color w:val="231F20"/>
                            <w:sz w:val="20"/>
                          </w:rPr>
                          <w:t>(0.27)</w:t>
                        </w:r>
                      </w:p>
                    </w:tc>
                    <w:tc>
                      <w:tcPr>
                        <w:tcW w:w="200" w:type="dxa"/>
                        <w:shd w:val="clear" w:color="auto" w:fill="D1D3D4"/>
                      </w:tcPr>
                      <w:p>
                        <w:pPr/>
                      </w:p>
                    </w:tc>
                    <w:tc>
                      <w:tcPr>
                        <w:tcW w:w="960" w:type="dxa"/>
                        <w:tcBorders>
                          <w:bottom w:val="single" w:sz="4" w:space="0" w:color="231F20"/>
                        </w:tcBorders>
                        <w:shd w:val="clear" w:color="auto" w:fill="D1D3D4"/>
                      </w:tcPr>
                      <w:p>
                        <w:pPr>
                          <w:pStyle w:val="TableParagraph"/>
                          <w:spacing w:before="45"/>
                          <w:jc w:val="right"/>
                          <w:rPr>
                            <w:sz w:val="20"/>
                          </w:rPr>
                        </w:pPr>
                        <w:r>
                          <w:rPr>
                            <w:color w:val="231F20"/>
                            <w:sz w:val="20"/>
                          </w:rPr>
                          <w:t>(0.24)</w:t>
                        </w:r>
                      </w:p>
                    </w:tc>
                    <w:tc>
                      <w:tcPr>
                        <w:tcW w:w="200" w:type="dxa"/>
                        <w:shd w:val="clear" w:color="auto" w:fill="D1D3D4"/>
                      </w:tcPr>
                      <w:p>
                        <w:pPr/>
                      </w:p>
                    </w:tc>
                    <w:tc>
                      <w:tcPr>
                        <w:tcW w:w="960" w:type="dxa"/>
                        <w:shd w:val="clear" w:color="auto" w:fill="D1D3D4"/>
                      </w:tcPr>
                      <w:p>
                        <w:pPr/>
                      </w:p>
                    </w:tc>
                  </w:tr>
                  <w:tr>
                    <w:trPr>
                      <w:trHeight w:val="546" w:hRule="exact"/>
                    </w:trPr>
                    <w:tc>
                      <w:tcPr>
                        <w:tcW w:w="5840" w:type="dxa"/>
                      </w:tcPr>
                      <w:p>
                        <w:pPr>
                          <w:pStyle w:val="TableParagraph"/>
                          <w:spacing w:line="247" w:lineRule="auto" w:before="65"/>
                          <w:ind w:left="240" w:right="364" w:hanging="180"/>
                          <w:rPr>
                            <w:b/>
                            <w:sz w:val="18"/>
                          </w:rPr>
                        </w:pPr>
                        <w:r>
                          <w:rPr>
                            <w:b/>
                            <w:color w:val="231F20"/>
                            <w:sz w:val="18"/>
                          </w:rPr>
                          <w:t>Operating expenses per ASM, excluding Fuel and oil and special items (cents), non-GAAP</w:t>
                        </w:r>
                      </w:p>
                    </w:tc>
                    <w:tc>
                      <w:tcPr>
                        <w:tcW w:w="960" w:type="dxa"/>
                        <w:tcBorders>
                          <w:top w:val="single" w:sz="4" w:space="0" w:color="231F20"/>
                          <w:bottom w:val="single" w:sz="4" w:space="0" w:color="231F20"/>
                        </w:tcBorders>
                      </w:tcPr>
                      <w:p>
                        <w:pPr>
                          <w:pStyle w:val="TableParagraph"/>
                          <w:spacing w:before="4"/>
                          <w:rPr>
                            <w:sz w:val="22"/>
                          </w:rPr>
                        </w:pPr>
                      </w:p>
                      <w:p>
                        <w:pPr>
                          <w:pStyle w:val="TableParagraph"/>
                          <w:spacing w:before="1"/>
                          <w:jc w:val="right"/>
                          <w:rPr>
                            <w:sz w:val="18"/>
                          </w:rPr>
                        </w:pPr>
                        <w:r>
                          <w:rPr>
                            <w:color w:val="231F20"/>
                            <w:sz w:val="18"/>
                          </w:rPr>
                          <w:t>8.49¢</w:t>
                        </w:r>
                      </w:p>
                    </w:tc>
                    <w:tc>
                      <w:tcPr>
                        <w:tcW w:w="200" w:type="dxa"/>
                      </w:tcPr>
                      <w:p>
                        <w:pPr/>
                      </w:p>
                    </w:tc>
                    <w:tc>
                      <w:tcPr>
                        <w:tcW w:w="960" w:type="dxa"/>
                        <w:tcBorders>
                          <w:top w:val="single" w:sz="4" w:space="0" w:color="231F20"/>
                          <w:bottom w:val="single" w:sz="4" w:space="0" w:color="231F20"/>
                        </w:tcBorders>
                      </w:tcPr>
                      <w:p>
                        <w:pPr>
                          <w:pStyle w:val="TableParagraph"/>
                          <w:spacing w:before="4"/>
                          <w:rPr>
                            <w:sz w:val="22"/>
                          </w:rPr>
                        </w:pPr>
                      </w:p>
                      <w:p>
                        <w:pPr>
                          <w:pStyle w:val="TableParagraph"/>
                          <w:spacing w:before="1"/>
                          <w:jc w:val="right"/>
                          <w:rPr>
                            <w:sz w:val="18"/>
                          </w:rPr>
                        </w:pPr>
                        <w:r>
                          <w:rPr>
                            <w:color w:val="231F20"/>
                            <w:sz w:val="18"/>
                          </w:rPr>
                          <w:t>8.36¢</w:t>
                        </w:r>
                      </w:p>
                    </w:tc>
                    <w:tc>
                      <w:tcPr>
                        <w:tcW w:w="200" w:type="dxa"/>
                      </w:tcPr>
                      <w:p>
                        <w:pPr/>
                      </w:p>
                    </w:tc>
                    <w:tc>
                      <w:tcPr>
                        <w:tcW w:w="960" w:type="dxa"/>
                      </w:tcPr>
                      <w:p>
                        <w:pPr>
                          <w:pStyle w:val="TableParagraph"/>
                          <w:spacing w:before="1"/>
                          <w:rPr>
                            <w:sz w:val="24"/>
                          </w:rPr>
                        </w:pPr>
                      </w:p>
                      <w:p>
                        <w:pPr>
                          <w:pStyle w:val="TableParagraph"/>
                          <w:spacing w:before="1"/>
                          <w:jc w:val="right"/>
                          <w:rPr>
                            <w:sz w:val="18"/>
                          </w:rPr>
                        </w:pPr>
                        <w:r>
                          <w:rPr>
                            <w:color w:val="231F20"/>
                            <w:sz w:val="18"/>
                          </w:rPr>
                          <w:t>1.6%</w:t>
                        </w:r>
                      </w:p>
                    </w:tc>
                  </w:tr>
                </w:tbl>
                <w:p>
                  <w:pPr>
                    <w:pStyle w:val="BodyText"/>
                  </w:pPr>
                </w:p>
              </w:txbxContent>
            </v:textbox>
            <w10:wrap type="none"/>
          </v:shape>
        </w:pict>
      </w:r>
      <w:r>
        <w:rPr>
          <w:b/>
          <w:color w:val="231F20"/>
          <w:sz w:val="18"/>
        </w:rPr>
        <w:t>December 31,</w:t>
        <w:tab/>
      </w:r>
      <w:r>
        <w:rPr>
          <w:b/>
          <w:color w:val="231F20"/>
          <w:spacing w:val="-1"/>
          <w:position w:val="-7"/>
          <w:sz w:val="18"/>
        </w:rPr>
        <w:t>Percent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rPr>
      </w:pPr>
      <w:r>
        <w:rPr/>
        <w:pict>
          <v:group style="position:absolute;margin-left:360.75pt;margin-top:14.807714pt;width:48.5pt;height:2.5pt;mso-position-horizontal-relative:page;mso-position-vertical-relative:paragraph;z-index:2464;mso-wrap-distance-left:0;mso-wrap-distance-right:0" coordorigin="7215,296" coordsize="970,50">
            <v:line style="position:absolute" from="7220,301" to="8180,301" stroked="true" strokeweight=".5pt" strokecolor="#231f20">
              <v:stroke dashstyle="solid"/>
            </v:line>
            <v:line style="position:absolute" from="7220,341" to="8180,341" stroked="true" strokeweight=".5pt" strokecolor="#231f20">
              <v:stroke dashstyle="solid"/>
            </v:line>
            <w10:wrap type="topAndBottom"/>
          </v:group>
        </w:pict>
      </w:r>
      <w:r>
        <w:rPr/>
        <w:pict>
          <v:group style="position:absolute;margin-left:418.75pt;margin-top:14.807714pt;width:48.5pt;height:2.5pt;mso-position-horizontal-relative:page;mso-position-vertical-relative:paragraph;z-index:2488;mso-wrap-distance-left:0;mso-wrap-distance-right:0" coordorigin="8375,296" coordsize="970,50">
            <v:line style="position:absolute" from="8380,301" to="9340,301" stroked="true" strokeweight=".5pt" strokecolor="#231f20">
              <v:stroke dashstyle="solid"/>
            </v:line>
            <v:line style="position:absolute" from="8380,341" to="9340,341" stroked="true" strokeweight=".5pt" strokecolor="#231f20">
              <v:stroke dashstyle="solid"/>
            </v:line>
            <w10:wrap type="topAndBottom"/>
          </v:group>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7"/>
        </w:rPr>
      </w:pPr>
      <w:r>
        <w:rPr/>
        <w:pict>
          <v:line style="position:absolute;mso-position-horizontal-relative:page;mso-position-vertical-relative:paragraph;z-index:2512;mso-wrap-distance-left:0;mso-wrap-distance-right:0" from="361pt,12.10586pt" to="409pt,12.10586pt" stroked="true" strokeweight=".5pt" strokecolor="#231f20">
            <v:stroke dashstyle="solid"/>
            <w10:wrap type="topAndBottom"/>
          </v:line>
        </w:pict>
      </w:r>
      <w:r>
        <w:rPr/>
        <w:pict>
          <v:line style="position:absolute;mso-position-horizontal-relative:page;mso-position-vertical-relative:paragraph;z-index:2536;mso-wrap-distance-left:0;mso-wrap-distance-right:0" from="419pt,12.10586pt" to="467pt,12.10586pt" stroked="true" strokeweight=".5pt" strokecolor="#231f20">
            <v:stroke dashstyle="solid"/>
            <w10:wrap type="topAndBottom"/>
          </v:line>
        </w:pict>
      </w:r>
    </w:p>
    <w:p>
      <w:pPr>
        <w:spacing w:before="64"/>
        <w:ind w:left="100" w:right="0" w:firstLine="0"/>
        <w:jc w:val="left"/>
        <w:rPr>
          <w:sz w:val="20"/>
        </w:rPr>
      </w:pPr>
      <w:r>
        <w:rPr>
          <w:color w:val="231F20"/>
          <w:sz w:val="20"/>
        </w:rPr>
        <w:t>* As a result of prior hedge ineffectiveness and/or contracts marked to market through earnings.</w:t>
      </w:r>
    </w:p>
    <w:p>
      <w:pPr>
        <w:spacing w:line="249" w:lineRule="auto" w:before="9"/>
        <w:ind w:left="100" w:right="134" w:firstLine="0"/>
        <w:jc w:val="left"/>
        <w:rPr>
          <w:sz w:val="20"/>
        </w:rPr>
      </w:pPr>
      <w:r>
        <w:rPr>
          <w:color w:val="231F20"/>
          <w:sz w:val="20"/>
        </w:rPr>
        <w:t>(1) Tax amounts for each individual special item are calculated at the Company’s effective rate for the applicable period and totaled in this line item.</w:t>
      </w:r>
    </w:p>
    <w:p>
      <w:pPr>
        <w:pStyle w:val="BodyText"/>
        <w:spacing w:before="10"/>
        <w:rPr>
          <w:sz w:val="17"/>
        </w:rPr>
      </w:pPr>
    </w:p>
    <w:p>
      <w:pPr>
        <w:pStyle w:val="Heading1"/>
        <w:jc w:val="left"/>
      </w:pPr>
      <w:r>
        <w:rPr>
          <w:color w:val="231F20"/>
        </w:rPr>
        <w:t>Return on Invested Capital (ROIC) (in millions) (unaudited)</w:t>
      </w:r>
    </w:p>
    <w:p>
      <w:pPr>
        <w:pStyle w:val="BodyText"/>
        <w:spacing w:before="9"/>
        <w:rPr>
          <w:b/>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69"/>
        <w:gridCol w:w="1717"/>
        <w:gridCol w:w="200"/>
        <w:gridCol w:w="1617"/>
        <w:gridCol w:w="200"/>
        <w:gridCol w:w="1617"/>
      </w:tblGrid>
      <w:tr>
        <w:trPr>
          <w:trHeight w:val="215" w:hRule="exact"/>
        </w:trPr>
        <w:tc>
          <w:tcPr>
            <w:tcW w:w="3769" w:type="dxa"/>
            <w:vMerge w:val="restart"/>
          </w:tcPr>
          <w:p>
            <w:pPr/>
          </w:p>
        </w:tc>
        <w:tc>
          <w:tcPr>
            <w:tcW w:w="1717" w:type="dxa"/>
          </w:tcPr>
          <w:p>
            <w:pPr>
              <w:pStyle w:val="TableParagraph"/>
              <w:spacing w:line="229" w:lineRule="exact" w:before="0"/>
              <w:ind w:left="34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c>
          <w:tcPr>
            <w:tcW w:w="200" w:type="dxa"/>
          </w:tcPr>
          <w:p>
            <w:pPr/>
          </w:p>
        </w:tc>
        <w:tc>
          <w:tcPr>
            <w:tcW w:w="1617" w:type="dxa"/>
          </w:tcPr>
          <w:p>
            <w:pPr>
              <w:pStyle w:val="TableParagraph"/>
              <w:spacing w:line="229" w:lineRule="exact" w:before="0"/>
              <w:ind w:left="295"/>
              <w:rPr>
                <w:b/>
                <w:sz w:val="20"/>
              </w:rPr>
            </w:pPr>
            <w:r>
              <w:rPr>
                <w:b/>
                <w:color w:val="231F20"/>
                <w:sz w:val="20"/>
              </w:rPr>
              <w:t>Year Ended</w:t>
            </w:r>
          </w:p>
        </w:tc>
      </w:tr>
      <w:tr>
        <w:trPr>
          <w:trHeight w:val="241" w:hRule="exact"/>
        </w:trPr>
        <w:tc>
          <w:tcPr>
            <w:tcW w:w="3769" w:type="dxa"/>
            <w:vMerge/>
          </w:tcPr>
          <w:p>
            <w:pPr/>
          </w:p>
        </w:tc>
        <w:tc>
          <w:tcPr>
            <w:tcW w:w="1717" w:type="dxa"/>
            <w:tcBorders>
              <w:bottom w:val="single" w:sz="8" w:space="0" w:color="231F20"/>
            </w:tcBorders>
          </w:tcPr>
          <w:p>
            <w:pPr>
              <w:pStyle w:val="TableParagraph"/>
              <w:spacing w:line="214" w:lineRule="exact" w:before="0"/>
              <w:jc w:val="right"/>
              <w:rPr>
                <w:b/>
                <w:sz w:val="20"/>
              </w:rPr>
            </w:pPr>
            <w:r>
              <w:rPr>
                <w:b/>
                <w:color w:val="231F20"/>
                <w:sz w:val="20"/>
              </w:rPr>
              <w:t>December 31, 2016</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2015</w:t>
            </w:r>
          </w:p>
        </w:tc>
        <w:tc>
          <w:tcPr>
            <w:tcW w:w="200" w:type="dxa"/>
          </w:tcPr>
          <w:p>
            <w:pPr/>
          </w:p>
        </w:tc>
        <w:tc>
          <w:tcPr>
            <w:tcW w:w="1617" w:type="dxa"/>
            <w:tcBorders>
              <w:bottom w:val="single" w:sz="8" w:space="0" w:color="231F20"/>
            </w:tcBorders>
          </w:tcPr>
          <w:p>
            <w:pPr>
              <w:pStyle w:val="TableParagraph"/>
              <w:spacing w:line="214" w:lineRule="exact" w:before="0"/>
              <w:rPr>
                <w:b/>
                <w:sz w:val="20"/>
              </w:rPr>
            </w:pPr>
            <w:r>
              <w:rPr>
                <w:b/>
                <w:color w:val="231F20"/>
                <w:sz w:val="20"/>
              </w:rPr>
              <w:t>December 31, 2014</w:t>
            </w:r>
          </w:p>
        </w:tc>
      </w:tr>
      <w:tr>
        <w:trPr>
          <w:trHeight w:val="362" w:hRule="exact"/>
        </w:trPr>
        <w:tc>
          <w:tcPr>
            <w:tcW w:w="3769" w:type="dxa"/>
          </w:tcPr>
          <w:p>
            <w:pPr>
              <w:pStyle w:val="TableParagraph"/>
              <w:spacing w:before="115"/>
              <w:ind w:left="40"/>
              <w:rPr>
                <w:b/>
                <w:sz w:val="20"/>
              </w:rPr>
            </w:pPr>
            <w:r>
              <w:rPr>
                <w:b/>
                <w:color w:val="231F20"/>
                <w:sz w:val="20"/>
              </w:rPr>
              <w:t>Operating income, as reported</w:t>
            </w:r>
          </w:p>
        </w:tc>
        <w:tc>
          <w:tcPr>
            <w:tcW w:w="1717" w:type="dxa"/>
            <w:tcBorders>
              <w:top w:val="single" w:sz="8" w:space="0" w:color="231F20"/>
            </w:tcBorders>
          </w:tcPr>
          <w:p>
            <w:pPr>
              <w:pStyle w:val="TableParagraph"/>
              <w:tabs>
                <w:tab w:pos="1116" w:val="left" w:leader="none"/>
              </w:tabs>
              <w:spacing w:before="105"/>
              <w:rPr>
                <w:sz w:val="20"/>
              </w:rPr>
            </w:pPr>
            <w:r>
              <w:rPr>
                <w:color w:val="231F20"/>
                <w:sz w:val="20"/>
              </w:rPr>
              <w:t>$</w:t>
              <w:tab/>
              <w:t>3,760</w:t>
            </w:r>
          </w:p>
        </w:tc>
        <w:tc>
          <w:tcPr>
            <w:tcW w:w="200" w:type="dxa"/>
          </w:tcPr>
          <w:p>
            <w:pPr/>
          </w:p>
        </w:tc>
        <w:tc>
          <w:tcPr>
            <w:tcW w:w="1617" w:type="dxa"/>
            <w:tcBorders>
              <w:top w:val="single" w:sz="8" w:space="0" w:color="231F20"/>
            </w:tcBorders>
          </w:tcPr>
          <w:p>
            <w:pPr>
              <w:pStyle w:val="TableParagraph"/>
              <w:tabs>
                <w:tab w:pos="1016" w:val="left" w:leader="none"/>
              </w:tabs>
              <w:spacing w:before="105"/>
              <w:rPr>
                <w:sz w:val="20"/>
              </w:rPr>
            </w:pPr>
            <w:r>
              <w:rPr>
                <w:color w:val="231F20"/>
                <w:sz w:val="20"/>
              </w:rPr>
              <w:t>$</w:t>
              <w:tab/>
              <w:t>4,116</w:t>
            </w:r>
          </w:p>
        </w:tc>
        <w:tc>
          <w:tcPr>
            <w:tcW w:w="200" w:type="dxa"/>
          </w:tcPr>
          <w:p>
            <w:pPr/>
          </w:p>
        </w:tc>
        <w:tc>
          <w:tcPr>
            <w:tcW w:w="1617" w:type="dxa"/>
            <w:tcBorders>
              <w:top w:val="single" w:sz="8" w:space="0" w:color="231F20"/>
            </w:tcBorders>
          </w:tcPr>
          <w:p>
            <w:pPr>
              <w:pStyle w:val="TableParagraph"/>
              <w:tabs>
                <w:tab w:pos="1016" w:val="left" w:leader="none"/>
              </w:tabs>
              <w:spacing w:before="105"/>
              <w:rPr>
                <w:sz w:val="20"/>
              </w:rPr>
            </w:pPr>
            <w:r>
              <w:rPr>
                <w:color w:val="231F20"/>
                <w:sz w:val="20"/>
              </w:rPr>
              <w:t>$</w:t>
              <w:tab/>
              <w:t>2,225</w:t>
            </w:r>
          </w:p>
        </w:tc>
      </w:tr>
      <w:tr>
        <w:trPr>
          <w:trHeight w:val="292" w:hRule="exact"/>
        </w:trPr>
        <w:tc>
          <w:tcPr>
            <w:tcW w:w="3769" w:type="dxa"/>
            <w:shd w:val="clear" w:color="auto" w:fill="D1D3D4"/>
          </w:tcPr>
          <w:p>
            <w:pPr>
              <w:pStyle w:val="TableParagraph"/>
              <w:spacing w:before="45"/>
              <w:ind w:left="40"/>
              <w:rPr>
                <w:sz w:val="20"/>
              </w:rPr>
            </w:pPr>
            <w:r>
              <w:rPr>
                <w:color w:val="231F20"/>
                <w:sz w:val="20"/>
              </w:rPr>
              <w:t>Special revenue adjustment (1)</w:t>
            </w:r>
          </w:p>
        </w:tc>
        <w:tc>
          <w:tcPr>
            <w:tcW w:w="1717" w:type="dxa"/>
            <w:shd w:val="clear" w:color="auto" w:fill="D1D3D4"/>
          </w:tcPr>
          <w:p>
            <w:pPr>
              <w:pStyle w:val="TableParagraph"/>
              <w:spacing w:before="45"/>
              <w:ind w:right="149"/>
              <w:jc w:val="right"/>
              <w:rPr>
                <w:sz w:val="20"/>
              </w:rPr>
            </w:pPr>
            <w:r>
              <w:rPr>
                <w:color w:val="231F20"/>
                <w:sz w:val="20"/>
              </w:rPr>
              <w:t>—</w:t>
            </w:r>
          </w:p>
        </w:tc>
        <w:tc>
          <w:tcPr>
            <w:tcW w:w="200" w:type="dxa"/>
            <w:shd w:val="clear" w:color="auto" w:fill="D1D3D4"/>
          </w:tcPr>
          <w:p>
            <w:pPr/>
          </w:p>
        </w:tc>
        <w:tc>
          <w:tcPr>
            <w:tcW w:w="1617" w:type="dxa"/>
            <w:shd w:val="clear" w:color="auto" w:fill="D1D3D4"/>
          </w:tcPr>
          <w:p>
            <w:pPr>
              <w:pStyle w:val="TableParagraph"/>
              <w:spacing w:before="45"/>
              <w:ind w:right="98"/>
              <w:jc w:val="right"/>
              <w:rPr>
                <w:sz w:val="20"/>
              </w:rPr>
            </w:pPr>
            <w:r>
              <w:rPr>
                <w:color w:val="231F20"/>
                <w:sz w:val="20"/>
              </w:rPr>
              <w:t>(172)</w:t>
            </w:r>
          </w:p>
        </w:tc>
        <w:tc>
          <w:tcPr>
            <w:tcW w:w="200" w:type="dxa"/>
            <w:shd w:val="clear" w:color="auto" w:fill="D1D3D4"/>
          </w:tcPr>
          <w:p>
            <w:pPr/>
          </w:p>
        </w:tc>
        <w:tc>
          <w:tcPr>
            <w:tcW w:w="1617" w:type="dxa"/>
            <w:shd w:val="clear" w:color="auto" w:fill="D1D3D4"/>
          </w:tcPr>
          <w:p>
            <w:pPr>
              <w:pStyle w:val="TableParagraph"/>
              <w:spacing w:before="45"/>
              <w:ind w:right="149"/>
              <w:jc w:val="right"/>
              <w:rPr>
                <w:sz w:val="20"/>
              </w:rPr>
            </w:pPr>
            <w:r>
              <w:rPr>
                <w:color w:val="231F20"/>
                <w:sz w:val="20"/>
              </w:rPr>
              <w:t>—</w:t>
            </w:r>
          </w:p>
        </w:tc>
      </w:tr>
      <w:tr>
        <w:trPr>
          <w:trHeight w:val="292" w:hRule="exact"/>
        </w:trPr>
        <w:tc>
          <w:tcPr>
            <w:tcW w:w="3769" w:type="dxa"/>
          </w:tcPr>
          <w:p>
            <w:pPr>
              <w:pStyle w:val="TableParagraph"/>
              <w:spacing w:before="45"/>
              <w:ind w:left="40"/>
              <w:rPr>
                <w:sz w:val="20"/>
              </w:rPr>
            </w:pPr>
            <w:r>
              <w:rPr>
                <w:color w:val="231F20"/>
                <w:sz w:val="20"/>
              </w:rPr>
              <w:t>Union contract bonuses</w:t>
            </w:r>
          </w:p>
        </w:tc>
        <w:tc>
          <w:tcPr>
            <w:tcW w:w="1717" w:type="dxa"/>
          </w:tcPr>
          <w:p>
            <w:pPr>
              <w:pStyle w:val="TableParagraph"/>
              <w:spacing w:before="45"/>
              <w:ind w:right="148"/>
              <w:jc w:val="right"/>
              <w:rPr>
                <w:sz w:val="20"/>
              </w:rPr>
            </w:pPr>
            <w:r>
              <w:rPr>
                <w:color w:val="231F20"/>
                <w:sz w:val="20"/>
              </w:rPr>
              <w:t>356</w:t>
            </w:r>
          </w:p>
        </w:tc>
        <w:tc>
          <w:tcPr>
            <w:tcW w:w="200" w:type="dxa"/>
          </w:tcPr>
          <w:p>
            <w:pPr/>
          </w:p>
        </w:tc>
        <w:tc>
          <w:tcPr>
            <w:tcW w:w="1617" w:type="dxa"/>
          </w:tcPr>
          <w:p>
            <w:pPr>
              <w:pStyle w:val="TableParagraph"/>
              <w:spacing w:before="45"/>
              <w:ind w:right="148"/>
              <w:jc w:val="right"/>
              <w:rPr>
                <w:sz w:val="20"/>
              </w:rPr>
            </w:pPr>
            <w:r>
              <w:rPr>
                <w:color w:val="231F20"/>
                <w:sz w:val="20"/>
              </w:rPr>
              <w:t>334</w:t>
            </w:r>
          </w:p>
        </w:tc>
        <w:tc>
          <w:tcPr>
            <w:tcW w:w="200" w:type="dxa"/>
          </w:tcPr>
          <w:p>
            <w:pPr/>
          </w:p>
        </w:tc>
        <w:tc>
          <w:tcPr>
            <w:tcW w:w="1617" w:type="dxa"/>
          </w:tcPr>
          <w:p>
            <w:pPr>
              <w:pStyle w:val="TableParagraph"/>
              <w:spacing w:before="45"/>
              <w:ind w:right="148"/>
              <w:jc w:val="right"/>
              <w:rPr>
                <w:sz w:val="20"/>
              </w:rPr>
            </w:pPr>
            <w:r>
              <w:rPr>
                <w:color w:val="231F20"/>
                <w:sz w:val="20"/>
              </w:rPr>
              <w:t>9</w:t>
            </w:r>
          </w:p>
        </w:tc>
      </w:tr>
      <w:tr>
        <w:trPr>
          <w:trHeight w:val="292" w:hRule="exact"/>
        </w:trPr>
        <w:tc>
          <w:tcPr>
            <w:tcW w:w="3769" w:type="dxa"/>
            <w:shd w:val="clear" w:color="auto" w:fill="D1D3D4"/>
          </w:tcPr>
          <w:p>
            <w:pPr>
              <w:pStyle w:val="TableParagraph"/>
              <w:spacing w:before="45"/>
              <w:ind w:left="40"/>
              <w:rPr>
                <w:sz w:val="20"/>
              </w:rPr>
            </w:pPr>
            <w:r>
              <w:rPr>
                <w:color w:val="231F20"/>
                <w:sz w:val="20"/>
              </w:rPr>
              <w:t>Net impact from fuel contracts</w:t>
            </w:r>
          </w:p>
        </w:tc>
        <w:tc>
          <w:tcPr>
            <w:tcW w:w="1717" w:type="dxa"/>
            <w:shd w:val="clear" w:color="auto" w:fill="D1D3D4"/>
          </w:tcPr>
          <w:p>
            <w:pPr>
              <w:pStyle w:val="TableParagraph"/>
              <w:spacing w:before="45"/>
              <w:ind w:right="98"/>
              <w:jc w:val="right"/>
              <w:rPr>
                <w:sz w:val="20"/>
              </w:rPr>
            </w:pPr>
            <w:r>
              <w:rPr>
                <w:color w:val="231F20"/>
                <w:sz w:val="20"/>
              </w:rPr>
              <w:t>(202)</w:t>
            </w:r>
          </w:p>
        </w:tc>
        <w:tc>
          <w:tcPr>
            <w:tcW w:w="200" w:type="dxa"/>
            <w:shd w:val="clear" w:color="auto" w:fill="D1D3D4"/>
          </w:tcPr>
          <w:p>
            <w:pPr/>
          </w:p>
        </w:tc>
        <w:tc>
          <w:tcPr>
            <w:tcW w:w="1617" w:type="dxa"/>
            <w:shd w:val="clear" w:color="auto" w:fill="D1D3D4"/>
          </w:tcPr>
          <w:p>
            <w:pPr>
              <w:pStyle w:val="TableParagraph"/>
              <w:spacing w:before="45"/>
              <w:ind w:right="98"/>
              <w:jc w:val="right"/>
              <w:rPr>
                <w:sz w:val="20"/>
              </w:rPr>
            </w:pPr>
            <w:r>
              <w:rPr>
                <w:color w:val="231F20"/>
                <w:sz w:val="20"/>
              </w:rPr>
              <w:t>(323)</w:t>
            </w:r>
          </w:p>
        </w:tc>
        <w:tc>
          <w:tcPr>
            <w:tcW w:w="200" w:type="dxa"/>
            <w:shd w:val="clear" w:color="auto" w:fill="D1D3D4"/>
          </w:tcPr>
          <w:p>
            <w:pPr/>
          </w:p>
        </w:tc>
        <w:tc>
          <w:tcPr>
            <w:tcW w:w="1617" w:type="dxa"/>
            <w:shd w:val="clear" w:color="auto" w:fill="D1D3D4"/>
          </w:tcPr>
          <w:p>
            <w:pPr>
              <w:pStyle w:val="TableParagraph"/>
              <w:spacing w:before="45"/>
              <w:ind w:right="148"/>
              <w:jc w:val="right"/>
              <w:rPr>
                <w:sz w:val="20"/>
              </w:rPr>
            </w:pPr>
            <w:r>
              <w:rPr>
                <w:color w:val="231F20"/>
                <w:sz w:val="20"/>
              </w:rPr>
              <w:t>28</w:t>
            </w:r>
          </w:p>
        </w:tc>
      </w:tr>
      <w:tr>
        <w:trPr>
          <w:trHeight w:val="292" w:hRule="exact"/>
        </w:trPr>
        <w:tc>
          <w:tcPr>
            <w:tcW w:w="3769" w:type="dxa"/>
          </w:tcPr>
          <w:p>
            <w:pPr>
              <w:pStyle w:val="TableParagraph"/>
              <w:spacing w:before="45"/>
              <w:ind w:left="40"/>
              <w:rPr>
                <w:sz w:val="20"/>
              </w:rPr>
            </w:pPr>
            <w:r>
              <w:rPr>
                <w:color w:val="231F20"/>
                <w:sz w:val="20"/>
              </w:rPr>
              <w:t>Acquisition and integration costs</w:t>
            </w:r>
          </w:p>
        </w:tc>
        <w:tc>
          <w:tcPr>
            <w:tcW w:w="1717" w:type="dxa"/>
          </w:tcPr>
          <w:p>
            <w:pPr>
              <w:pStyle w:val="TableParagraph"/>
              <w:spacing w:before="45"/>
              <w:ind w:right="147"/>
              <w:jc w:val="right"/>
              <w:rPr>
                <w:sz w:val="20"/>
              </w:rPr>
            </w:pPr>
            <w:r>
              <w:rPr>
                <w:color w:val="231F20"/>
                <w:sz w:val="20"/>
              </w:rPr>
              <w:t>—</w:t>
            </w:r>
          </w:p>
        </w:tc>
        <w:tc>
          <w:tcPr>
            <w:tcW w:w="200" w:type="dxa"/>
          </w:tcPr>
          <w:p>
            <w:pPr/>
          </w:p>
        </w:tc>
        <w:tc>
          <w:tcPr>
            <w:tcW w:w="1617" w:type="dxa"/>
          </w:tcPr>
          <w:p>
            <w:pPr>
              <w:pStyle w:val="TableParagraph"/>
              <w:spacing w:before="45"/>
              <w:ind w:right="147"/>
              <w:jc w:val="right"/>
              <w:rPr>
                <w:sz w:val="20"/>
              </w:rPr>
            </w:pPr>
            <w:r>
              <w:rPr>
                <w:color w:val="231F20"/>
                <w:sz w:val="20"/>
              </w:rPr>
              <w:t>39</w:t>
            </w:r>
          </w:p>
        </w:tc>
        <w:tc>
          <w:tcPr>
            <w:tcW w:w="200" w:type="dxa"/>
          </w:tcPr>
          <w:p>
            <w:pPr/>
          </w:p>
        </w:tc>
        <w:tc>
          <w:tcPr>
            <w:tcW w:w="1617" w:type="dxa"/>
          </w:tcPr>
          <w:p>
            <w:pPr>
              <w:pStyle w:val="TableParagraph"/>
              <w:spacing w:before="45"/>
              <w:ind w:right="147"/>
              <w:jc w:val="right"/>
              <w:rPr>
                <w:sz w:val="20"/>
              </w:rPr>
            </w:pPr>
            <w:r>
              <w:rPr>
                <w:color w:val="231F20"/>
                <w:sz w:val="20"/>
              </w:rPr>
              <w:t>126</w:t>
            </w:r>
          </w:p>
        </w:tc>
      </w:tr>
      <w:tr>
        <w:trPr>
          <w:trHeight w:val="292" w:hRule="exact"/>
        </w:trPr>
        <w:tc>
          <w:tcPr>
            <w:tcW w:w="3769" w:type="dxa"/>
            <w:shd w:val="clear" w:color="auto" w:fill="D1D3D4"/>
          </w:tcPr>
          <w:p>
            <w:pPr>
              <w:pStyle w:val="TableParagraph"/>
              <w:spacing w:before="45"/>
              <w:ind w:left="40"/>
              <w:rPr>
                <w:sz w:val="20"/>
              </w:rPr>
            </w:pPr>
            <w:r>
              <w:rPr>
                <w:color w:val="231F20"/>
                <w:sz w:val="20"/>
              </w:rPr>
              <w:t>Litigation settlement</w:t>
            </w:r>
          </w:p>
        </w:tc>
        <w:tc>
          <w:tcPr>
            <w:tcW w:w="1717" w:type="dxa"/>
            <w:shd w:val="clear" w:color="auto" w:fill="D1D3D4"/>
          </w:tcPr>
          <w:p>
            <w:pPr>
              <w:pStyle w:val="TableParagraph"/>
              <w:spacing w:before="45"/>
              <w:ind w:right="147"/>
              <w:jc w:val="right"/>
              <w:rPr>
                <w:sz w:val="20"/>
              </w:rPr>
            </w:pPr>
            <w:r>
              <w:rPr>
                <w:color w:val="231F20"/>
                <w:sz w:val="20"/>
              </w:rPr>
              <w:t>—</w:t>
            </w:r>
          </w:p>
        </w:tc>
        <w:tc>
          <w:tcPr>
            <w:tcW w:w="200" w:type="dxa"/>
            <w:shd w:val="clear" w:color="auto" w:fill="D1D3D4"/>
          </w:tcPr>
          <w:p>
            <w:pPr/>
          </w:p>
        </w:tc>
        <w:tc>
          <w:tcPr>
            <w:tcW w:w="1617" w:type="dxa"/>
            <w:shd w:val="clear" w:color="auto" w:fill="D1D3D4"/>
          </w:tcPr>
          <w:p>
            <w:pPr>
              <w:pStyle w:val="TableParagraph"/>
              <w:spacing w:before="45"/>
              <w:ind w:right="98"/>
              <w:jc w:val="right"/>
              <w:rPr>
                <w:sz w:val="20"/>
              </w:rPr>
            </w:pPr>
            <w:r>
              <w:rPr>
                <w:color w:val="231F20"/>
                <w:sz w:val="20"/>
              </w:rPr>
              <w:t>(37)</w:t>
            </w:r>
          </w:p>
        </w:tc>
        <w:tc>
          <w:tcPr>
            <w:tcW w:w="200" w:type="dxa"/>
            <w:shd w:val="clear" w:color="auto" w:fill="D1D3D4"/>
          </w:tcPr>
          <w:p>
            <w:pPr/>
          </w:p>
        </w:tc>
        <w:tc>
          <w:tcPr>
            <w:tcW w:w="1617" w:type="dxa"/>
            <w:shd w:val="clear" w:color="auto" w:fill="D1D3D4"/>
          </w:tcPr>
          <w:p>
            <w:pPr>
              <w:pStyle w:val="TableParagraph"/>
              <w:spacing w:before="45"/>
              <w:ind w:right="147"/>
              <w:jc w:val="right"/>
              <w:rPr>
                <w:sz w:val="20"/>
              </w:rPr>
            </w:pPr>
            <w:r>
              <w:rPr>
                <w:color w:val="231F20"/>
                <w:sz w:val="20"/>
              </w:rPr>
              <w:t>—</w:t>
            </w:r>
          </w:p>
        </w:tc>
      </w:tr>
      <w:tr>
        <w:trPr>
          <w:trHeight w:val="292" w:hRule="exact"/>
        </w:trPr>
        <w:tc>
          <w:tcPr>
            <w:tcW w:w="3769" w:type="dxa"/>
          </w:tcPr>
          <w:p>
            <w:pPr>
              <w:pStyle w:val="TableParagraph"/>
              <w:spacing w:before="45"/>
              <w:ind w:left="40"/>
              <w:rPr>
                <w:sz w:val="20"/>
              </w:rPr>
            </w:pPr>
            <w:r>
              <w:rPr>
                <w:color w:val="231F20"/>
                <w:sz w:val="20"/>
              </w:rPr>
              <w:t>Asset impairment</w:t>
            </w:r>
          </w:p>
        </w:tc>
        <w:tc>
          <w:tcPr>
            <w:tcW w:w="1717" w:type="dxa"/>
          </w:tcPr>
          <w:p>
            <w:pPr>
              <w:pStyle w:val="TableParagraph"/>
              <w:spacing w:before="45"/>
              <w:ind w:right="149"/>
              <w:jc w:val="right"/>
              <w:rPr>
                <w:sz w:val="20"/>
              </w:rPr>
            </w:pPr>
            <w:r>
              <w:rPr>
                <w:color w:val="231F20"/>
                <w:sz w:val="20"/>
              </w:rPr>
              <w:t>21</w:t>
            </w:r>
          </w:p>
        </w:tc>
        <w:tc>
          <w:tcPr>
            <w:tcW w:w="200" w:type="dxa"/>
          </w:tcPr>
          <w:p>
            <w:pPr/>
          </w:p>
        </w:tc>
        <w:tc>
          <w:tcPr>
            <w:tcW w:w="1617" w:type="dxa"/>
          </w:tcPr>
          <w:p>
            <w:pPr>
              <w:pStyle w:val="TableParagraph"/>
              <w:spacing w:before="45"/>
              <w:ind w:right="149"/>
              <w:jc w:val="right"/>
              <w:rPr>
                <w:sz w:val="20"/>
              </w:rPr>
            </w:pPr>
            <w:r>
              <w:rPr>
                <w:color w:val="231F20"/>
                <w:sz w:val="20"/>
              </w:rPr>
              <w:t>—</w:t>
            </w:r>
          </w:p>
        </w:tc>
        <w:tc>
          <w:tcPr>
            <w:tcW w:w="200" w:type="dxa"/>
          </w:tcPr>
          <w:p>
            <w:pPr/>
          </w:p>
        </w:tc>
        <w:tc>
          <w:tcPr>
            <w:tcW w:w="1617" w:type="dxa"/>
          </w:tcPr>
          <w:p>
            <w:pPr>
              <w:pStyle w:val="TableParagraph"/>
              <w:spacing w:before="45"/>
              <w:ind w:right="149"/>
              <w:jc w:val="right"/>
              <w:rPr>
                <w:sz w:val="20"/>
              </w:rPr>
            </w:pPr>
            <w:r>
              <w:rPr>
                <w:color w:val="231F20"/>
                <w:sz w:val="20"/>
              </w:rPr>
              <w:t>—</w:t>
            </w:r>
          </w:p>
        </w:tc>
      </w:tr>
      <w:tr>
        <w:trPr>
          <w:trHeight w:val="367" w:hRule="exact"/>
        </w:trPr>
        <w:tc>
          <w:tcPr>
            <w:tcW w:w="3769" w:type="dxa"/>
            <w:shd w:val="clear" w:color="auto" w:fill="D1D3D4"/>
          </w:tcPr>
          <w:p>
            <w:pPr>
              <w:pStyle w:val="TableParagraph"/>
              <w:spacing w:before="45"/>
              <w:ind w:left="40"/>
              <w:rPr>
                <w:sz w:val="20"/>
              </w:rPr>
            </w:pPr>
            <w:r>
              <w:rPr>
                <w:color w:val="231F20"/>
                <w:sz w:val="20"/>
              </w:rPr>
              <w:t>Lease termination expense</w:t>
            </w:r>
          </w:p>
        </w:tc>
        <w:tc>
          <w:tcPr>
            <w:tcW w:w="1717" w:type="dxa"/>
            <w:tcBorders>
              <w:bottom w:val="single" w:sz="4" w:space="0" w:color="231F20"/>
            </w:tcBorders>
            <w:shd w:val="clear" w:color="auto" w:fill="D1D3D4"/>
          </w:tcPr>
          <w:p>
            <w:pPr>
              <w:pStyle w:val="TableParagraph"/>
              <w:spacing w:before="45"/>
              <w:ind w:right="149"/>
              <w:jc w:val="right"/>
              <w:rPr>
                <w:sz w:val="20"/>
              </w:rPr>
            </w:pPr>
            <w:r>
              <w:rPr>
                <w:color w:val="231F20"/>
                <w:sz w:val="20"/>
              </w:rPr>
              <w:t>22</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spacing w:before="45"/>
              <w:ind w:right="149"/>
              <w:jc w:val="right"/>
              <w:rPr>
                <w:sz w:val="20"/>
              </w:rPr>
            </w:pPr>
            <w:r>
              <w:rPr>
                <w:color w:val="231F20"/>
                <w:sz w:val="20"/>
              </w:rPr>
              <w:t>—</w:t>
            </w:r>
          </w:p>
        </w:tc>
        <w:tc>
          <w:tcPr>
            <w:tcW w:w="200" w:type="dxa"/>
            <w:shd w:val="clear" w:color="auto" w:fill="D1D3D4"/>
          </w:tcPr>
          <w:p>
            <w:pPr/>
          </w:p>
        </w:tc>
        <w:tc>
          <w:tcPr>
            <w:tcW w:w="1617" w:type="dxa"/>
            <w:tcBorders>
              <w:bottom w:val="single" w:sz="4" w:space="0" w:color="231F20"/>
            </w:tcBorders>
            <w:shd w:val="clear" w:color="auto" w:fill="D1D3D4"/>
          </w:tcPr>
          <w:p>
            <w:pPr>
              <w:pStyle w:val="TableParagraph"/>
              <w:spacing w:before="45"/>
              <w:ind w:right="149"/>
              <w:jc w:val="right"/>
              <w:rPr>
                <w:sz w:val="20"/>
              </w:rPr>
            </w:pPr>
            <w:r>
              <w:rPr>
                <w:color w:val="231F20"/>
                <w:sz w:val="20"/>
              </w:rPr>
              <w:t>—</w:t>
            </w:r>
          </w:p>
        </w:tc>
      </w:tr>
      <w:tr>
        <w:trPr>
          <w:trHeight w:val="297" w:hRule="exact"/>
        </w:trPr>
        <w:tc>
          <w:tcPr>
            <w:tcW w:w="3769" w:type="dxa"/>
          </w:tcPr>
          <w:p>
            <w:pPr>
              <w:pStyle w:val="TableParagraph"/>
              <w:spacing w:before="125"/>
              <w:ind w:left="40"/>
              <w:rPr>
                <w:b/>
                <w:sz w:val="20"/>
              </w:rPr>
            </w:pPr>
            <w:r>
              <w:rPr>
                <w:b/>
                <w:color w:val="231F20"/>
                <w:sz w:val="20"/>
              </w:rPr>
              <w:t>Operating income, non-GAAP</w:t>
            </w:r>
          </w:p>
        </w:tc>
        <w:tc>
          <w:tcPr>
            <w:tcW w:w="1717" w:type="dxa"/>
            <w:tcBorders>
              <w:top w:val="single" w:sz="4" w:space="0" w:color="231F20"/>
            </w:tcBorders>
          </w:tcPr>
          <w:p>
            <w:pPr>
              <w:pStyle w:val="TableParagraph"/>
              <w:spacing w:before="45"/>
              <w:ind w:left="1117"/>
              <w:rPr>
                <w:sz w:val="20"/>
              </w:rPr>
            </w:pPr>
            <w:r>
              <w:rPr>
                <w:color w:val="231F20"/>
                <w:sz w:val="20"/>
              </w:rPr>
              <w:t>3,957</w:t>
            </w:r>
          </w:p>
        </w:tc>
        <w:tc>
          <w:tcPr>
            <w:tcW w:w="200" w:type="dxa"/>
          </w:tcPr>
          <w:p>
            <w:pPr/>
          </w:p>
        </w:tc>
        <w:tc>
          <w:tcPr>
            <w:tcW w:w="1617" w:type="dxa"/>
            <w:tcBorders>
              <w:top w:val="single" w:sz="4" w:space="0" w:color="231F20"/>
            </w:tcBorders>
          </w:tcPr>
          <w:p>
            <w:pPr>
              <w:pStyle w:val="TableParagraph"/>
              <w:spacing w:before="45"/>
              <w:ind w:left="1017"/>
              <w:rPr>
                <w:sz w:val="20"/>
              </w:rPr>
            </w:pPr>
            <w:r>
              <w:rPr>
                <w:color w:val="231F20"/>
                <w:sz w:val="20"/>
              </w:rPr>
              <w:t>3,957</w:t>
            </w:r>
          </w:p>
        </w:tc>
        <w:tc>
          <w:tcPr>
            <w:tcW w:w="200" w:type="dxa"/>
          </w:tcPr>
          <w:p>
            <w:pPr/>
          </w:p>
        </w:tc>
        <w:tc>
          <w:tcPr>
            <w:tcW w:w="1617" w:type="dxa"/>
            <w:tcBorders>
              <w:top w:val="single" w:sz="4" w:space="0" w:color="231F20"/>
            </w:tcBorders>
          </w:tcPr>
          <w:p>
            <w:pPr>
              <w:pStyle w:val="TableParagraph"/>
              <w:spacing w:before="45"/>
              <w:ind w:left="1017"/>
              <w:rPr>
                <w:sz w:val="20"/>
              </w:rPr>
            </w:pPr>
            <w:r>
              <w:rPr>
                <w:color w:val="231F20"/>
                <w:sz w:val="20"/>
              </w:rPr>
              <w:t>2,388</w:t>
            </w:r>
          </w:p>
        </w:tc>
      </w:tr>
      <w:tr>
        <w:trPr>
          <w:trHeight w:val="292" w:hRule="exact"/>
        </w:trPr>
        <w:tc>
          <w:tcPr>
            <w:tcW w:w="3769" w:type="dxa"/>
            <w:shd w:val="clear" w:color="auto" w:fill="D1D3D4"/>
          </w:tcPr>
          <w:p>
            <w:pPr>
              <w:pStyle w:val="TableParagraph"/>
              <w:spacing w:before="45"/>
              <w:ind w:left="40"/>
              <w:rPr>
                <w:sz w:val="20"/>
              </w:rPr>
            </w:pPr>
            <w:r>
              <w:rPr>
                <w:color w:val="231F20"/>
                <w:sz w:val="20"/>
              </w:rPr>
              <w:t>Net adjustment for aircraft leases (2)</w:t>
            </w:r>
          </w:p>
        </w:tc>
        <w:tc>
          <w:tcPr>
            <w:tcW w:w="1717" w:type="dxa"/>
            <w:shd w:val="clear" w:color="auto" w:fill="D1D3D4"/>
          </w:tcPr>
          <w:p>
            <w:pPr>
              <w:pStyle w:val="TableParagraph"/>
              <w:spacing w:before="45"/>
              <w:ind w:right="149"/>
              <w:jc w:val="right"/>
              <w:rPr>
                <w:sz w:val="20"/>
              </w:rPr>
            </w:pPr>
            <w:r>
              <w:rPr>
                <w:color w:val="231F20"/>
                <w:sz w:val="20"/>
              </w:rPr>
              <w:t>111</w:t>
            </w:r>
          </w:p>
        </w:tc>
        <w:tc>
          <w:tcPr>
            <w:tcW w:w="200" w:type="dxa"/>
            <w:shd w:val="clear" w:color="auto" w:fill="D1D3D4"/>
          </w:tcPr>
          <w:p>
            <w:pPr/>
          </w:p>
        </w:tc>
        <w:tc>
          <w:tcPr>
            <w:tcW w:w="1617" w:type="dxa"/>
            <w:shd w:val="clear" w:color="auto" w:fill="D1D3D4"/>
          </w:tcPr>
          <w:p>
            <w:pPr>
              <w:pStyle w:val="TableParagraph"/>
              <w:spacing w:before="45"/>
              <w:ind w:right="149"/>
              <w:jc w:val="right"/>
              <w:rPr>
                <w:sz w:val="20"/>
              </w:rPr>
            </w:pPr>
            <w:r>
              <w:rPr>
                <w:color w:val="231F20"/>
                <w:sz w:val="20"/>
              </w:rPr>
              <w:t>114</w:t>
            </w:r>
          </w:p>
        </w:tc>
        <w:tc>
          <w:tcPr>
            <w:tcW w:w="200" w:type="dxa"/>
            <w:shd w:val="clear" w:color="auto" w:fill="D1D3D4"/>
          </w:tcPr>
          <w:p>
            <w:pPr/>
          </w:p>
        </w:tc>
        <w:tc>
          <w:tcPr>
            <w:tcW w:w="1617" w:type="dxa"/>
            <w:shd w:val="clear" w:color="auto" w:fill="D1D3D4"/>
          </w:tcPr>
          <w:p>
            <w:pPr>
              <w:pStyle w:val="TableParagraph"/>
              <w:spacing w:before="45"/>
              <w:ind w:right="149"/>
              <w:jc w:val="right"/>
              <w:rPr>
                <w:sz w:val="20"/>
              </w:rPr>
            </w:pPr>
            <w:r>
              <w:rPr>
                <w:color w:val="231F20"/>
                <w:sz w:val="20"/>
              </w:rPr>
              <w:t>133</w:t>
            </w:r>
          </w:p>
        </w:tc>
      </w:tr>
      <w:tr>
        <w:trPr>
          <w:trHeight w:val="367" w:hRule="exact"/>
        </w:trPr>
        <w:tc>
          <w:tcPr>
            <w:tcW w:w="3769" w:type="dxa"/>
          </w:tcPr>
          <w:p>
            <w:pPr>
              <w:pStyle w:val="TableParagraph"/>
              <w:spacing w:before="45"/>
              <w:ind w:left="40"/>
              <w:rPr>
                <w:sz w:val="20"/>
              </w:rPr>
            </w:pPr>
            <w:r>
              <w:rPr>
                <w:color w:val="231F20"/>
                <w:sz w:val="20"/>
              </w:rPr>
              <w:t>Adjustment for fuel hedge accounting</w:t>
            </w:r>
          </w:p>
        </w:tc>
        <w:tc>
          <w:tcPr>
            <w:tcW w:w="1717" w:type="dxa"/>
            <w:tcBorders>
              <w:bottom w:val="single" w:sz="4" w:space="0" w:color="231F20"/>
            </w:tcBorders>
          </w:tcPr>
          <w:p>
            <w:pPr>
              <w:pStyle w:val="TableParagraph"/>
              <w:spacing w:before="45"/>
              <w:ind w:right="98"/>
              <w:jc w:val="right"/>
              <w:rPr>
                <w:sz w:val="20"/>
              </w:rPr>
            </w:pPr>
            <w:r>
              <w:rPr>
                <w:color w:val="231F20"/>
                <w:sz w:val="20"/>
              </w:rPr>
              <w:t>(152)</w:t>
            </w:r>
          </w:p>
        </w:tc>
        <w:tc>
          <w:tcPr>
            <w:tcW w:w="200" w:type="dxa"/>
          </w:tcPr>
          <w:p>
            <w:pPr/>
          </w:p>
        </w:tc>
        <w:tc>
          <w:tcPr>
            <w:tcW w:w="1617" w:type="dxa"/>
            <w:tcBorders>
              <w:bottom w:val="single" w:sz="4" w:space="0" w:color="231F20"/>
            </w:tcBorders>
          </w:tcPr>
          <w:p>
            <w:pPr>
              <w:pStyle w:val="TableParagraph"/>
              <w:spacing w:before="45"/>
              <w:ind w:right="98"/>
              <w:jc w:val="right"/>
              <w:rPr>
                <w:sz w:val="20"/>
              </w:rPr>
            </w:pPr>
            <w:r>
              <w:rPr>
                <w:color w:val="231F20"/>
                <w:sz w:val="20"/>
              </w:rPr>
              <w:t>(124)</w:t>
            </w:r>
          </w:p>
        </w:tc>
        <w:tc>
          <w:tcPr>
            <w:tcW w:w="200" w:type="dxa"/>
          </w:tcPr>
          <w:p>
            <w:pPr/>
          </w:p>
        </w:tc>
        <w:tc>
          <w:tcPr>
            <w:tcW w:w="1617" w:type="dxa"/>
            <w:tcBorders>
              <w:bottom w:val="single" w:sz="4" w:space="0" w:color="231F20"/>
            </w:tcBorders>
          </w:tcPr>
          <w:p>
            <w:pPr>
              <w:pStyle w:val="TableParagraph"/>
              <w:spacing w:before="45"/>
              <w:ind w:right="98"/>
              <w:jc w:val="right"/>
              <w:rPr>
                <w:sz w:val="20"/>
              </w:rPr>
            </w:pPr>
            <w:r>
              <w:rPr>
                <w:color w:val="231F20"/>
                <w:sz w:val="20"/>
              </w:rPr>
              <w:t>(62)</w:t>
            </w:r>
          </w:p>
        </w:tc>
      </w:tr>
      <w:tr>
        <w:trPr>
          <w:trHeight w:val="417" w:hRule="exact"/>
        </w:trPr>
        <w:tc>
          <w:tcPr>
            <w:tcW w:w="3769" w:type="dxa"/>
            <w:shd w:val="clear" w:color="auto" w:fill="D1D3D4"/>
          </w:tcPr>
          <w:p>
            <w:pPr>
              <w:pStyle w:val="TableParagraph"/>
              <w:spacing w:before="165"/>
              <w:ind w:left="40"/>
              <w:rPr>
                <w:b/>
                <w:sz w:val="20"/>
              </w:rPr>
            </w:pPr>
            <w:r>
              <w:rPr>
                <w:b/>
                <w:color w:val="231F20"/>
                <w:sz w:val="20"/>
              </w:rPr>
              <w:t>Adjusted Operating income, non-GAAP</w:t>
            </w:r>
          </w:p>
        </w:tc>
        <w:tc>
          <w:tcPr>
            <w:tcW w:w="1717" w:type="dxa"/>
            <w:tcBorders>
              <w:top w:val="single" w:sz="4" w:space="0" w:color="231F20"/>
            </w:tcBorders>
            <w:shd w:val="clear" w:color="auto" w:fill="D1D3D4"/>
          </w:tcPr>
          <w:p>
            <w:pPr>
              <w:pStyle w:val="TableParagraph"/>
              <w:tabs>
                <w:tab w:pos="1116" w:val="left" w:leader="none"/>
              </w:tabs>
              <w:spacing w:before="165"/>
              <w:rPr>
                <w:sz w:val="20"/>
              </w:rPr>
            </w:pPr>
            <w:r>
              <w:rPr>
                <w:color w:val="231F20"/>
                <w:sz w:val="20"/>
              </w:rPr>
              <w:t>$</w:t>
              <w:tab/>
              <w:t>3,916</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65"/>
              <w:rPr>
                <w:sz w:val="20"/>
              </w:rPr>
            </w:pPr>
            <w:r>
              <w:rPr>
                <w:color w:val="231F20"/>
                <w:sz w:val="20"/>
              </w:rPr>
              <w:t>$</w:t>
              <w:tab/>
              <w:t>3,947</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1016" w:val="left" w:leader="none"/>
              </w:tabs>
              <w:spacing w:before="165"/>
              <w:rPr>
                <w:sz w:val="20"/>
              </w:rPr>
            </w:pPr>
            <w:r>
              <w:rPr>
                <w:color w:val="231F20"/>
                <w:sz w:val="20"/>
              </w:rPr>
              <w:t>$</w:t>
              <w:tab/>
              <w:t>2,459</w:t>
            </w:r>
          </w:p>
        </w:tc>
      </w:tr>
      <w:tr>
        <w:trPr>
          <w:trHeight w:val="292"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292" w:hRule="exact"/>
        </w:trPr>
        <w:tc>
          <w:tcPr>
            <w:tcW w:w="3769" w:type="dxa"/>
            <w:shd w:val="clear" w:color="auto" w:fill="D1D3D4"/>
          </w:tcPr>
          <w:p>
            <w:pPr>
              <w:pStyle w:val="TableParagraph"/>
              <w:spacing w:before="45"/>
              <w:ind w:left="40"/>
              <w:rPr>
                <w:b/>
                <w:sz w:val="20"/>
              </w:rPr>
            </w:pPr>
            <w:r>
              <w:rPr>
                <w:b/>
                <w:color w:val="231F20"/>
                <w:sz w:val="20"/>
              </w:rPr>
              <w:t>Average invested capital (3)</w:t>
            </w:r>
          </w:p>
        </w:tc>
        <w:tc>
          <w:tcPr>
            <w:tcW w:w="1717" w:type="dxa"/>
            <w:shd w:val="clear" w:color="auto" w:fill="D1D3D4"/>
          </w:tcPr>
          <w:p>
            <w:pPr>
              <w:pStyle w:val="TableParagraph"/>
              <w:tabs>
                <w:tab w:pos="1016" w:val="left" w:leader="none"/>
              </w:tabs>
              <w:spacing w:before="45"/>
              <w:rPr>
                <w:sz w:val="20"/>
              </w:rPr>
            </w:pPr>
            <w:r>
              <w:rPr>
                <w:color w:val="231F20"/>
                <w:sz w:val="20"/>
              </w:rPr>
              <w:t>$</w:t>
              <w:tab/>
              <w:t>12,152</w:t>
            </w:r>
          </w:p>
        </w:tc>
        <w:tc>
          <w:tcPr>
            <w:tcW w:w="200" w:type="dxa"/>
            <w:shd w:val="clear" w:color="auto" w:fill="D1D3D4"/>
          </w:tcPr>
          <w:p>
            <w:pPr/>
          </w:p>
        </w:tc>
        <w:tc>
          <w:tcPr>
            <w:tcW w:w="1617" w:type="dxa"/>
            <w:shd w:val="clear" w:color="auto" w:fill="D1D3D4"/>
          </w:tcPr>
          <w:p>
            <w:pPr>
              <w:pStyle w:val="TableParagraph"/>
              <w:tabs>
                <w:tab w:pos="916" w:val="left" w:leader="none"/>
              </w:tabs>
              <w:spacing w:before="45"/>
              <w:rPr>
                <w:sz w:val="20"/>
              </w:rPr>
            </w:pPr>
            <w:r>
              <w:rPr>
                <w:color w:val="231F20"/>
                <w:sz w:val="20"/>
              </w:rPr>
              <w:t>$</w:t>
              <w:tab/>
              <w:t>11,037</w:t>
            </w:r>
          </w:p>
        </w:tc>
        <w:tc>
          <w:tcPr>
            <w:tcW w:w="200" w:type="dxa"/>
            <w:shd w:val="clear" w:color="auto" w:fill="D1D3D4"/>
          </w:tcPr>
          <w:p>
            <w:pPr/>
          </w:p>
        </w:tc>
        <w:tc>
          <w:tcPr>
            <w:tcW w:w="1617" w:type="dxa"/>
            <w:shd w:val="clear" w:color="auto" w:fill="D1D3D4"/>
          </w:tcPr>
          <w:p>
            <w:pPr>
              <w:pStyle w:val="TableParagraph"/>
              <w:tabs>
                <w:tab w:pos="916" w:val="left" w:leader="none"/>
              </w:tabs>
              <w:spacing w:before="45"/>
              <w:rPr>
                <w:sz w:val="20"/>
              </w:rPr>
            </w:pPr>
            <w:r>
              <w:rPr>
                <w:color w:val="231F20"/>
                <w:sz w:val="20"/>
              </w:rPr>
              <w:t>$</w:t>
              <w:tab/>
              <w:t>11,470</w:t>
            </w:r>
          </w:p>
        </w:tc>
      </w:tr>
      <w:tr>
        <w:trPr>
          <w:trHeight w:val="367" w:hRule="exact"/>
        </w:trPr>
        <w:tc>
          <w:tcPr>
            <w:tcW w:w="3769" w:type="dxa"/>
          </w:tcPr>
          <w:p>
            <w:pPr>
              <w:pStyle w:val="TableParagraph"/>
              <w:spacing w:before="45"/>
              <w:ind w:left="40"/>
              <w:rPr>
                <w:sz w:val="20"/>
              </w:rPr>
            </w:pPr>
            <w:r>
              <w:rPr>
                <w:color w:val="231F20"/>
                <w:sz w:val="20"/>
              </w:rPr>
              <w:t>Equity adjustment for hedge accounting</w:t>
            </w:r>
          </w:p>
        </w:tc>
        <w:tc>
          <w:tcPr>
            <w:tcW w:w="1717" w:type="dxa"/>
            <w:tcBorders>
              <w:bottom w:val="single" w:sz="4" w:space="0" w:color="231F20"/>
            </w:tcBorders>
          </w:tcPr>
          <w:p>
            <w:pPr>
              <w:pStyle w:val="TableParagraph"/>
              <w:spacing w:before="45"/>
              <w:ind w:right="147"/>
              <w:jc w:val="right"/>
              <w:rPr>
                <w:sz w:val="20"/>
              </w:rPr>
            </w:pPr>
            <w:r>
              <w:rPr>
                <w:color w:val="231F20"/>
                <w:sz w:val="20"/>
              </w:rPr>
              <w:t>886</w:t>
            </w:r>
          </w:p>
        </w:tc>
        <w:tc>
          <w:tcPr>
            <w:tcW w:w="200" w:type="dxa"/>
          </w:tcPr>
          <w:p>
            <w:pPr/>
          </w:p>
        </w:tc>
        <w:tc>
          <w:tcPr>
            <w:tcW w:w="1617" w:type="dxa"/>
            <w:tcBorders>
              <w:bottom w:val="single" w:sz="4" w:space="0" w:color="231F20"/>
            </w:tcBorders>
          </w:tcPr>
          <w:p>
            <w:pPr>
              <w:pStyle w:val="TableParagraph"/>
              <w:spacing w:before="45"/>
              <w:ind w:left="1017"/>
              <w:rPr>
                <w:sz w:val="20"/>
              </w:rPr>
            </w:pPr>
            <w:r>
              <w:rPr>
                <w:color w:val="231F20"/>
                <w:sz w:val="20"/>
              </w:rPr>
              <w:t>1,027</w:t>
            </w:r>
          </w:p>
        </w:tc>
        <w:tc>
          <w:tcPr>
            <w:tcW w:w="200" w:type="dxa"/>
          </w:tcPr>
          <w:p>
            <w:pPr/>
          </w:p>
        </w:tc>
        <w:tc>
          <w:tcPr>
            <w:tcW w:w="1617" w:type="dxa"/>
            <w:tcBorders>
              <w:bottom w:val="single" w:sz="4" w:space="0" w:color="231F20"/>
            </w:tcBorders>
          </w:tcPr>
          <w:p>
            <w:pPr>
              <w:pStyle w:val="TableParagraph"/>
              <w:spacing w:before="45"/>
              <w:ind w:right="147"/>
              <w:jc w:val="right"/>
              <w:rPr>
                <w:sz w:val="20"/>
              </w:rPr>
            </w:pPr>
            <w:r>
              <w:rPr>
                <w:color w:val="231F20"/>
                <w:sz w:val="20"/>
              </w:rPr>
              <w:t>104</w:t>
            </w:r>
          </w:p>
        </w:tc>
      </w:tr>
      <w:tr>
        <w:trPr>
          <w:trHeight w:val="297" w:hRule="exact"/>
        </w:trPr>
        <w:tc>
          <w:tcPr>
            <w:tcW w:w="3769" w:type="dxa"/>
            <w:shd w:val="clear" w:color="auto" w:fill="D1D3D4"/>
          </w:tcPr>
          <w:p>
            <w:pPr>
              <w:pStyle w:val="TableParagraph"/>
              <w:spacing w:before="45"/>
              <w:ind w:left="40"/>
              <w:rPr>
                <w:b/>
                <w:sz w:val="20"/>
              </w:rPr>
            </w:pPr>
            <w:r>
              <w:rPr>
                <w:b/>
                <w:color w:val="231F20"/>
                <w:sz w:val="20"/>
              </w:rPr>
              <w:t>Adjusted average invested capital</w:t>
            </w:r>
          </w:p>
        </w:tc>
        <w:tc>
          <w:tcPr>
            <w:tcW w:w="1717" w:type="dxa"/>
            <w:tcBorders>
              <w:top w:val="single" w:sz="4" w:space="0" w:color="231F20"/>
            </w:tcBorders>
            <w:shd w:val="clear" w:color="auto" w:fill="D1D3D4"/>
          </w:tcPr>
          <w:p>
            <w:pPr>
              <w:pStyle w:val="TableParagraph"/>
              <w:tabs>
                <w:tab w:pos="1016" w:val="left" w:leader="none"/>
              </w:tabs>
              <w:spacing w:before="45"/>
              <w:rPr>
                <w:sz w:val="20"/>
              </w:rPr>
            </w:pPr>
            <w:r>
              <w:rPr>
                <w:color w:val="231F20"/>
                <w:sz w:val="20"/>
              </w:rPr>
              <w:t>$</w:t>
              <w:tab/>
              <w:t>13,038</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spacing w:before="45"/>
              <w:rPr>
                <w:sz w:val="20"/>
              </w:rPr>
            </w:pPr>
            <w:r>
              <w:rPr>
                <w:color w:val="231F20"/>
                <w:sz w:val="20"/>
              </w:rPr>
              <w:t>$</w:t>
              <w:tab/>
              <w:t>12,064</w:t>
            </w:r>
          </w:p>
        </w:tc>
        <w:tc>
          <w:tcPr>
            <w:tcW w:w="200" w:type="dxa"/>
            <w:shd w:val="clear" w:color="auto" w:fill="D1D3D4"/>
          </w:tcPr>
          <w:p>
            <w:pPr/>
          </w:p>
        </w:tc>
        <w:tc>
          <w:tcPr>
            <w:tcW w:w="1617" w:type="dxa"/>
            <w:tcBorders>
              <w:top w:val="single" w:sz="4" w:space="0" w:color="231F20"/>
            </w:tcBorders>
            <w:shd w:val="clear" w:color="auto" w:fill="D1D3D4"/>
          </w:tcPr>
          <w:p>
            <w:pPr>
              <w:pStyle w:val="TableParagraph"/>
              <w:tabs>
                <w:tab w:pos="916" w:val="left" w:leader="none"/>
              </w:tabs>
              <w:spacing w:before="45"/>
              <w:rPr>
                <w:sz w:val="20"/>
              </w:rPr>
            </w:pPr>
            <w:r>
              <w:rPr>
                <w:color w:val="231F20"/>
                <w:sz w:val="20"/>
              </w:rPr>
              <w:t>$</w:t>
              <w:tab/>
              <w:t>11,574</w:t>
            </w:r>
          </w:p>
        </w:tc>
      </w:tr>
      <w:tr>
        <w:trPr>
          <w:trHeight w:val="292" w:hRule="exact"/>
        </w:trPr>
        <w:tc>
          <w:tcPr>
            <w:tcW w:w="3769" w:type="dxa"/>
          </w:tcPr>
          <w:p>
            <w:pPr/>
          </w:p>
        </w:tc>
        <w:tc>
          <w:tcPr>
            <w:tcW w:w="1717" w:type="dxa"/>
          </w:tcPr>
          <w:p>
            <w:pPr/>
          </w:p>
        </w:tc>
        <w:tc>
          <w:tcPr>
            <w:tcW w:w="200" w:type="dxa"/>
          </w:tcPr>
          <w:p>
            <w:pPr/>
          </w:p>
        </w:tc>
        <w:tc>
          <w:tcPr>
            <w:tcW w:w="1617" w:type="dxa"/>
          </w:tcPr>
          <w:p>
            <w:pPr/>
          </w:p>
        </w:tc>
        <w:tc>
          <w:tcPr>
            <w:tcW w:w="200" w:type="dxa"/>
          </w:tcPr>
          <w:p>
            <w:pPr/>
          </w:p>
        </w:tc>
        <w:tc>
          <w:tcPr>
            <w:tcW w:w="1617" w:type="dxa"/>
          </w:tcPr>
          <w:p>
            <w:pPr/>
          </w:p>
        </w:tc>
      </w:tr>
      <w:tr>
        <w:trPr>
          <w:trHeight w:val="412" w:hRule="exact"/>
        </w:trPr>
        <w:tc>
          <w:tcPr>
            <w:tcW w:w="3769" w:type="dxa"/>
            <w:shd w:val="clear" w:color="auto" w:fill="D1D3D4"/>
          </w:tcPr>
          <w:p>
            <w:pPr>
              <w:pStyle w:val="TableParagraph"/>
              <w:spacing w:before="165"/>
              <w:ind w:left="40"/>
              <w:rPr>
                <w:b/>
                <w:sz w:val="20"/>
              </w:rPr>
            </w:pPr>
            <w:r>
              <w:rPr>
                <w:b/>
                <w:color w:val="231F20"/>
                <w:sz w:val="20"/>
              </w:rPr>
              <w:t>ROIC, pre-tax</w:t>
            </w:r>
          </w:p>
        </w:tc>
        <w:tc>
          <w:tcPr>
            <w:tcW w:w="1717" w:type="dxa"/>
            <w:shd w:val="clear" w:color="auto" w:fill="D1D3D4"/>
          </w:tcPr>
          <w:p>
            <w:pPr>
              <w:pStyle w:val="TableParagraph"/>
              <w:spacing w:before="165"/>
              <w:jc w:val="right"/>
              <w:rPr>
                <w:sz w:val="20"/>
              </w:rPr>
            </w:pPr>
            <w:r>
              <w:rPr>
                <w:color w:val="231F20"/>
                <w:sz w:val="20"/>
              </w:rPr>
              <w:t>30.0%</w:t>
            </w:r>
          </w:p>
        </w:tc>
        <w:tc>
          <w:tcPr>
            <w:tcW w:w="200" w:type="dxa"/>
            <w:shd w:val="clear" w:color="auto" w:fill="D1D3D4"/>
          </w:tcPr>
          <w:p>
            <w:pPr/>
          </w:p>
        </w:tc>
        <w:tc>
          <w:tcPr>
            <w:tcW w:w="1617" w:type="dxa"/>
            <w:shd w:val="clear" w:color="auto" w:fill="D1D3D4"/>
          </w:tcPr>
          <w:p>
            <w:pPr>
              <w:pStyle w:val="TableParagraph"/>
              <w:spacing w:before="165"/>
              <w:jc w:val="right"/>
              <w:rPr>
                <w:sz w:val="20"/>
              </w:rPr>
            </w:pPr>
            <w:r>
              <w:rPr>
                <w:color w:val="231F20"/>
                <w:sz w:val="20"/>
              </w:rPr>
              <w:t>32.7%</w:t>
            </w:r>
          </w:p>
        </w:tc>
        <w:tc>
          <w:tcPr>
            <w:tcW w:w="200" w:type="dxa"/>
            <w:shd w:val="clear" w:color="auto" w:fill="D1D3D4"/>
          </w:tcPr>
          <w:p>
            <w:pPr/>
          </w:p>
        </w:tc>
        <w:tc>
          <w:tcPr>
            <w:tcW w:w="1617" w:type="dxa"/>
            <w:shd w:val="clear" w:color="auto" w:fill="D1D3D4"/>
          </w:tcPr>
          <w:p>
            <w:pPr>
              <w:pStyle w:val="TableParagraph"/>
              <w:spacing w:before="165"/>
              <w:jc w:val="right"/>
              <w:rPr>
                <w:sz w:val="20"/>
              </w:rPr>
            </w:pPr>
            <w:r>
              <w:rPr>
                <w:color w:val="231F20"/>
                <w:sz w:val="20"/>
              </w:rPr>
              <w:t>21.2%</w:t>
            </w:r>
          </w:p>
        </w:tc>
      </w:tr>
    </w:tbl>
    <w:p>
      <w:pPr>
        <w:pStyle w:val="BodyText"/>
        <w:spacing w:before="4"/>
        <w:rPr>
          <w:b/>
        </w:rPr>
      </w:pPr>
    </w:p>
    <w:p>
      <w:pPr>
        <w:pStyle w:val="ListParagraph"/>
        <w:numPr>
          <w:ilvl w:val="0"/>
          <w:numId w:val="11"/>
        </w:numPr>
        <w:tabs>
          <w:tab w:pos="384" w:val="left" w:leader="none"/>
        </w:tabs>
        <w:spacing w:line="249" w:lineRule="auto" w:before="0" w:after="0"/>
        <w:ind w:left="100" w:right="735" w:firstLine="0"/>
        <w:jc w:val="left"/>
        <w:rPr>
          <w:sz w:val="20"/>
        </w:rPr>
      </w:pPr>
      <w:r>
        <w:rPr>
          <w:color w:val="231F20"/>
          <w:sz w:val="20"/>
        </w:rPr>
        <w:t>One-time adjustment related to the execution of the Agreement with Chase and the resulting change in accounting methodology. See Note 1 to the Consolidated Financial Statements for further</w:t>
      </w:r>
      <w:r>
        <w:rPr>
          <w:color w:val="231F20"/>
          <w:spacing w:val="8"/>
          <w:sz w:val="20"/>
        </w:rPr>
        <w:t> </w:t>
      </w:r>
      <w:r>
        <w:rPr>
          <w:color w:val="231F20"/>
          <w:sz w:val="20"/>
        </w:rPr>
        <w:t>information.</w:t>
      </w:r>
    </w:p>
    <w:p>
      <w:pPr>
        <w:spacing w:after="0" w:line="249" w:lineRule="auto"/>
        <w:jc w:val="left"/>
        <w:rPr>
          <w:sz w:val="20"/>
        </w:rPr>
        <w:sectPr>
          <w:pgSz w:w="11880" w:h="15480"/>
          <w:pgMar w:header="0" w:footer="1240" w:top="1200" w:bottom="1420" w:left="1280" w:right="1260"/>
        </w:sectPr>
      </w:pPr>
    </w:p>
    <w:p>
      <w:pPr>
        <w:pStyle w:val="ListParagraph"/>
        <w:numPr>
          <w:ilvl w:val="0"/>
          <w:numId w:val="11"/>
        </w:numPr>
        <w:tabs>
          <w:tab w:pos="384" w:val="left" w:leader="none"/>
        </w:tabs>
        <w:spacing w:line="249" w:lineRule="auto" w:before="73" w:after="0"/>
        <w:ind w:left="100" w:right="676" w:firstLine="0"/>
        <w:jc w:val="left"/>
        <w:rPr>
          <w:sz w:val="20"/>
        </w:rPr>
      </w:pPr>
      <w:r>
        <w:rPr>
          <w:color w:val="231F20"/>
          <w:sz w:val="20"/>
        </w:rPr>
        <w:t>Net adjustment related to presumption that all aircraft in fleet are owned (i.e., the impact of eliminating aircraft rent expense and replacing with estimated depreciation expense for those same</w:t>
      </w:r>
      <w:r>
        <w:rPr>
          <w:color w:val="231F20"/>
          <w:spacing w:val="10"/>
          <w:sz w:val="20"/>
        </w:rPr>
        <w:t> </w:t>
      </w:r>
      <w:r>
        <w:rPr>
          <w:color w:val="231F20"/>
          <w:sz w:val="20"/>
        </w:rPr>
        <w:t>aircraft).</w:t>
      </w:r>
    </w:p>
    <w:p>
      <w:pPr>
        <w:pStyle w:val="ListParagraph"/>
        <w:numPr>
          <w:ilvl w:val="0"/>
          <w:numId w:val="11"/>
        </w:numPr>
        <w:tabs>
          <w:tab w:pos="384" w:val="left" w:leader="none"/>
        </w:tabs>
        <w:spacing w:line="249" w:lineRule="auto" w:before="1" w:after="0"/>
        <w:ind w:left="100" w:right="256" w:firstLine="0"/>
        <w:jc w:val="left"/>
        <w:rPr>
          <w:sz w:val="20"/>
        </w:rPr>
      </w:pPr>
      <w:r>
        <w:rPr>
          <w:color w:val="231F20"/>
          <w:sz w:val="20"/>
        </w:rPr>
        <w:t>Average invested capital is an average of the five most recent quarter end balances of debt, net present value of aircraft leases, and equity adjusted for hedge</w:t>
      </w:r>
      <w:r>
        <w:rPr>
          <w:color w:val="231F20"/>
          <w:spacing w:val="5"/>
          <w:sz w:val="20"/>
        </w:rPr>
        <w:t> </w:t>
      </w:r>
      <w:r>
        <w:rPr>
          <w:color w:val="231F20"/>
          <w:sz w:val="20"/>
        </w:rPr>
        <w:t>accounting.</w:t>
      </w:r>
    </w:p>
    <w:p>
      <w:pPr>
        <w:pStyle w:val="BodyText"/>
        <w:spacing w:before="7"/>
        <w:rPr>
          <w:sz w:val="19"/>
        </w:rPr>
      </w:pPr>
    </w:p>
    <w:p>
      <w:pPr>
        <w:pStyle w:val="Heading1"/>
      </w:pPr>
      <w:r>
        <w:rPr>
          <w:color w:val="231F20"/>
        </w:rPr>
        <w:t>Note Regarding Use of Non-GAAP Financial Measures</w:t>
      </w:r>
    </w:p>
    <w:p>
      <w:pPr>
        <w:pStyle w:val="BodyText"/>
        <w:spacing w:before="11"/>
        <w:rPr>
          <w:b/>
          <w:sz w:val="19"/>
        </w:rPr>
      </w:pPr>
    </w:p>
    <w:p>
      <w:pPr>
        <w:pStyle w:val="BodyText"/>
        <w:spacing w:line="247" w:lineRule="auto"/>
        <w:ind w:left="100" w:right="117"/>
        <w:jc w:val="both"/>
      </w:pPr>
      <w:r>
        <w:rPr>
          <w:color w:val="231F20"/>
        </w:rPr>
        <w:t>The Company’s Consolidated Financial Statements are prepared in accordance with accounting principles generally accepted in the United States (“GAAP”). These GAAP financial statements  include (i) unrealized non-cash adjustments and reclassifications, which can be significant, as a result of accounting requirements and elections made under accounting pronouncements relating to  derivative instruments and hedging and (ii) other charges and benefits the Company believes are unusual and/or infrequent in nature and thus may not be indicative of its ongoing operational performance.</w:t>
      </w:r>
    </w:p>
    <w:p>
      <w:pPr>
        <w:pStyle w:val="BodyText"/>
        <w:spacing w:before="3"/>
        <w:rPr>
          <w:sz w:val="19"/>
        </w:rPr>
      </w:pPr>
    </w:p>
    <w:p>
      <w:pPr>
        <w:pStyle w:val="BodyText"/>
        <w:spacing w:line="247" w:lineRule="auto" w:before="1"/>
        <w:ind w:left="100" w:right="117"/>
        <w:jc w:val="both"/>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additional insight to investors as supplemental information to its GAAP results. The non-GAAP measures provided that relate to the Company’s performance on an economic fuel cost basis include Fuel and oil expense, non-GAAP; Total operating expenses, non-GAAP; Operating income, non-GAAP; Net income, non-GAAP; and Net income per share, diluted, non-GAAP. The Company’s economic Fuel and oil expense results differ from GAAP results in that they only include the actual cash settlements from fuel hedge contracts—all reflected within Fuel and oil expense in the period of settlement. Thus, Fuel and oil expense on an “economic” basis has historically been utilized by the Company, as well as some of the other airlines that utilize fuel hedging, as it reflects the Company’s actual net cash outlays for fuel during the applicable period, inclusive of settled fuel derivative contracts. Any net premium costs paid related to option contracts are reflected as a component of Other (gains) losses, net, for both GAAP  and non-GAAP (including economic) purposes in the period of contract settlement. The Company believes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and analysts, to consistently assess the Company’s operating performance on a year-over-year or quarter-over-quarter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 companies.</w:t>
      </w:r>
    </w:p>
    <w:p>
      <w:pPr>
        <w:pStyle w:val="BodyText"/>
        <w:spacing w:before="4"/>
        <w:rPr>
          <w:sz w:val="19"/>
        </w:rPr>
      </w:pPr>
    </w:p>
    <w:p>
      <w:pPr>
        <w:pStyle w:val="BodyText"/>
        <w:spacing w:line="247" w:lineRule="auto"/>
        <w:ind w:left="100" w:right="117"/>
        <w:jc w:val="both"/>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spacing w:before="3"/>
        <w:rPr>
          <w:sz w:val="19"/>
        </w:rPr>
      </w:pPr>
    </w:p>
    <w:p>
      <w:pPr>
        <w:pStyle w:val="BodyText"/>
        <w:spacing w:line="247" w:lineRule="auto" w:before="1"/>
        <w:ind w:left="100" w:right="118"/>
        <w:jc w:val="both"/>
      </w:pPr>
      <w:r>
        <w:rPr>
          <w:color w:val="231F20"/>
        </w:rPr>
        <w:t>In addition, the Company’s GAAP results in the applicable periods include other charges or benefits that are deemed “special items” that the Company believes are not indicative of its ongoing  operations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and make its results difficult to compare to prior periods, anticipated future periods, or to its competitors’ results. Financial measures identified as non-GAAP (or as excluding special items) have been adjusted to exclude special items. Special items include:</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A one-time $172 million Special revenue adjustment in July 2015 as a result of the Agreement with Chase and the resulting required change in accounting methodology. This increase to revenue represented a nonrecurring required acceleration of revenues associated with the adoption of Accounting Standards Update</w:t>
      </w:r>
      <w:r>
        <w:rPr>
          <w:color w:val="231F20"/>
          <w:spacing w:val="-2"/>
          <w:sz w:val="22"/>
        </w:rPr>
        <w:t> </w:t>
      </w:r>
      <w:r>
        <w:rPr>
          <w:color w:val="231F20"/>
          <w:sz w:val="22"/>
        </w:rPr>
        <w:t>2009-13;</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Union contract bonuses recorded for certain workgroups. As the bonuses would only be paid at ratification of the associated tentative agreement and would not represent an ongoing expense to the Company, management believes its results for the associated periods are more usefully compared if the impacts of ratification bonus amounts are excluded from results. Generally, union contract agreements cover a specified three- to five- year period, although such contracts officially never expire, and the agreed upon terms remain in place until a revised agreement is reached, which can be several years following the amendable</w:t>
      </w:r>
      <w:r>
        <w:rPr>
          <w:color w:val="231F20"/>
          <w:spacing w:val="1"/>
          <w:sz w:val="22"/>
        </w:rPr>
        <w:t> </w:t>
      </w:r>
      <w:r>
        <w:rPr>
          <w:color w:val="231F20"/>
          <w:sz w:val="22"/>
        </w:rPr>
        <w:t>date;</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Expenses associated with the Company’s acquisition and integration of AirTran. Such expenses were primarily incurred during the acquisition and integration period of the two companies from 2011 through 2015 as a result of the Company’s acquisition of AirTran, which closed on May 2, 2011. The exclusion of these expenses provides investors with a more applicable basis with which to compare results in future periods now that the integration process has been completed;</w:t>
      </w:r>
    </w:p>
    <w:p>
      <w:pPr>
        <w:pStyle w:val="ListParagraph"/>
        <w:numPr>
          <w:ilvl w:val="1"/>
          <w:numId w:val="11"/>
        </w:numPr>
        <w:tabs>
          <w:tab w:pos="980" w:val="left" w:leader="none"/>
        </w:tabs>
        <w:spacing w:line="247" w:lineRule="auto" w:before="184" w:after="0"/>
        <w:ind w:left="980" w:right="118" w:hanging="440"/>
        <w:jc w:val="both"/>
        <w:rPr>
          <w:sz w:val="22"/>
        </w:rPr>
      </w:pPr>
      <w:r>
        <w:rPr>
          <w:color w:val="231F20"/>
          <w:sz w:val="22"/>
        </w:rPr>
        <w:t>A gain resulting from a litigation settlement received in January 2015. This cash settlement meaningfully lowered Other operating expenses during the applicable period and the Company does not expect a similar impact on its cost structure in the</w:t>
      </w:r>
      <w:r>
        <w:rPr>
          <w:color w:val="231F20"/>
          <w:spacing w:val="-3"/>
          <w:sz w:val="22"/>
        </w:rPr>
        <w:t> </w:t>
      </w:r>
      <w:r>
        <w:rPr>
          <w:color w:val="231F20"/>
          <w:sz w:val="22"/>
        </w:rPr>
        <w:t>future;</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A noncash impairment charge related to leased slots at Newark Liberty International Airport as a result of the FAA announcement in April 2016 that this airport was being changed to a Level 2 schedule-facilitated airport from its previous designation as Level 3;</w:t>
      </w:r>
      <w:r>
        <w:rPr>
          <w:color w:val="231F20"/>
          <w:spacing w:val="-1"/>
          <w:sz w:val="22"/>
        </w:rPr>
        <w:t> </w:t>
      </w:r>
      <w:r>
        <w:rPr>
          <w:color w:val="231F20"/>
          <w:sz w:val="22"/>
        </w:rPr>
        <w:t>and</w:t>
      </w:r>
    </w:p>
    <w:p>
      <w:pPr>
        <w:pStyle w:val="ListParagraph"/>
        <w:numPr>
          <w:ilvl w:val="1"/>
          <w:numId w:val="11"/>
        </w:numPr>
        <w:tabs>
          <w:tab w:pos="980" w:val="left" w:leader="none"/>
        </w:tabs>
        <w:spacing w:line="247" w:lineRule="auto" w:before="184" w:after="0"/>
        <w:ind w:left="980" w:right="117" w:hanging="440"/>
        <w:jc w:val="both"/>
        <w:rPr>
          <w:sz w:val="22"/>
        </w:rPr>
      </w:pPr>
      <w:r>
        <w:rPr>
          <w:color w:val="231F20"/>
          <w:sz w:val="22"/>
        </w:rPr>
        <w:t>Lease termination costs recorded during 2016 as a result of the Company acquiring five of its Boeing 737-300 aircraft off operating leases, as part of the Company’s strategic effort to phase out its Classic aircraft from operations by the end of third quarter 2017 in the most economically advantageous manner possible. The Company had not budgeted for these early lease termination costs, as they were subject to negotiations being concluded with the third party lessors. The Company recorded the fair value of the aircraft, as well as any associated remaining obligations to the balance sheet as</w:t>
      </w:r>
      <w:r>
        <w:rPr>
          <w:color w:val="231F20"/>
          <w:spacing w:val="-1"/>
          <w:sz w:val="22"/>
        </w:rPr>
        <w:t> </w:t>
      </w:r>
      <w:r>
        <w:rPr>
          <w:color w:val="231F20"/>
          <w:sz w:val="22"/>
        </w:rPr>
        <w:t>debt.</w:t>
      </w:r>
    </w:p>
    <w:p>
      <w:pPr>
        <w:pStyle w:val="BodyText"/>
        <w:spacing w:line="247" w:lineRule="auto" w:before="184"/>
        <w:ind w:left="100" w:right="117"/>
        <w:jc w:val="both"/>
      </w:pPr>
      <w:r>
        <w:rPr>
          <w:color w:val="231F20"/>
        </w:rPr>
        <w:t>Because management believes each of these items can distort the trends associated with the  Company’s ongoing performance as an airline, the Company believes that evaluation of its financial performance can be enhanced by a supplemental presentation of results that exclude the impact of  these items in order to enhance consistency and comparativeness with results in prior periods that do not include such items and as a basis for evaluating operating results in future periods. The following measures are often provided, excluding special items, and utilized by the Company’s management, analysts, and investors to enhance comparability of year-over-year results, as well as to compare  results to other airlines: Operating revenues, non-GAAP; Total operating expenses, non-GAAP; Operating income, non-GAAP; Net income, non-GAAP; Net income per share, diluted, non-GAAP; and Operating expenses per ASM, non-GAAP, excluding fuel and special items.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has also provided return on invested capital, which is calculated, in part, using non- GAAP financial measures. The Company believes return on invested capital is a meaningful measure because it quantifies how well the Company generates operating income relative to the capital it has invested in its business. Although return on invested capital is commonly used as a measure of capital efficiency, definitions of return on invested capital differ; therefore, the Company is providing an explanation of its calculation for return on invested capital (before taxes and excluding special items)  in the accompanying</w:t>
      </w:r>
      <w:r>
        <w:rPr>
          <w:color w:val="231F20"/>
          <w:spacing w:val="-1"/>
        </w:rPr>
        <w:t> </w:t>
      </w:r>
      <w:r>
        <w:rPr>
          <w:color w:val="231F20"/>
        </w:rPr>
        <w:t>reconciliation.</w:t>
      </w:r>
    </w:p>
    <w:p>
      <w:pPr>
        <w:pStyle w:val="BodyText"/>
        <w:spacing w:before="5"/>
      </w:pPr>
    </w:p>
    <w:p>
      <w:pPr>
        <w:pStyle w:val="Heading1"/>
      </w:pPr>
      <w:r>
        <w:rPr>
          <w:color w:val="231F20"/>
        </w:rPr>
        <w:t>Liquidity and Capital Resources</w:t>
      </w:r>
    </w:p>
    <w:p>
      <w:pPr>
        <w:pStyle w:val="BodyText"/>
        <w:spacing w:before="1"/>
        <w:rPr>
          <w:b/>
          <w:sz w:val="23"/>
        </w:rPr>
      </w:pPr>
    </w:p>
    <w:p>
      <w:pPr>
        <w:pStyle w:val="BodyText"/>
        <w:ind w:left="100"/>
        <w:jc w:val="both"/>
      </w:pPr>
      <w:r>
        <w:rPr>
          <w:color w:val="231F20"/>
        </w:rPr>
        <w:t>Net cash provided by operating activities for 2016, 2015, and 2014 was $4.3 billion, $3.2 billion, and</w:t>
      </w:r>
    </w:p>
    <w:p>
      <w:pPr>
        <w:pStyle w:val="BodyText"/>
        <w:spacing w:line="247" w:lineRule="auto" w:before="6"/>
        <w:ind w:left="100" w:right="117"/>
        <w:jc w:val="both"/>
      </w:pPr>
      <w:r>
        <w:rPr>
          <w:color w:val="231F20"/>
        </w:rPr>
        <w:t>$2.9 billion, respectively. Operating cash inflows are primarily derived from providing air transportation to Customers. The vast majority of tickets are purchased prior to the day on which travel is provided and, in some cases, several months before the anticipated travel date. Operating cash outflows are related to the recurring expenses of airline operations. The operating cash flows for 2016, 2015, and 2014 were impacted primarily by the Company’s results of operations, as adjusted for non- cash items as well as changes in the Air traffic liability and Accrued liabilities balances. Operating  cash flows also can be significantly impacted by the Company’s fuel and interest rate hedge positions and the corresponding cash collateral requirements associated with those positions. The Company has the ability to post aircraft in lieu of cash collateral in certain situations. See Note 10 to the  Consolidated Financial Statements for further information. During 2016, the Company had net cash inflows</w:t>
      </w:r>
      <w:r>
        <w:rPr>
          <w:color w:val="231F20"/>
          <w:spacing w:val="37"/>
        </w:rPr>
        <w:t> </w:t>
      </w:r>
      <w:r>
        <w:rPr>
          <w:color w:val="231F20"/>
        </w:rPr>
        <w:t>of</w:t>
      </w:r>
      <w:r>
        <w:rPr>
          <w:color w:val="231F20"/>
          <w:spacing w:val="36"/>
        </w:rPr>
        <w:t> </w:t>
      </w:r>
      <w:r>
        <w:rPr>
          <w:color w:val="231F20"/>
        </w:rPr>
        <w:t>$535</w:t>
      </w:r>
      <w:r>
        <w:rPr>
          <w:color w:val="231F20"/>
          <w:spacing w:val="37"/>
        </w:rPr>
        <w:t> </w:t>
      </w:r>
      <w:r>
        <w:rPr>
          <w:color w:val="231F20"/>
        </w:rPr>
        <w:t>million</w:t>
      </w:r>
      <w:r>
        <w:rPr>
          <w:color w:val="231F20"/>
          <w:spacing w:val="36"/>
        </w:rPr>
        <w:t> </w:t>
      </w:r>
      <w:r>
        <w:rPr>
          <w:color w:val="231F20"/>
        </w:rPr>
        <w:t>in</w:t>
      </w:r>
      <w:r>
        <w:rPr>
          <w:color w:val="231F20"/>
          <w:spacing w:val="36"/>
        </w:rPr>
        <w:t> </w:t>
      </w:r>
      <w:r>
        <w:rPr>
          <w:color w:val="231F20"/>
        </w:rPr>
        <w:t>cash</w:t>
      </w:r>
      <w:r>
        <w:rPr>
          <w:color w:val="231F20"/>
          <w:spacing w:val="37"/>
        </w:rPr>
        <w:t> </w:t>
      </w:r>
      <w:r>
        <w:rPr>
          <w:color w:val="231F20"/>
        </w:rPr>
        <w:t>collateral</w:t>
      </w:r>
      <w:r>
        <w:rPr>
          <w:color w:val="231F20"/>
          <w:spacing w:val="36"/>
        </w:rPr>
        <w:t> </w:t>
      </w:r>
      <w:r>
        <w:rPr>
          <w:color w:val="231F20"/>
        </w:rPr>
        <w:t>from</w:t>
      </w:r>
      <w:r>
        <w:rPr>
          <w:color w:val="231F20"/>
          <w:spacing w:val="35"/>
        </w:rPr>
        <w:t> </w:t>
      </w:r>
      <w:r>
        <w:rPr>
          <w:color w:val="231F20"/>
        </w:rPr>
        <w:t>derivative</w:t>
      </w:r>
      <w:r>
        <w:rPr>
          <w:color w:val="231F20"/>
          <w:spacing w:val="36"/>
        </w:rPr>
        <w:t> </w:t>
      </w:r>
      <w:r>
        <w:rPr>
          <w:color w:val="231F20"/>
        </w:rPr>
        <w:t>counterparties,</w:t>
      </w:r>
      <w:r>
        <w:rPr>
          <w:color w:val="231F20"/>
          <w:spacing w:val="36"/>
        </w:rPr>
        <w:t> </w:t>
      </w:r>
      <w:r>
        <w:rPr>
          <w:color w:val="231F20"/>
        </w:rPr>
        <w:t>compared</w:t>
      </w:r>
      <w:r>
        <w:rPr>
          <w:color w:val="231F20"/>
          <w:spacing w:val="36"/>
        </w:rPr>
        <w:t> </w:t>
      </w:r>
      <w:r>
        <w:rPr>
          <w:color w:val="231F20"/>
        </w:rPr>
        <w:t>with</w:t>
      </w:r>
      <w:r>
        <w:rPr>
          <w:color w:val="231F20"/>
          <w:spacing w:val="35"/>
        </w:rPr>
        <w:t> </w:t>
      </w:r>
      <w:r>
        <w:rPr>
          <w:color w:val="231F20"/>
        </w:rPr>
        <w:t>providing</w:t>
      </w:r>
    </w:p>
    <w:p>
      <w:pPr>
        <w:pStyle w:val="BodyText"/>
        <w:spacing w:line="247" w:lineRule="auto"/>
        <w:ind w:left="100" w:right="119"/>
        <w:jc w:val="both"/>
      </w:pPr>
      <w:r>
        <w:rPr>
          <w:color w:val="231F20"/>
        </w:rPr>
        <w:t>$570 million and $233 million in cash collateral to derivative counterparties in 2015 and 2014, respectively. Cash flows related to the purchase of derivatives utilized to offset a portion of the Company’s future fuel hedge positions prior to their settlement, as well as new fuel derivatives, which are also classified as Other, net, operating cash flows, were net outflows of $165 million in 2016, net outflows of $556 million in 2015, and net outflows of $247 million in 2014. Net cash provided by operating activities is primarily used to finance capital expenditures, repay debt, fund stock repurchases, pay dividends, and provide working</w:t>
      </w:r>
      <w:r>
        <w:rPr>
          <w:color w:val="231F20"/>
          <w:spacing w:val="-1"/>
        </w:rPr>
        <w:t> </w:t>
      </w:r>
      <w:r>
        <w:rPr>
          <w:color w:val="231F20"/>
        </w:rPr>
        <w:t>capital.</w:t>
      </w:r>
    </w:p>
    <w:p>
      <w:pPr>
        <w:pStyle w:val="BodyText"/>
        <w:spacing w:before="6"/>
      </w:pPr>
    </w:p>
    <w:p>
      <w:pPr>
        <w:pStyle w:val="BodyText"/>
        <w:ind w:left="100"/>
        <w:jc w:val="both"/>
      </w:pPr>
      <w:r>
        <w:rPr>
          <w:color w:val="231F20"/>
        </w:rPr>
        <w:t>Net cash used in investing activities for 2016, 2015, and 2014 was $2.3 billion, $1.9 billion, and</w:t>
      </w:r>
    </w:p>
    <w:p>
      <w:pPr>
        <w:pStyle w:val="BodyText"/>
        <w:spacing w:line="247" w:lineRule="auto" w:before="6"/>
        <w:ind w:left="100" w:right="117"/>
        <w:jc w:val="both"/>
      </w:pPr>
      <w:r>
        <w:rPr>
          <w:color w:val="231F20"/>
        </w:rPr>
        <w:t>$1.7 billion, respectively. Investing activities in 2016, 2015, and 2014 included payments for new aircraft delivered to the Company, progress payments for future aircraft deliveries, and purchases and sales of short-term and noncurrent investments, which fluctuate primarily based on anticipated working capital needs. Investing activities in 2016, 2015, and 2014 also included payments associated with airport construction projects, denoted as Assets constructed for others. See Note 4 to the Consolidated Financial Statements for further information. During 2016, the Company’s purchases and sales of short-term and noncurrent investments resulted in net cash used of $125 million, compared with net cash provided of $237 million and $105 million in 2015 and 2014, respectively. The Company currently estimates its 2017 capital expenditures will be approximately $2.3 billion.</w:t>
      </w:r>
    </w:p>
    <w:p>
      <w:pPr>
        <w:pStyle w:val="BodyText"/>
        <w:spacing w:before="5"/>
      </w:pPr>
    </w:p>
    <w:p>
      <w:pPr>
        <w:pStyle w:val="BodyText"/>
        <w:ind w:left="100"/>
        <w:jc w:val="both"/>
      </w:pPr>
      <w:r>
        <w:rPr>
          <w:color w:val="231F20"/>
        </w:rPr>
        <w:t>Net cash used in financing activities for 2016, 2015, and 2014 was $1.9 billion, $1.0 billion, and</w:t>
      </w:r>
    </w:p>
    <w:p>
      <w:pPr>
        <w:pStyle w:val="BodyText"/>
        <w:spacing w:line="247" w:lineRule="auto" w:before="6"/>
        <w:ind w:left="100" w:right="118"/>
        <w:jc w:val="both"/>
      </w:pPr>
      <w:r>
        <w:rPr>
          <w:color w:val="231F20"/>
        </w:rPr>
        <w:t>$1.2 billion, respectively. During 2016, the Company repaid $591 million in debt, convertible notes, and capital lease obligations, compared with $213 million and $561 million during 2015 and 2014, respectively. During 2016, the Company borrowed $215 million under a secured term loan agreement and, under its shelf registration statement, issued $300 million 3.00 percent senior unsecured notes due 2026, compared with the 2015 issuance of $500 million 2.65 percent senior unsecured notes due 2020 under  its  shelf  registration  statement,  and  the  2014  issuance  of  $300  million  2.75  percent senior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unsecured notes due 2019 under its shelf registration statement. See Note 6 to the Consolidated Financial Statements for further information. The Company repurchased approximately $1.8 billion of its outstanding common stock through authorized share repurchases during 2016, compared with repurchases of $1.2 billion and $955 million during 2015 and 2014, respectively. The Company also paid $222 million in dividends to Shareholders during 2016, compared with $180 million in 2015   and</w:t>
      </w:r>
    </w:p>
    <w:p>
      <w:pPr>
        <w:pStyle w:val="BodyText"/>
        <w:spacing w:line="247" w:lineRule="auto"/>
        <w:ind w:left="100" w:right="117"/>
        <w:jc w:val="both"/>
      </w:pPr>
      <w:r>
        <w:rPr>
          <w:color w:val="231F20"/>
        </w:rPr>
        <w:t>$139 million in 2014. Although the Company currently intends to continue paying dividends on a quarterly basis for the foreseeable future, the Company’s Board of Directors may change the timing, amount, and payment of dividends on the basis of results of operations, financial condition, cash requirements, future prospects, and other factors deemed relevant by the Board of Directors.</w:t>
      </w:r>
    </w:p>
    <w:p>
      <w:pPr>
        <w:pStyle w:val="BodyText"/>
        <w:spacing w:before="7"/>
        <w:rPr>
          <w:sz w:val="20"/>
        </w:rPr>
      </w:pPr>
    </w:p>
    <w:p>
      <w:pPr>
        <w:pStyle w:val="BodyText"/>
        <w:spacing w:line="247" w:lineRule="auto"/>
        <w:ind w:left="100" w:right="117"/>
        <w:jc w:val="both"/>
      </w:pPr>
      <w:r>
        <w:rPr>
          <w:color w:val="231F20"/>
        </w:rPr>
        <w:t>The Company is a “well-known seasoned issuer” and currently has an effective shelf registration statement registering an indeterminate amount of debt and equity securities for future sales. The Company currently intends to use the proceeds from any future securities sales off this shelf registration statement for general corporate</w:t>
      </w:r>
      <w:r>
        <w:rPr>
          <w:color w:val="231F20"/>
          <w:spacing w:val="-2"/>
        </w:rPr>
        <w:t> </w:t>
      </w:r>
      <w:r>
        <w:rPr>
          <w:color w:val="231F20"/>
        </w:rPr>
        <w:t>purposes.</w:t>
      </w:r>
    </w:p>
    <w:p>
      <w:pPr>
        <w:pStyle w:val="BodyText"/>
        <w:spacing w:before="6"/>
        <w:rPr>
          <w:sz w:val="20"/>
        </w:rPr>
      </w:pPr>
    </w:p>
    <w:p>
      <w:pPr>
        <w:pStyle w:val="BodyText"/>
        <w:spacing w:line="247" w:lineRule="auto"/>
        <w:ind w:left="100" w:right="117"/>
        <w:jc w:val="both"/>
      </w:pPr>
      <w:r>
        <w:rPr>
          <w:color w:val="231F20"/>
        </w:rPr>
        <w:t>The Company has access to a $1 billion unsecured revolving credit facility expiring in August 2021. The revolving credit agreement has an accordion feature that would allow the Company, subject to, among other things, the procurement of incremental commitments, to increase the size of the facility   to $1.5 billion. Interest on the facility is based on the Company’s credit ratings at the time of borrowing.</w:t>
      </w:r>
      <w:r>
        <w:rPr>
          <w:color w:val="231F20"/>
          <w:spacing w:val="41"/>
        </w:rPr>
        <w:t> </w:t>
      </w:r>
      <w:r>
        <w:rPr>
          <w:color w:val="231F20"/>
        </w:rPr>
        <w:t>At</w:t>
      </w:r>
      <w:r>
        <w:rPr>
          <w:color w:val="231F20"/>
          <w:spacing w:val="42"/>
        </w:rPr>
        <w:t> </w:t>
      </w:r>
      <w:r>
        <w:rPr>
          <w:color w:val="231F20"/>
        </w:rPr>
        <w:t>the</w:t>
      </w:r>
      <w:r>
        <w:rPr>
          <w:color w:val="231F20"/>
          <w:spacing w:val="42"/>
        </w:rPr>
        <w:t> </w:t>
      </w:r>
      <w:r>
        <w:rPr>
          <w:color w:val="231F20"/>
        </w:rPr>
        <w:t>Company’s</w:t>
      </w:r>
      <w:r>
        <w:rPr>
          <w:color w:val="231F20"/>
          <w:spacing w:val="42"/>
        </w:rPr>
        <w:t> </w:t>
      </w:r>
      <w:r>
        <w:rPr>
          <w:color w:val="231F20"/>
        </w:rPr>
        <w:t>current</w:t>
      </w:r>
      <w:r>
        <w:rPr>
          <w:color w:val="231F20"/>
          <w:spacing w:val="41"/>
        </w:rPr>
        <w:t> </w:t>
      </w:r>
      <w:r>
        <w:rPr>
          <w:color w:val="231F20"/>
        </w:rPr>
        <w:t>ratings,</w:t>
      </w:r>
      <w:r>
        <w:rPr>
          <w:color w:val="231F20"/>
          <w:spacing w:val="42"/>
        </w:rPr>
        <w:t> </w:t>
      </w:r>
      <w:r>
        <w:rPr>
          <w:color w:val="231F20"/>
        </w:rPr>
        <w:t>the</w:t>
      </w:r>
      <w:r>
        <w:rPr>
          <w:color w:val="231F20"/>
          <w:spacing w:val="42"/>
        </w:rPr>
        <w:t> </w:t>
      </w:r>
      <w:r>
        <w:rPr>
          <w:color w:val="231F20"/>
        </w:rPr>
        <w:t>interest</w:t>
      </w:r>
      <w:r>
        <w:rPr>
          <w:color w:val="231F20"/>
          <w:spacing w:val="42"/>
        </w:rPr>
        <w:t> </w:t>
      </w:r>
      <w:r>
        <w:rPr>
          <w:color w:val="231F20"/>
        </w:rPr>
        <w:t>cost</w:t>
      </w:r>
      <w:r>
        <w:rPr>
          <w:color w:val="231F20"/>
          <w:spacing w:val="42"/>
        </w:rPr>
        <w:t> </w:t>
      </w:r>
      <w:r>
        <w:rPr>
          <w:color w:val="231F20"/>
        </w:rPr>
        <w:t>would</w:t>
      </w:r>
      <w:r>
        <w:rPr>
          <w:color w:val="231F20"/>
          <w:spacing w:val="42"/>
        </w:rPr>
        <w:t> </w:t>
      </w:r>
      <w:r>
        <w:rPr>
          <w:color w:val="231F20"/>
        </w:rPr>
        <w:t>be</w:t>
      </w:r>
      <w:r>
        <w:rPr>
          <w:color w:val="231F20"/>
          <w:spacing w:val="42"/>
        </w:rPr>
        <w:t> </w:t>
      </w:r>
      <w:r>
        <w:rPr>
          <w:color w:val="231F20"/>
        </w:rPr>
        <w:t>LIBOR</w:t>
      </w:r>
      <w:r>
        <w:rPr>
          <w:color w:val="231F20"/>
          <w:spacing w:val="42"/>
        </w:rPr>
        <w:t> </w:t>
      </w:r>
      <w:r>
        <w:rPr>
          <w:color w:val="231F20"/>
        </w:rPr>
        <w:t>plus</w:t>
      </w:r>
      <w:r>
        <w:rPr>
          <w:color w:val="231F20"/>
          <w:spacing w:val="42"/>
        </w:rPr>
        <w:t> </w:t>
      </w:r>
      <w:r>
        <w:rPr>
          <w:color w:val="231F20"/>
        </w:rPr>
        <w:t>a</w:t>
      </w:r>
      <w:r>
        <w:rPr>
          <w:color w:val="231F20"/>
          <w:spacing w:val="42"/>
        </w:rPr>
        <w:t> </w:t>
      </w:r>
      <w:r>
        <w:rPr>
          <w:color w:val="231F20"/>
        </w:rPr>
        <w:t>spread</w:t>
      </w:r>
      <w:r>
        <w:rPr>
          <w:color w:val="231F20"/>
          <w:spacing w:val="42"/>
        </w:rPr>
        <w:t> </w:t>
      </w:r>
      <w:r>
        <w:rPr>
          <w:color w:val="231F20"/>
        </w:rPr>
        <w:t>of</w:t>
      </w:r>
    </w:p>
    <w:p>
      <w:pPr>
        <w:pStyle w:val="BodyText"/>
        <w:spacing w:line="247" w:lineRule="auto"/>
        <w:ind w:left="100" w:right="117"/>
        <w:jc w:val="both"/>
      </w:pPr>
      <w:r>
        <w:rPr>
          <w:color w:val="231F20"/>
        </w:rPr>
        <w:t>112.5 basis points. The facility contains a financial covenant requiring a minimum coverage ratio of adjusted pre-tax income to fixed obligations, as defined. As of December 31, 2016, the Company was in compliance with this covenant and there were no amounts outstanding under the revolving credit facility.</w:t>
      </w:r>
    </w:p>
    <w:p>
      <w:pPr>
        <w:pStyle w:val="BodyText"/>
        <w:spacing w:before="7"/>
        <w:rPr>
          <w:sz w:val="20"/>
        </w:rPr>
      </w:pPr>
    </w:p>
    <w:p>
      <w:pPr>
        <w:pStyle w:val="BodyText"/>
        <w:spacing w:line="247" w:lineRule="auto"/>
        <w:ind w:left="100" w:right="117"/>
        <w:jc w:val="both"/>
      </w:pPr>
      <w:r>
        <w:rPr>
          <w:color w:val="231F20"/>
        </w:rPr>
        <w:t>As of May 4, 2016, the Company completed its previously authorized $1.5 billion share repurchase program, bringing in a total of 37.3 million shares over the course of the program. On May 18, 2016, the Company’s Board of Directors approved a new $2.0 billion share repurchase program. Following the Board of Directors’ authorization of the Company’s new $2.0 billion share repurchase program, the Company entered into the following share repurchases:</w:t>
      </w:r>
    </w:p>
    <w:p>
      <w:pPr>
        <w:pStyle w:val="BodyText"/>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30"/>
        <w:gridCol w:w="400"/>
        <w:gridCol w:w="2007"/>
        <w:gridCol w:w="1783"/>
      </w:tblGrid>
      <w:tr>
        <w:trPr>
          <w:trHeight w:val="256" w:hRule="exact"/>
        </w:trPr>
        <w:tc>
          <w:tcPr>
            <w:tcW w:w="4930" w:type="dxa"/>
            <w:tcBorders>
              <w:bottom w:val="single" w:sz="8" w:space="0" w:color="231F20"/>
            </w:tcBorders>
          </w:tcPr>
          <w:p>
            <w:pPr>
              <w:pStyle w:val="TableParagraph"/>
              <w:spacing w:line="229" w:lineRule="exact" w:before="0"/>
              <w:rPr>
                <w:b/>
                <w:sz w:val="20"/>
              </w:rPr>
            </w:pPr>
            <w:r>
              <w:rPr>
                <w:b/>
                <w:color w:val="231F20"/>
                <w:sz w:val="20"/>
              </w:rPr>
              <w:t>Share repurchases</w:t>
            </w:r>
          </w:p>
        </w:tc>
        <w:tc>
          <w:tcPr>
            <w:tcW w:w="400" w:type="dxa"/>
          </w:tcPr>
          <w:p>
            <w:pPr/>
          </w:p>
        </w:tc>
        <w:tc>
          <w:tcPr>
            <w:tcW w:w="2007" w:type="dxa"/>
            <w:tcBorders>
              <w:bottom w:val="single" w:sz="8" w:space="0" w:color="231F20"/>
            </w:tcBorders>
          </w:tcPr>
          <w:p>
            <w:pPr>
              <w:pStyle w:val="TableParagraph"/>
              <w:spacing w:line="229" w:lineRule="exact" w:before="0"/>
              <w:ind w:left="200"/>
              <w:rPr>
                <w:b/>
                <w:sz w:val="20"/>
              </w:rPr>
            </w:pPr>
            <w:r>
              <w:rPr>
                <w:b/>
                <w:color w:val="231F20"/>
                <w:sz w:val="20"/>
              </w:rPr>
              <w:t>Shares received</w:t>
            </w:r>
          </w:p>
        </w:tc>
        <w:tc>
          <w:tcPr>
            <w:tcW w:w="1783" w:type="dxa"/>
            <w:tcBorders>
              <w:bottom w:val="single" w:sz="8" w:space="0" w:color="231F20"/>
            </w:tcBorders>
          </w:tcPr>
          <w:p>
            <w:pPr>
              <w:pStyle w:val="TableParagraph"/>
              <w:spacing w:line="229" w:lineRule="exact" w:before="0"/>
              <w:ind w:left="477"/>
              <w:rPr>
                <w:b/>
                <w:sz w:val="20"/>
              </w:rPr>
            </w:pPr>
            <w:r>
              <w:rPr>
                <w:b/>
                <w:color w:val="231F20"/>
                <w:sz w:val="20"/>
              </w:rPr>
              <w:t>Cash paid</w:t>
            </w:r>
          </w:p>
        </w:tc>
      </w:tr>
      <w:tr>
        <w:trPr>
          <w:trHeight w:val="310" w:hRule="exact"/>
        </w:trPr>
        <w:tc>
          <w:tcPr>
            <w:tcW w:w="4930" w:type="dxa"/>
            <w:tcBorders>
              <w:top w:val="single" w:sz="8" w:space="0" w:color="231F20"/>
            </w:tcBorders>
          </w:tcPr>
          <w:p>
            <w:pPr>
              <w:pStyle w:val="TableParagraph"/>
              <w:rPr>
                <w:sz w:val="20"/>
              </w:rPr>
            </w:pPr>
            <w:r>
              <w:rPr>
                <w:color w:val="231F20"/>
                <w:sz w:val="20"/>
              </w:rPr>
              <w:t>May 2016 Accelerated Share Repurchase Program</w:t>
            </w:r>
          </w:p>
        </w:tc>
        <w:tc>
          <w:tcPr>
            <w:tcW w:w="400" w:type="dxa"/>
          </w:tcPr>
          <w:p>
            <w:pPr/>
          </w:p>
        </w:tc>
        <w:tc>
          <w:tcPr>
            <w:tcW w:w="2007" w:type="dxa"/>
            <w:tcBorders>
              <w:top w:val="single" w:sz="8" w:space="0" w:color="231F20"/>
            </w:tcBorders>
          </w:tcPr>
          <w:p>
            <w:pPr>
              <w:pStyle w:val="TableParagraph"/>
              <w:ind w:left="840"/>
              <w:rPr>
                <w:sz w:val="20"/>
              </w:rPr>
            </w:pPr>
            <w:r>
              <w:rPr>
                <w:color w:val="231F20"/>
                <w:sz w:val="20"/>
              </w:rPr>
              <w:t>12,268,280</w:t>
            </w:r>
          </w:p>
        </w:tc>
        <w:tc>
          <w:tcPr>
            <w:tcW w:w="1783" w:type="dxa"/>
            <w:tcBorders>
              <w:top w:val="single" w:sz="8" w:space="0" w:color="231F20"/>
            </w:tcBorders>
          </w:tcPr>
          <w:p>
            <w:pPr>
              <w:pStyle w:val="TableParagraph"/>
              <w:tabs>
                <w:tab w:pos="749" w:val="left" w:leader="none"/>
              </w:tabs>
              <w:jc w:val="right"/>
              <w:rPr>
                <w:sz w:val="20"/>
              </w:rPr>
            </w:pPr>
            <w:r>
              <w:rPr>
                <w:color w:val="231F20"/>
                <w:sz w:val="20"/>
              </w:rPr>
              <w:t>$</w:t>
              <w:tab/>
              <w:t>500,000,000</w:t>
            </w:r>
          </w:p>
        </w:tc>
      </w:tr>
      <w:tr>
        <w:trPr>
          <w:trHeight w:val="300" w:hRule="exact"/>
        </w:trPr>
        <w:tc>
          <w:tcPr>
            <w:tcW w:w="4930" w:type="dxa"/>
            <w:shd w:val="clear" w:color="auto" w:fill="D1D3D4"/>
          </w:tcPr>
          <w:p>
            <w:pPr>
              <w:pStyle w:val="TableParagraph"/>
              <w:rPr>
                <w:sz w:val="20"/>
              </w:rPr>
            </w:pPr>
            <w:r>
              <w:rPr>
                <w:color w:val="231F20"/>
                <w:sz w:val="20"/>
              </w:rPr>
              <w:t>Third Quarter 2016 Accelerated Share Repurchase Program</w:t>
            </w:r>
          </w:p>
        </w:tc>
        <w:tc>
          <w:tcPr>
            <w:tcW w:w="400" w:type="dxa"/>
            <w:shd w:val="clear" w:color="auto" w:fill="D1D3D4"/>
          </w:tcPr>
          <w:p>
            <w:pPr/>
          </w:p>
        </w:tc>
        <w:tc>
          <w:tcPr>
            <w:tcW w:w="2007" w:type="dxa"/>
            <w:shd w:val="clear" w:color="auto" w:fill="D1D3D4"/>
          </w:tcPr>
          <w:p>
            <w:pPr>
              <w:pStyle w:val="TableParagraph"/>
              <w:ind w:left="940"/>
              <w:rPr>
                <w:sz w:val="20"/>
              </w:rPr>
            </w:pPr>
            <w:r>
              <w:rPr>
                <w:color w:val="231F20"/>
                <w:sz w:val="20"/>
              </w:rPr>
              <w:t>6,666,261</w:t>
            </w:r>
          </w:p>
        </w:tc>
        <w:tc>
          <w:tcPr>
            <w:tcW w:w="1783" w:type="dxa"/>
            <w:shd w:val="clear" w:color="auto" w:fill="D1D3D4"/>
          </w:tcPr>
          <w:p>
            <w:pPr>
              <w:pStyle w:val="TableParagraph"/>
              <w:jc w:val="right"/>
              <w:rPr>
                <w:sz w:val="20"/>
              </w:rPr>
            </w:pPr>
            <w:r>
              <w:rPr>
                <w:color w:val="231F20"/>
                <w:sz w:val="20"/>
              </w:rPr>
              <w:t>250,000,000</w:t>
            </w:r>
          </w:p>
        </w:tc>
      </w:tr>
      <w:tr>
        <w:trPr>
          <w:trHeight w:val="315" w:hRule="exact"/>
        </w:trPr>
        <w:tc>
          <w:tcPr>
            <w:tcW w:w="4930" w:type="dxa"/>
          </w:tcPr>
          <w:p>
            <w:pPr>
              <w:pStyle w:val="TableParagraph"/>
              <w:rPr>
                <w:sz w:val="20"/>
              </w:rPr>
            </w:pPr>
            <w:r>
              <w:rPr>
                <w:color w:val="231F20"/>
                <w:sz w:val="20"/>
              </w:rPr>
              <w:t>Fourth Quarter 2016 Accelerated Share Repurchase Program</w:t>
            </w:r>
          </w:p>
        </w:tc>
        <w:tc>
          <w:tcPr>
            <w:tcW w:w="400" w:type="dxa"/>
          </w:tcPr>
          <w:p>
            <w:pPr/>
          </w:p>
        </w:tc>
        <w:tc>
          <w:tcPr>
            <w:tcW w:w="2007" w:type="dxa"/>
            <w:tcBorders>
              <w:bottom w:val="single" w:sz="4" w:space="0" w:color="231F20"/>
            </w:tcBorders>
          </w:tcPr>
          <w:p>
            <w:pPr>
              <w:pStyle w:val="TableParagraph"/>
              <w:ind w:left="890"/>
              <w:rPr>
                <w:sz w:val="20"/>
              </w:rPr>
            </w:pPr>
            <w:r>
              <w:rPr>
                <w:color w:val="231F20"/>
                <w:sz w:val="20"/>
              </w:rPr>
              <w:t>4,723,420 (1)</w:t>
            </w:r>
          </w:p>
        </w:tc>
        <w:tc>
          <w:tcPr>
            <w:tcW w:w="1783" w:type="dxa"/>
            <w:tcBorders>
              <w:bottom w:val="single" w:sz="4" w:space="0" w:color="231F20"/>
            </w:tcBorders>
          </w:tcPr>
          <w:p>
            <w:pPr>
              <w:pStyle w:val="TableParagraph"/>
              <w:jc w:val="right"/>
              <w:rPr>
                <w:sz w:val="20"/>
              </w:rPr>
            </w:pPr>
            <w:r>
              <w:rPr>
                <w:color w:val="231F20"/>
                <w:sz w:val="20"/>
              </w:rPr>
              <w:t>300,000,000</w:t>
            </w:r>
          </w:p>
        </w:tc>
      </w:tr>
      <w:tr>
        <w:trPr>
          <w:trHeight w:val="360" w:hRule="exact"/>
        </w:trPr>
        <w:tc>
          <w:tcPr>
            <w:tcW w:w="4930" w:type="dxa"/>
            <w:shd w:val="clear" w:color="auto" w:fill="D1D3D4"/>
          </w:tcPr>
          <w:p>
            <w:pPr>
              <w:pStyle w:val="TableParagraph"/>
              <w:rPr>
                <w:sz w:val="20"/>
              </w:rPr>
            </w:pPr>
            <w:r>
              <w:rPr>
                <w:color w:val="231F20"/>
                <w:sz w:val="20"/>
              </w:rPr>
              <w:t>Total</w:t>
            </w:r>
          </w:p>
        </w:tc>
        <w:tc>
          <w:tcPr>
            <w:tcW w:w="400" w:type="dxa"/>
            <w:shd w:val="clear" w:color="auto" w:fill="D1D3D4"/>
          </w:tcPr>
          <w:p>
            <w:pPr/>
          </w:p>
        </w:tc>
        <w:tc>
          <w:tcPr>
            <w:tcW w:w="2007" w:type="dxa"/>
            <w:tcBorders>
              <w:top w:val="single" w:sz="4" w:space="0" w:color="231F20"/>
              <w:bottom w:val="single" w:sz="4" w:space="0" w:color="231F20"/>
            </w:tcBorders>
            <w:shd w:val="clear" w:color="auto" w:fill="D1D3D4"/>
          </w:tcPr>
          <w:p>
            <w:pPr>
              <w:pStyle w:val="TableParagraph"/>
              <w:ind w:left="840"/>
              <w:rPr>
                <w:sz w:val="20"/>
              </w:rPr>
            </w:pPr>
            <w:r>
              <w:rPr>
                <w:color w:val="231F20"/>
                <w:sz w:val="20"/>
              </w:rPr>
              <w:t>23,657,961</w:t>
            </w:r>
          </w:p>
        </w:tc>
        <w:tc>
          <w:tcPr>
            <w:tcW w:w="1783" w:type="dxa"/>
            <w:tcBorders>
              <w:top w:val="single" w:sz="4" w:space="0" w:color="231F20"/>
              <w:bottom w:val="single" w:sz="4" w:space="0" w:color="231F20"/>
            </w:tcBorders>
            <w:shd w:val="clear" w:color="auto" w:fill="D1D3D4"/>
          </w:tcPr>
          <w:p>
            <w:pPr>
              <w:pStyle w:val="TableParagraph"/>
              <w:tabs>
                <w:tab w:pos="599" w:val="left" w:leader="none"/>
              </w:tabs>
              <w:spacing w:before="48"/>
              <w:jc w:val="right"/>
              <w:rPr>
                <w:sz w:val="20"/>
              </w:rPr>
            </w:pPr>
            <w:r>
              <w:rPr>
                <w:color w:val="231F20"/>
                <w:sz w:val="20"/>
              </w:rPr>
              <w:t>$</w:t>
              <w:tab/>
              <w:t>1,050,000,000</w:t>
            </w:r>
          </w:p>
        </w:tc>
      </w:tr>
    </w:tbl>
    <w:p>
      <w:pPr>
        <w:pStyle w:val="BodyText"/>
        <w:spacing w:before="9"/>
        <w:rPr>
          <w:sz w:val="24"/>
        </w:rPr>
      </w:pPr>
    </w:p>
    <w:p>
      <w:pPr>
        <w:spacing w:line="249" w:lineRule="auto" w:before="0"/>
        <w:ind w:left="100" w:right="118" w:firstLine="0"/>
        <w:jc w:val="both"/>
        <w:rPr>
          <w:sz w:val="20"/>
        </w:rPr>
      </w:pPr>
      <w:r>
        <w:rPr/>
        <w:pict>
          <v:line style="position:absolute;mso-position-horizontal-relative:page;mso-position-vertical-relative:paragraph;z-index:-376504" from="335.5pt,-16.764063pt" to="422.5pt,-16.764063pt" stroked="true" strokeweight=".5pt" strokecolor="#231f20">
            <v:stroke dashstyle="solid"/>
            <w10:wrap type="none"/>
          </v:line>
        </w:pict>
      </w:r>
      <w:r>
        <w:rPr>
          <w:color w:val="231F20"/>
          <w:sz w:val="20"/>
        </w:rPr>
        <w:t>(1) This represents an estimated 75 percent of shares to be purchased by the Company under the Fourth Quarter 2016 Accelerated Share Repurchase Program. The specific number of shares that the Company ultimately will repurchase under the Fourth Quarter 2016 Accelerated Share Repurchase Program will be determined based generally on a discount to the volume-weighted average price per share of the Company’s common stock during  a calculation period to be completed in February</w:t>
      </w:r>
      <w:r>
        <w:rPr>
          <w:color w:val="231F20"/>
          <w:spacing w:val="5"/>
          <w:sz w:val="20"/>
        </w:rPr>
        <w:t> </w:t>
      </w:r>
      <w:r>
        <w:rPr>
          <w:color w:val="231F20"/>
          <w:sz w:val="20"/>
        </w:rPr>
        <w:t>2017.</w:t>
      </w:r>
    </w:p>
    <w:p>
      <w:pPr>
        <w:pStyle w:val="BodyText"/>
        <w:spacing w:before="9"/>
        <w:rPr>
          <w:sz w:val="20"/>
        </w:rPr>
      </w:pPr>
    </w:p>
    <w:p>
      <w:pPr>
        <w:pStyle w:val="BodyText"/>
        <w:spacing w:line="247" w:lineRule="auto"/>
        <w:ind w:left="100" w:right="117"/>
        <w:jc w:val="both"/>
      </w:pPr>
      <w:r>
        <w:rPr>
          <w:color w:val="231F20"/>
        </w:rPr>
        <w:t>The Company maintained its investment grade credit ratings of “Baa1” with Moody’s, “BBB+” with Fitch, and “BBB” with Standard &amp; Poor’s.</w:t>
      </w:r>
    </w:p>
    <w:p>
      <w:pPr>
        <w:pStyle w:val="BodyText"/>
        <w:spacing w:before="6"/>
        <w:rPr>
          <w:sz w:val="20"/>
        </w:rPr>
      </w:pPr>
    </w:p>
    <w:p>
      <w:pPr>
        <w:pStyle w:val="BodyText"/>
        <w:spacing w:line="247" w:lineRule="auto"/>
        <w:ind w:left="100" w:right="117"/>
        <w:jc w:val="both"/>
      </w:pPr>
      <w:r>
        <w:rPr>
          <w:color w:val="231F20"/>
        </w:rPr>
        <w:t>The Company has a large net deferred tax liability on its Consolidated Balance Sheet. The deferral of income taxes has resulted in a significant benefit to the Company and its liquidity position. Since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Company purchases the majority of the aircraft it acquires, it has been able to utilize accelerated depreciation methods (including bonus depreciation) available under the Internal Revenue Code of 1986, as amended, in 2016 and in previous years, which has enabled the Company to defer the cash tax payments associated with these depreciable assets to future years. Based on the Company’s scheduled future aircraft deliveries from Boeing and existing tax laws in effect, the Company will continue to defer a portion of cash income taxes to future years. The Company has paid in the past, and will continue to pay in the future, significant cash taxes to the various taxing jurisdictions where it operates. The Company expects to be able to continue to meet such obligations utilizing cash and investments on hand, as well as cash generated from its ongoing operations.</w:t>
      </w:r>
    </w:p>
    <w:p>
      <w:pPr>
        <w:pStyle w:val="BodyText"/>
        <w:spacing w:before="9"/>
        <w:rPr>
          <w:sz w:val="20"/>
        </w:rPr>
      </w:pPr>
    </w:p>
    <w:p>
      <w:pPr>
        <w:pStyle w:val="Heading1"/>
        <w:spacing w:line="247" w:lineRule="auto"/>
        <w:ind w:right="335"/>
        <w:jc w:val="left"/>
      </w:pPr>
      <w:r>
        <w:rPr>
          <w:color w:val="231F20"/>
        </w:rPr>
        <w:t>Off-Balance Sheet Arrangements, Contractual Obligations, and Contingent Liabilities and Commitments</w:t>
      </w:r>
    </w:p>
    <w:p>
      <w:pPr>
        <w:pStyle w:val="BodyText"/>
        <w:spacing w:before="9"/>
        <w:rPr>
          <w:b/>
          <w:sz w:val="20"/>
        </w:rPr>
      </w:pPr>
    </w:p>
    <w:p>
      <w:pPr>
        <w:pStyle w:val="BodyText"/>
        <w:spacing w:line="247" w:lineRule="auto"/>
        <w:ind w:left="100" w:right="117"/>
        <w:jc w:val="both"/>
      </w:pPr>
      <w:r>
        <w:rPr>
          <w:color w:val="231F20"/>
        </w:rPr>
        <w:t>The Company has contractual obligations and commitments primarily with regard to future purchases of aircraft, payment of debt, and lease arrangements. During second quarter 2016, the Company  revised its future firm aircraft order book. Firm deliveries previously scheduled between 2019 and  2022 were deferred to 2023 through 2025 in the restructured order book. This resulted in a $1.9 billion deferral of capital spending beyond 2020. During 2016, the Company also exercised nine 737-800 options for 2018.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 See Note 4 to the Consolidated Financial Statements for a complete table of the Company’s firm deliveries and  options  for  Boeing  737-700,  737-800,  737-7,  and  737-8</w:t>
      </w:r>
      <w:r>
        <w:rPr>
          <w:color w:val="231F20"/>
          <w:spacing w:val="-1"/>
        </w:rPr>
        <w:t> </w:t>
      </w:r>
      <w:r>
        <w:rPr>
          <w:color w:val="231F20"/>
        </w:rPr>
        <w:t>aircraft.</w:t>
      </w:r>
    </w:p>
    <w:p>
      <w:pPr>
        <w:pStyle w:val="BodyText"/>
        <w:spacing w:before="9"/>
        <w:rPr>
          <w:sz w:val="20"/>
        </w:rPr>
      </w:pPr>
    </w:p>
    <w:p>
      <w:pPr>
        <w:pStyle w:val="BodyText"/>
        <w:spacing w:line="247" w:lineRule="auto"/>
        <w:ind w:left="100" w:right="117"/>
        <w:jc w:val="both"/>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guarantees to the lessors regarding the residual value (or market value) of the aircraft at the end of the lease terms. As of December 31, 2016, the Company had 212 leased aircraft, including       78  B717s  subleased  to  Delta.  Of  these  leased  aircraft,  159  are  under  operating  leases,</w:t>
      </w:r>
      <w:r>
        <w:rPr>
          <w:color w:val="231F20"/>
          <w:spacing w:val="22"/>
        </w:rPr>
        <w:t> </w:t>
      </w:r>
      <w:r>
        <w:rPr>
          <w:color w:val="231F20"/>
        </w:rPr>
        <w:t>including</w:t>
      </w:r>
    </w:p>
    <w:p>
      <w:pPr>
        <w:pStyle w:val="BodyText"/>
        <w:spacing w:line="247" w:lineRule="auto"/>
        <w:ind w:left="100" w:right="117"/>
        <w:jc w:val="both"/>
      </w:pPr>
      <w:r>
        <w:rPr>
          <w:color w:val="231F20"/>
        </w:rPr>
        <w:t>76 B717s subleased to Delta. See Note 7 to the Consolidated Financial Statements for further information on this transaction. Assets and obligations under operating leases are not included in the Company’s Consolidated Balance Sheet. Disclosure of the contractual obligations associated with the Company’s leased aircraft is included below.</w:t>
      </w:r>
    </w:p>
    <w:p>
      <w:pPr>
        <w:pStyle w:val="BodyText"/>
        <w:spacing w:before="10"/>
        <w:rPr>
          <w:sz w:val="20"/>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and may choose to provide letters of credit in place of posting cash collateral related to its fuel hedging positions. Although the letters of credit are off-balance sheet, the majority of the obligations to which they relate are reflected as liabilities in the Consolidated Balance Sheet. Outstanding letters of credit totaled $179 million at December 31, 2016.</w:t>
      </w:r>
    </w:p>
    <w:p>
      <w:pPr>
        <w:spacing w:after="0" w:line="247" w:lineRule="auto"/>
        <w:jc w:val="both"/>
        <w:sectPr>
          <w:pgSz w:w="11880" w:h="15480"/>
          <w:pgMar w:header="0" w:footer="1240" w:top="1240" w:bottom="1420" w:left="1280" w:right="1260"/>
        </w:sectPr>
      </w:pPr>
    </w:p>
    <w:p>
      <w:pPr>
        <w:pStyle w:val="BodyText"/>
        <w:spacing w:line="247" w:lineRule="auto" w:before="74"/>
        <w:ind w:left="120"/>
      </w:pPr>
      <w:r>
        <w:rPr>
          <w:color w:val="231F20"/>
        </w:rPr>
        <w:t>The following table aggregates the Company’s material expected contractual obligations and commitments as of December 31, 2016:</w:t>
      </w:r>
    </w:p>
    <w:p>
      <w:pPr>
        <w:spacing w:before="188" w:after="26"/>
        <w:ind w:left="4690" w:right="0" w:firstLine="0"/>
        <w:jc w:val="left"/>
        <w:rPr>
          <w:b/>
          <w:sz w:val="20"/>
        </w:rPr>
      </w:pPr>
      <w:r>
        <w:rPr/>
        <w:pict>
          <v:line style="position:absolute;mso-position-horizontal-relative:page;mso-position-vertical-relative:paragraph;z-index:-376480" from="69pt,36.235950pt" to="207pt,36.235950pt" stroked="true" strokeweight="1pt" strokecolor="#231f20">
            <v:stroke dashstyle="solid"/>
            <w10:wrap type="none"/>
          </v:line>
        </w:pict>
      </w:r>
      <w:r>
        <w:rPr>
          <w:b/>
          <w:color w:val="231F20"/>
          <w:sz w:val="20"/>
        </w:rPr>
        <w:t>Obligations by period (in millions)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60"/>
        <w:gridCol w:w="200"/>
        <w:gridCol w:w="1080"/>
        <w:gridCol w:w="200"/>
        <w:gridCol w:w="1080"/>
        <w:gridCol w:w="200"/>
        <w:gridCol w:w="1080"/>
        <w:gridCol w:w="200"/>
        <w:gridCol w:w="1080"/>
        <w:gridCol w:w="200"/>
        <w:gridCol w:w="1040"/>
      </w:tblGrid>
      <w:tr>
        <w:trPr>
          <w:trHeight w:val="280" w:hRule="exact"/>
        </w:trPr>
        <w:tc>
          <w:tcPr>
            <w:tcW w:w="2760" w:type="dxa"/>
          </w:tcPr>
          <w:p>
            <w:pPr>
              <w:pStyle w:val="TableParagraph"/>
              <w:spacing w:before="23"/>
              <w:ind w:left="60"/>
              <w:rPr>
                <w:b/>
                <w:sz w:val="20"/>
              </w:rPr>
            </w:pPr>
            <w:r>
              <w:rPr>
                <w:b/>
                <w:color w:val="231F20"/>
                <w:sz w:val="20"/>
              </w:rPr>
              <w:t>Contractual obligations</w:t>
            </w:r>
          </w:p>
        </w:tc>
        <w:tc>
          <w:tcPr>
            <w:tcW w:w="200" w:type="dxa"/>
          </w:tcPr>
          <w:p>
            <w:pPr/>
          </w:p>
        </w:tc>
        <w:tc>
          <w:tcPr>
            <w:tcW w:w="1080" w:type="dxa"/>
            <w:tcBorders>
              <w:top w:val="single" w:sz="8" w:space="0" w:color="231F20"/>
              <w:bottom w:val="single" w:sz="8" w:space="0" w:color="231F20"/>
            </w:tcBorders>
          </w:tcPr>
          <w:p>
            <w:pPr>
              <w:pStyle w:val="TableParagraph"/>
              <w:spacing w:before="13"/>
              <w:ind w:left="340"/>
              <w:rPr>
                <w:b/>
                <w:sz w:val="20"/>
              </w:rPr>
            </w:pPr>
            <w:r>
              <w:rPr>
                <w:b/>
                <w:color w:val="231F20"/>
                <w:sz w:val="20"/>
              </w:rPr>
              <w:t>2017</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2018 - 2019</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55"/>
              <w:jc w:val="right"/>
              <w:rPr>
                <w:b/>
                <w:sz w:val="20"/>
              </w:rPr>
            </w:pPr>
            <w:r>
              <w:rPr>
                <w:b/>
                <w:color w:val="231F20"/>
                <w:sz w:val="20"/>
              </w:rPr>
              <w:t>2020 - 2021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3"/>
              <w:ind w:right="77"/>
              <w:jc w:val="right"/>
              <w:rPr>
                <w:b/>
                <w:sz w:val="20"/>
              </w:rPr>
            </w:pPr>
            <w:r>
              <w:rPr>
                <w:b/>
                <w:color w:val="231F20"/>
                <w:sz w:val="20"/>
              </w:rPr>
              <w:t>Thereafter</w:t>
            </w:r>
          </w:p>
        </w:tc>
        <w:tc>
          <w:tcPr>
            <w:tcW w:w="200" w:type="dxa"/>
            <w:tcBorders>
              <w:top w:val="single" w:sz="8" w:space="0" w:color="231F20"/>
            </w:tcBorders>
          </w:tcPr>
          <w:p>
            <w:pPr/>
          </w:p>
        </w:tc>
        <w:tc>
          <w:tcPr>
            <w:tcW w:w="1040" w:type="dxa"/>
            <w:tcBorders>
              <w:top w:val="single" w:sz="8" w:space="0" w:color="231F20"/>
              <w:bottom w:val="single" w:sz="8" w:space="0" w:color="231F20"/>
            </w:tcBorders>
          </w:tcPr>
          <w:p>
            <w:pPr>
              <w:pStyle w:val="TableParagraph"/>
              <w:spacing w:before="13"/>
              <w:ind w:left="292"/>
              <w:rPr>
                <w:b/>
                <w:sz w:val="20"/>
              </w:rPr>
            </w:pPr>
            <w:r>
              <w:rPr>
                <w:b/>
                <w:color w:val="231F20"/>
                <w:sz w:val="20"/>
              </w:rPr>
              <w:t>Total</w:t>
            </w:r>
          </w:p>
        </w:tc>
      </w:tr>
      <w:tr>
        <w:trPr>
          <w:trHeight w:val="300" w:hRule="exact"/>
        </w:trPr>
        <w:tc>
          <w:tcPr>
            <w:tcW w:w="2760" w:type="dxa"/>
            <w:shd w:val="clear" w:color="auto" w:fill="D1D3D4"/>
          </w:tcPr>
          <w:p>
            <w:pPr>
              <w:pStyle w:val="TableParagraph"/>
              <w:spacing w:before="33"/>
              <w:ind w:left="60"/>
              <w:rPr>
                <w:sz w:val="20"/>
              </w:rPr>
            </w:pPr>
            <w:r>
              <w:rPr>
                <w:color w:val="231F20"/>
                <w:sz w:val="20"/>
              </w:rPr>
              <w:t>Long-term debt (1)</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497</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777</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823</w:t>
            </w:r>
          </w:p>
        </w:tc>
        <w:tc>
          <w:tcPr>
            <w:tcW w:w="200" w:type="dxa"/>
            <w:shd w:val="clear" w:color="auto" w:fill="D1D3D4"/>
          </w:tcPr>
          <w:p>
            <w:pPr/>
          </w:p>
        </w:tc>
        <w:tc>
          <w:tcPr>
            <w:tcW w:w="1080" w:type="dxa"/>
            <w:tcBorders>
              <w:top w:val="single" w:sz="8" w:space="0" w:color="231F20"/>
            </w:tcBorders>
            <w:shd w:val="clear" w:color="auto" w:fill="D1D3D4"/>
          </w:tcPr>
          <w:p>
            <w:pPr>
              <w:pStyle w:val="TableParagraph"/>
              <w:tabs>
                <w:tab w:pos="705" w:val="left" w:leader="none"/>
              </w:tabs>
              <w:spacing w:before="43"/>
              <w:ind w:right="78"/>
              <w:jc w:val="right"/>
              <w:rPr>
                <w:sz w:val="20"/>
              </w:rPr>
            </w:pPr>
            <w:r>
              <w:rPr>
                <w:color w:val="231F20"/>
                <w:sz w:val="20"/>
              </w:rPr>
              <w:t>$</w:t>
              <w:tab/>
            </w:r>
            <w:r>
              <w:rPr>
                <w:color w:val="231F20"/>
                <w:w w:val="95"/>
                <w:sz w:val="20"/>
              </w:rPr>
              <w:t>611</w:t>
            </w:r>
          </w:p>
        </w:tc>
        <w:tc>
          <w:tcPr>
            <w:tcW w:w="200" w:type="dxa"/>
            <w:shd w:val="clear" w:color="auto" w:fill="D1D3D4"/>
          </w:tcPr>
          <w:p>
            <w:pPr/>
          </w:p>
        </w:tc>
        <w:tc>
          <w:tcPr>
            <w:tcW w:w="1040" w:type="dxa"/>
            <w:tcBorders>
              <w:top w:val="single" w:sz="8" w:space="0" w:color="231F20"/>
            </w:tcBorders>
            <w:shd w:val="clear" w:color="auto" w:fill="D1D3D4"/>
          </w:tcPr>
          <w:p>
            <w:pPr>
              <w:pStyle w:val="TableParagraph"/>
              <w:tabs>
                <w:tab w:pos="518" w:val="left" w:leader="none"/>
              </w:tabs>
              <w:spacing w:before="43"/>
              <w:ind w:right="78"/>
              <w:jc w:val="right"/>
              <w:rPr>
                <w:sz w:val="20"/>
              </w:rPr>
            </w:pPr>
            <w:r>
              <w:rPr>
                <w:color w:val="231F20"/>
                <w:sz w:val="20"/>
              </w:rPr>
              <w:t>$</w:t>
              <w:tab/>
            </w:r>
            <w:r>
              <w:rPr>
                <w:color w:val="231F20"/>
                <w:w w:val="95"/>
                <w:sz w:val="20"/>
              </w:rPr>
              <w:t>2,708</w:t>
            </w:r>
          </w:p>
        </w:tc>
      </w:tr>
      <w:tr>
        <w:trPr>
          <w:trHeight w:val="290" w:hRule="exact"/>
        </w:trPr>
        <w:tc>
          <w:tcPr>
            <w:tcW w:w="2760" w:type="dxa"/>
          </w:tcPr>
          <w:p>
            <w:pPr>
              <w:pStyle w:val="TableParagraph"/>
              <w:spacing w:before="33"/>
              <w:ind w:left="60"/>
              <w:rPr>
                <w:sz w:val="20"/>
              </w:rPr>
            </w:pPr>
            <w:r>
              <w:rPr>
                <w:color w:val="231F20"/>
                <w:sz w:val="20"/>
              </w:rPr>
              <w:t>Interest commitments - fixed (2)</w:t>
            </w:r>
          </w:p>
        </w:tc>
        <w:tc>
          <w:tcPr>
            <w:tcW w:w="200" w:type="dxa"/>
          </w:tcPr>
          <w:p>
            <w:pPr/>
          </w:p>
        </w:tc>
        <w:tc>
          <w:tcPr>
            <w:tcW w:w="1080" w:type="dxa"/>
          </w:tcPr>
          <w:p>
            <w:pPr>
              <w:pStyle w:val="TableParagraph"/>
              <w:spacing w:before="43"/>
              <w:ind w:right="79"/>
              <w:jc w:val="right"/>
              <w:rPr>
                <w:sz w:val="20"/>
              </w:rPr>
            </w:pPr>
            <w:r>
              <w:rPr>
                <w:color w:val="231F20"/>
                <w:w w:val="95"/>
                <w:sz w:val="20"/>
              </w:rPr>
              <w:t>79</w:t>
            </w:r>
          </w:p>
        </w:tc>
        <w:tc>
          <w:tcPr>
            <w:tcW w:w="200" w:type="dxa"/>
          </w:tcPr>
          <w:p>
            <w:pPr/>
          </w:p>
        </w:tc>
        <w:tc>
          <w:tcPr>
            <w:tcW w:w="1080" w:type="dxa"/>
          </w:tcPr>
          <w:p>
            <w:pPr>
              <w:pStyle w:val="TableParagraph"/>
              <w:spacing w:before="43"/>
              <w:ind w:right="79"/>
              <w:jc w:val="right"/>
              <w:rPr>
                <w:sz w:val="20"/>
              </w:rPr>
            </w:pPr>
            <w:r>
              <w:rPr>
                <w:color w:val="231F20"/>
                <w:w w:val="95"/>
                <w:sz w:val="20"/>
              </w:rPr>
              <w:t>105</w:t>
            </w:r>
          </w:p>
        </w:tc>
        <w:tc>
          <w:tcPr>
            <w:tcW w:w="200" w:type="dxa"/>
          </w:tcPr>
          <w:p>
            <w:pPr/>
          </w:p>
        </w:tc>
        <w:tc>
          <w:tcPr>
            <w:tcW w:w="1080" w:type="dxa"/>
          </w:tcPr>
          <w:p>
            <w:pPr>
              <w:pStyle w:val="TableParagraph"/>
              <w:spacing w:before="43"/>
              <w:ind w:right="79"/>
              <w:jc w:val="right"/>
              <w:rPr>
                <w:sz w:val="20"/>
              </w:rPr>
            </w:pPr>
            <w:r>
              <w:rPr>
                <w:color w:val="231F20"/>
                <w:w w:val="95"/>
                <w:sz w:val="20"/>
              </w:rPr>
              <w:t>58</w:t>
            </w:r>
          </w:p>
        </w:tc>
        <w:tc>
          <w:tcPr>
            <w:tcW w:w="200" w:type="dxa"/>
          </w:tcPr>
          <w:p>
            <w:pPr/>
          </w:p>
        </w:tc>
        <w:tc>
          <w:tcPr>
            <w:tcW w:w="1080" w:type="dxa"/>
          </w:tcPr>
          <w:p>
            <w:pPr>
              <w:pStyle w:val="TableParagraph"/>
              <w:spacing w:before="43"/>
              <w:ind w:right="79"/>
              <w:jc w:val="right"/>
              <w:rPr>
                <w:sz w:val="20"/>
              </w:rPr>
            </w:pPr>
            <w:r>
              <w:rPr>
                <w:color w:val="231F20"/>
                <w:w w:val="95"/>
                <w:sz w:val="20"/>
              </w:rPr>
              <w:t>89</w:t>
            </w:r>
          </w:p>
        </w:tc>
        <w:tc>
          <w:tcPr>
            <w:tcW w:w="200" w:type="dxa"/>
          </w:tcPr>
          <w:p>
            <w:pPr/>
          </w:p>
        </w:tc>
        <w:tc>
          <w:tcPr>
            <w:tcW w:w="1040" w:type="dxa"/>
          </w:tcPr>
          <w:p>
            <w:pPr>
              <w:pStyle w:val="TableParagraph"/>
              <w:spacing w:before="43"/>
              <w:ind w:right="78"/>
              <w:jc w:val="right"/>
              <w:rPr>
                <w:sz w:val="20"/>
              </w:rPr>
            </w:pPr>
            <w:r>
              <w:rPr>
                <w:color w:val="231F20"/>
                <w:w w:val="95"/>
                <w:sz w:val="20"/>
              </w:rPr>
              <w:t>331</w:t>
            </w:r>
          </w:p>
        </w:tc>
      </w:tr>
      <w:tr>
        <w:trPr>
          <w:trHeight w:val="290" w:hRule="exact"/>
        </w:trPr>
        <w:tc>
          <w:tcPr>
            <w:tcW w:w="2760" w:type="dxa"/>
            <w:shd w:val="clear" w:color="auto" w:fill="D1D3D4"/>
          </w:tcPr>
          <w:p>
            <w:pPr>
              <w:pStyle w:val="TableParagraph"/>
              <w:spacing w:before="33"/>
              <w:ind w:left="60"/>
              <w:rPr>
                <w:sz w:val="20"/>
              </w:rPr>
            </w:pPr>
            <w:r>
              <w:rPr>
                <w:color w:val="231F20"/>
                <w:spacing w:val="-3"/>
                <w:sz w:val="20"/>
              </w:rPr>
              <w:t>Interest</w:t>
            </w:r>
            <w:r>
              <w:rPr>
                <w:color w:val="231F20"/>
                <w:spacing w:val="-17"/>
                <w:sz w:val="20"/>
              </w:rPr>
              <w:t> </w:t>
            </w:r>
            <w:r>
              <w:rPr>
                <w:color w:val="231F20"/>
                <w:spacing w:val="-3"/>
                <w:sz w:val="20"/>
              </w:rPr>
              <w:t>commitments</w:t>
            </w:r>
            <w:r>
              <w:rPr>
                <w:color w:val="231F20"/>
                <w:spacing w:val="-17"/>
                <w:sz w:val="20"/>
              </w:rPr>
              <w:t> </w:t>
            </w:r>
            <w:r>
              <w:rPr>
                <w:color w:val="231F20"/>
                <w:sz w:val="20"/>
              </w:rPr>
              <w:t>-</w:t>
            </w:r>
            <w:r>
              <w:rPr>
                <w:color w:val="231F20"/>
                <w:spacing w:val="-17"/>
                <w:sz w:val="20"/>
              </w:rPr>
              <w:t> </w:t>
            </w:r>
            <w:r>
              <w:rPr>
                <w:color w:val="231F20"/>
                <w:spacing w:val="-3"/>
                <w:sz w:val="20"/>
              </w:rPr>
              <w:t>floating</w:t>
            </w:r>
            <w:r>
              <w:rPr>
                <w:color w:val="231F20"/>
                <w:spacing w:val="-16"/>
                <w:sz w:val="20"/>
              </w:rPr>
              <w:t> </w:t>
            </w:r>
            <w:r>
              <w:rPr>
                <w:color w:val="231F20"/>
                <w:spacing w:val="-3"/>
                <w:sz w:val="20"/>
              </w:rPr>
              <w:t>(3)</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26</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63</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30</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18</w:t>
            </w:r>
          </w:p>
        </w:tc>
        <w:tc>
          <w:tcPr>
            <w:tcW w:w="200" w:type="dxa"/>
            <w:shd w:val="clear" w:color="auto" w:fill="D1D3D4"/>
          </w:tcPr>
          <w:p>
            <w:pPr/>
          </w:p>
        </w:tc>
        <w:tc>
          <w:tcPr>
            <w:tcW w:w="1040" w:type="dxa"/>
            <w:shd w:val="clear" w:color="auto" w:fill="D1D3D4"/>
          </w:tcPr>
          <w:p>
            <w:pPr>
              <w:pStyle w:val="TableParagraph"/>
              <w:spacing w:before="43"/>
              <w:ind w:right="78"/>
              <w:jc w:val="right"/>
              <w:rPr>
                <w:sz w:val="20"/>
              </w:rPr>
            </w:pPr>
            <w:r>
              <w:rPr>
                <w:color w:val="231F20"/>
                <w:w w:val="95"/>
                <w:sz w:val="20"/>
              </w:rPr>
              <w:t>137</w:t>
            </w:r>
          </w:p>
        </w:tc>
      </w:tr>
      <w:tr>
        <w:trPr>
          <w:trHeight w:val="290" w:hRule="exact"/>
        </w:trPr>
        <w:tc>
          <w:tcPr>
            <w:tcW w:w="2760" w:type="dxa"/>
          </w:tcPr>
          <w:p>
            <w:pPr>
              <w:pStyle w:val="TableParagraph"/>
              <w:spacing w:before="33"/>
              <w:ind w:left="60"/>
              <w:rPr>
                <w:sz w:val="20"/>
              </w:rPr>
            </w:pPr>
            <w:r>
              <w:rPr>
                <w:color w:val="231F20"/>
                <w:sz w:val="20"/>
              </w:rPr>
              <w:t>Operating lease commitments (4)</w:t>
            </w:r>
          </w:p>
        </w:tc>
        <w:tc>
          <w:tcPr>
            <w:tcW w:w="200" w:type="dxa"/>
          </w:tcPr>
          <w:p>
            <w:pPr/>
          </w:p>
        </w:tc>
        <w:tc>
          <w:tcPr>
            <w:tcW w:w="1080" w:type="dxa"/>
          </w:tcPr>
          <w:p>
            <w:pPr>
              <w:pStyle w:val="TableParagraph"/>
              <w:spacing w:before="43"/>
              <w:ind w:right="79"/>
              <w:jc w:val="right"/>
              <w:rPr>
                <w:sz w:val="20"/>
              </w:rPr>
            </w:pPr>
            <w:r>
              <w:rPr>
                <w:color w:val="231F20"/>
                <w:w w:val="95"/>
                <w:sz w:val="20"/>
              </w:rPr>
              <w:t>592</w:t>
            </w:r>
          </w:p>
        </w:tc>
        <w:tc>
          <w:tcPr>
            <w:tcW w:w="200" w:type="dxa"/>
          </w:tcPr>
          <w:p>
            <w:pPr/>
          </w:p>
        </w:tc>
        <w:tc>
          <w:tcPr>
            <w:tcW w:w="1080" w:type="dxa"/>
          </w:tcPr>
          <w:p>
            <w:pPr>
              <w:pStyle w:val="TableParagraph"/>
              <w:spacing w:before="43"/>
              <w:ind w:right="79"/>
              <w:jc w:val="right"/>
              <w:rPr>
                <w:sz w:val="20"/>
              </w:rPr>
            </w:pPr>
            <w:r>
              <w:rPr>
                <w:color w:val="231F20"/>
                <w:w w:val="95"/>
                <w:sz w:val="20"/>
              </w:rPr>
              <w:t>904</w:t>
            </w:r>
          </w:p>
        </w:tc>
        <w:tc>
          <w:tcPr>
            <w:tcW w:w="200" w:type="dxa"/>
          </w:tcPr>
          <w:p>
            <w:pPr/>
          </w:p>
        </w:tc>
        <w:tc>
          <w:tcPr>
            <w:tcW w:w="1080" w:type="dxa"/>
          </w:tcPr>
          <w:p>
            <w:pPr>
              <w:pStyle w:val="TableParagraph"/>
              <w:spacing w:before="43"/>
              <w:ind w:right="79"/>
              <w:jc w:val="right"/>
              <w:rPr>
                <w:sz w:val="20"/>
              </w:rPr>
            </w:pPr>
            <w:r>
              <w:rPr>
                <w:color w:val="231F20"/>
                <w:w w:val="95"/>
                <w:sz w:val="20"/>
              </w:rPr>
              <w:t>542</w:t>
            </w:r>
          </w:p>
        </w:tc>
        <w:tc>
          <w:tcPr>
            <w:tcW w:w="200" w:type="dxa"/>
          </w:tcPr>
          <w:p>
            <w:pPr/>
          </w:p>
        </w:tc>
        <w:tc>
          <w:tcPr>
            <w:tcW w:w="1080" w:type="dxa"/>
          </w:tcPr>
          <w:p>
            <w:pPr>
              <w:pStyle w:val="TableParagraph"/>
              <w:spacing w:before="43"/>
              <w:ind w:right="79"/>
              <w:jc w:val="right"/>
              <w:rPr>
                <w:sz w:val="20"/>
              </w:rPr>
            </w:pPr>
            <w:r>
              <w:rPr>
                <w:color w:val="231F20"/>
                <w:w w:val="95"/>
                <w:sz w:val="20"/>
              </w:rPr>
              <w:t>1,297</w:t>
            </w:r>
          </w:p>
        </w:tc>
        <w:tc>
          <w:tcPr>
            <w:tcW w:w="200" w:type="dxa"/>
          </w:tcPr>
          <w:p>
            <w:pPr/>
          </w:p>
        </w:tc>
        <w:tc>
          <w:tcPr>
            <w:tcW w:w="1040" w:type="dxa"/>
          </w:tcPr>
          <w:p>
            <w:pPr>
              <w:pStyle w:val="TableParagraph"/>
              <w:spacing w:before="43"/>
              <w:ind w:right="79"/>
              <w:jc w:val="right"/>
              <w:rPr>
                <w:sz w:val="20"/>
              </w:rPr>
            </w:pPr>
            <w:r>
              <w:rPr>
                <w:color w:val="231F20"/>
                <w:w w:val="95"/>
                <w:sz w:val="20"/>
              </w:rPr>
              <w:t>3,335</w:t>
            </w:r>
          </w:p>
        </w:tc>
      </w:tr>
      <w:tr>
        <w:trPr>
          <w:trHeight w:val="290" w:hRule="exact"/>
        </w:trPr>
        <w:tc>
          <w:tcPr>
            <w:tcW w:w="2760" w:type="dxa"/>
            <w:shd w:val="clear" w:color="auto" w:fill="D1D3D4"/>
          </w:tcPr>
          <w:p>
            <w:pPr>
              <w:pStyle w:val="TableParagraph"/>
              <w:spacing w:before="33"/>
              <w:ind w:left="60"/>
              <w:rPr>
                <w:sz w:val="20"/>
              </w:rPr>
            </w:pPr>
            <w:r>
              <w:rPr>
                <w:color w:val="231F20"/>
                <w:sz w:val="20"/>
              </w:rPr>
              <w:t>Capital lease commitments (5)</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80</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158</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152</w:t>
            </w:r>
          </w:p>
        </w:tc>
        <w:tc>
          <w:tcPr>
            <w:tcW w:w="200" w:type="dxa"/>
            <w:shd w:val="clear" w:color="auto" w:fill="D1D3D4"/>
          </w:tcPr>
          <w:p>
            <w:pPr/>
          </w:p>
        </w:tc>
        <w:tc>
          <w:tcPr>
            <w:tcW w:w="1080" w:type="dxa"/>
            <w:shd w:val="clear" w:color="auto" w:fill="D1D3D4"/>
          </w:tcPr>
          <w:p>
            <w:pPr>
              <w:pStyle w:val="TableParagraph"/>
              <w:spacing w:before="43"/>
              <w:ind w:right="79"/>
              <w:jc w:val="right"/>
              <w:rPr>
                <w:sz w:val="20"/>
              </w:rPr>
            </w:pPr>
            <w:r>
              <w:rPr>
                <w:color w:val="231F20"/>
                <w:w w:val="95"/>
                <w:sz w:val="20"/>
              </w:rPr>
              <w:t>353</w:t>
            </w:r>
          </w:p>
        </w:tc>
        <w:tc>
          <w:tcPr>
            <w:tcW w:w="200" w:type="dxa"/>
            <w:shd w:val="clear" w:color="auto" w:fill="D1D3D4"/>
          </w:tcPr>
          <w:p>
            <w:pPr/>
          </w:p>
        </w:tc>
        <w:tc>
          <w:tcPr>
            <w:tcW w:w="1040" w:type="dxa"/>
            <w:shd w:val="clear" w:color="auto" w:fill="D1D3D4"/>
          </w:tcPr>
          <w:p>
            <w:pPr>
              <w:pStyle w:val="TableParagraph"/>
              <w:spacing w:before="43"/>
              <w:ind w:right="78"/>
              <w:jc w:val="right"/>
              <w:rPr>
                <w:sz w:val="20"/>
              </w:rPr>
            </w:pPr>
            <w:r>
              <w:rPr>
                <w:color w:val="231F20"/>
                <w:w w:val="95"/>
                <w:sz w:val="20"/>
              </w:rPr>
              <w:t>743</w:t>
            </w:r>
          </w:p>
        </w:tc>
      </w:tr>
      <w:tr>
        <w:trPr>
          <w:trHeight w:val="290" w:hRule="exact"/>
        </w:trPr>
        <w:tc>
          <w:tcPr>
            <w:tcW w:w="2760" w:type="dxa"/>
          </w:tcPr>
          <w:p>
            <w:pPr>
              <w:pStyle w:val="TableParagraph"/>
              <w:spacing w:before="33"/>
              <w:ind w:left="60"/>
              <w:rPr>
                <w:sz w:val="20"/>
              </w:rPr>
            </w:pPr>
            <w:r>
              <w:rPr>
                <w:color w:val="231F20"/>
                <w:spacing w:val="-3"/>
                <w:sz w:val="20"/>
              </w:rPr>
              <w:t>Aircraft</w:t>
            </w:r>
            <w:r>
              <w:rPr>
                <w:color w:val="231F20"/>
                <w:spacing w:val="-21"/>
                <w:sz w:val="20"/>
              </w:rPr>
              <w:t> </w:t>
            </w:r>
            <w:r>
              <w:rPr>
                <w:color w:val="231F20"/>
                <w:spacing w:val="-3"/>
                <w:sz w:val="20"/>
              </w:rPr>
              <w:t>purchase</w:t>
            </w:r>
            <w:r>
              <w:rPr>
                <w:color w:val="231F20"/>
                <w:spacing w:val="-20"/>
                <w:sz w:val="20"/>
              </w:rPr>
              <w:t> </w:t>
            </w:r>
            <w:r>
              <w:rPr>
                <w:color w:val="231F20"/>
                <w:spacing w:val="-3"/>
                <w:sz w:val="20"/>
              </w:rPr>
              <w:t>commitments</w:t>
            </w:r>
            <w:r>
              <w:rPr>
                <w:color w:val="231F20"/>
                <w:spacing w:val="-21"/>
                <w:sz w:val="20"/>
              </w:rPr>
              <w:t> </w:t>
            </w:r>
            <w:r>
              <w:rPr>
                <w:color w:val="231F20"/>
                <w:spacing w:val="-3"/>
                <w:sz w:val="20"/>
              </w:rPr>
              <w:t>(6)</w:t>
            </w:r>
          </w:p>
        </w:tc>
        <w:tc>
          <w:tcPr>
            <w:tcW w:w="200" w:type="dxa"/>
          </w:tcPr>
          <w:p>
            <w:pPr/>
          </w:p>
        </w:tc>
        <w:tc>
          <w:tcPr>
            <w:tcW w:w="1080" w:type="dxa"/>
          </w:tcPr>
          <w:p>
            <w:pPr>
              <w:pStyle w:val="TableParagraph"/>
              <w:spacing w:before="43"/>
              <w:ind w:right="79"/>
              <w:jc w:val="right"/>
              <w:rPr>
                <w:sz w:val="20"/>
              </w:rPr>
            </w:pPr>
            <w:r>
              <w:rPr>
                <w:color w:val="231F20"/>
                <w:w w:val="95"/>
                <w:sz w:val="20"/>
              </w:rPr>
              <w:t>1,127</w:t>
            </w:r>
          </w:p>
        </w:tc>
        <w:tc>
          <w:tcPr>
            <w:tcW w:w="200" w:type="dxa"/>
          </w:tcPr>
          <w:p>
            <w:pPr/>
          </w:p>
        </w:tc>
        <w:tc>
          <w:tcPr>
            <w:tcW w:w="1080" w:type="dxa"/>
          </w:tcPr>
          <w:p>
            <w:pPr>
              <w:pStyle w:val="TableParagraph"/>
              <w:spacing w:before="43"/>
              <w:ind w:right="79"/>
              <w:jc w:val="right"/>
              <w:rPr>
                <w:sz w:val="20"/>
              </w:rPr>
            </w:pPr>
            <w:r>
              <w:rPr>
                <w:color w:val="231F20"/>
                <w:w w:val="95"/>
                <w:sz w:val="20"/>
              </w:rPr>
              <w:t>1,507</w:t>
            </w:r>
          </w:p>
        </w:tc>
        <w:tc>
          <w:tcPr>
            <w:tcW w:w="200" w:type="dxa"/>
          </w:tcPr>
          <w:p>
            <w:pPr/>
          </w:p>
        </w:tc>
        <w:tc>
          <w:tcPr>
            <w:tcW w:w="1080" w:type="dxa"/>
          </w:tcPr>
          <w:p>
            <w:pPr>
              <w:pStyle w:val="TableParagraph"/>
              <w:spacing w:before="43"/>
              <w:ind w:right="77"/>
              <w:jc w:val="right"/>
              <w:rPr>
                <w:sz w:val="20"/>
              </w:rPr>
            </w:pPr>
            <w:r>
              <w:rPr>
                <w:color w:val="231F20"/>
                <w:w w:val="95"/>
                <w:sz w:val="20"/>
              </w:rPr>
              <w:t>1,773</w:t>
            </w:r>
          </w:p>
        </w:tc>
        <w:tc>
          <w:tcPr>
            <w:tcW w:w="200" w:type="dxa"/>
          </w:tcPr>
          <w:p>
            <w:pPr/>
          </w:p>
        </w:tc>
        <w:tc>
          <w:tcPr>
            <w:tcW w:w="1080" w:type="dxa"/>
          </w:tcPr>
          <w:p>
            <w:pPr>
              <w:pStyle w:val="TableParagraph"/>
              <w:spacing w:before="43"/>
              <w:ind w:right="77"/>
              <w:jc w:val="right"/>
              <w:rPr>
                <w:sz w:val="20"/>
              </w:rPr>
            </w:pPr>
            <w:r>
              <w:rPr>
                <w:color w:val="231F20"/>
                <w:w w:val="95"/>
                <w:sz w:val="20"/>
              </w:rPr>
              <w:t>5,119</w:t>
            </w:r>
          </w:p>
        </w:tc>
        <w:tc>
          <w:tcPr>
            <w:tcW w:w="200" w:type="dxa"/>
          </w:tcPr>
          <w:p>
            <w:pPr/>
          </w:p>
        </w:tc>
        <w:tc>
          <w:tcPr>
            <w:tcW w:w="1040" w:type="dxa"/>
          </w:tcPr>
          <w:p>
            <w:pPr>
              <w:pStyle w:val="TableParagraph"/>
              <w:spacing w:before="43"/>
              <w:ind w:right="77"/>
              <w:jc w:val="right"/>
              <w:rPr>
                <w:sz w:val="20"/>
              </w:rPr>
            </w:pPr>
            <w:r>
              <w:rPr>
                <w:color w:val="231F20"/>
                <w:w w:val="95"/>
                <w:sz w:val="20"/>
              </w:rPr>
              <w:t>9,526</w:t>
            </w:r>
          </w:p>
        </w:tc>
      </w:tr>
      <w:tr>
        <w:trPr>
          <w:trHeight w:val="305" w:hRule="exact"/>
        </w:trPr>
        <w:tc>
          <w:tcPr>
            <w:tcW w:w="2760" w:type="dxa"/>
            <w:shd w:val="clear" w:color="auto" w:fill="D1D3D4"/>
          </w:tcPr>
          <w:p>
            <w:pPr>
              <w:pStyle w:val="TableParagraph"/>
              <w:spacing w:before="33"/>
              <w:ind w:left="60"/>
              <w:rPr>
                <w:sz w:val="20"/>
              </w:rPr>
            </w:pPr>
            <w:r>
              <w:rPr>
                <w:color w:val="231F20"/>
                <w:sz w:val="20"/>
              </w:rPr>
              <w:t>Other commitments</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5"/>
                <w:sz w:val="20"/>
              </w:rPr>
              <w:t>172</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5"/>
                <w:sz w:val="20"/>
              </w:rPr>
              <w:t>186</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5"/>
                <w:sz w:val="20"/>
              </w:rPr>
              <w:t>79</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spacing w:before="43"/>
              <w:ind w:right="79"/>
              <w:jc w:val="right"/>
              <w:rPr>
                <w:sz w:val="20"/>
              </w:rPr>
            </w:pPr>
            <w:r>
              <w:rPr>
                <w:color w:val="231F20"/>
                <w:w w:val="98"/>
                <w:sz w:val="20"/>
              </w:rPr>
              <w:t>7</w:t>
            </w:r>
          </w:p>
        </w:tc>
        <w:tc>
          <w:tcPr>
            <w:tcW w:w="200" w:type="dxa"/>
            <w:shd w:val="clear" w:color="auto" w:fill="D1D3D4"/>
          </w:tcPr>
          <w:p>
            <w:pPr/>
          </w:p>
        </w:tc>
        <w:tc>
          <w:tcPr>
            <w:tcW w:w="1040" w:type="dxa"/>
            <w:tcBorders>
              <w:bottom w:val="single" w:sz="4" w:space="0" w:color="231F20"/>
            </w:tcBorders>
            <w:shd w:val="clear" w:color="auto" w:fill="D1D3D4"/>
          </w:tcPr>
          <w:p>
            <w:pPr>
              <w:pStyle w:val="TableParagraph"/>
              <w:spacing w:before="43"/>
              <w:ind w:right="78"/>
              <w:jc w:val="right"/>
              <w:rPr>
                <w:sz w:val="20"/>
              </w:rPr>
            </w:pPr>
            <w:r>
              <w:rPr>
                <w:color w:val="231F20"/>
                <w:w w:val="95"/>
                <w:sz w:val="20"/>
              </w:rPr>
              <w:t>444</w:t>
            </w:r>
          </w:p>
        </w:tc>
      </w:tr>
      <w:tr>
        <w:trPr>
          <w:trHeight w:val="350" w:hRule="exact"/>
        </w:trPr>
        <w:tc>
          <w:tcPr>
            <w:tcW w:w="2760" w:type="dxa"/>
          </w:tcPr>
          <w:p>
            <w:pPr>
              <w:pStyle w:val="TableParagraph"/>
              <w:ind w:left="260"/>
              <w:rPr>
                <w:sz w:val="20"/>
              </w:rPr>
            </w:pPr>
            <w:r>
              <w:rPr>
                <w:color w:val="231F20"/>
                <w:sz w:val="20"/>
              </w:rPr>
              <w:t>Total contractual obligations</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2,573</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3,700</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3,457</w:t>
            </w:r>
          </w:p>
        </w:tc>
        <w:tc>
          <w:tcPr>
            <w:tcW w:w="200" w:type="dxa"/>
          </w:tcPr>
          <w:p>
            <w:pPr/>
          </w:p>
        </w:tc>
        <w:tc>
          <w:tcPr>
            <w:tcW w:w="1080" w:type="dxa"/>
            <w:tcBorders>
              <w:top w:val="single" w:sz="4" w:space="0" w:color="231F20"/>
              <w:bottom w:val="single" w:sz="4" w:space="0" w:color="231F20"/>
            </w:tcBorders>
          </w:tcPr>
          <w:p>
            <w:pPr>
              <w:pStyle w:val="TableParagraph"/>
              <w:tabs>
                <w:tab w:pos="549" w:val="left" w:leader="none"/>
              </w:tabs>
              <w:spacing w:before="43"/>
              <w:ind w:right="79"/>
              <w:jc w:val="right"/>
              <w:rPr>
                <w:sz w:val="20"/>
              </w:rPr>
            </w:pPr>
            <w:r>
              <w:rPr>
                <w:color w:val="231F20"/>
                <w:sz w:val="20"/>
              </w:rPr>
              <w:t>$</w:t>
              <w:tab/>
            </w:r>
            <w:r>
              <w:rPr>
                <w:color w:val="231F20"/>
                <w:spacing w:val="-1"/>
                <w:sz w:val="20"/>
              </w:rPr>
              <w:t>7,494</w:t>
            </w:r>
          </w:p>
        </w:tc>
        <w:tc>
          <w:tcPr>
            <w:tcW w:w="200" w:type="dxa"/>
          </w:tcPr>
          <w:p>
            <w:pPr/>
          </w:p>
        </w:tc>
        <w:tc>
          <w:tcPr>
            <w:tcW w:w="1040" w:type="dxa"/>
            <w:tcBorders>
              <w:top w:val="single" w:sz="4" w:space="0" w:color="231F20"/>
              <w:bottom w:val="single" w:sz="4" w:space="0" w:color="231F20"/>
            </w:tcBorders>
          </w:tcPr>
          <w:p>
            <w:pPr>
              <w:pStyle w:val="TableParagraph"/>
              <w:tabs>
                <w:tab w:pos="409" w:val="left" w:leader="none"/>
              </w:tabs>
              <w:spacing w:before="58"/>
              <w:ind w:right="79"/>
              <w:jc w:val="right"/>
              <w:rPr>
                <w:sz w:val="20"/>
              </w:rPr>
            </w:pPr>
            <w:r>
              <w:rPr>
                <w:color w:val="231F20"/>
                <w:sz w:val="20"/>
              </w:rPr>
              <w:t>$</w:t>
              <w:tab/>
            </w:r>
            <w:r>
              <w:rPr>
                <w:color w:val="231F20"/>
                <w:spacing w:val="-1"/>
                <w:sz w:val="20"/>
              </w:rPr>
              <w:t>17,224</w:t>
            </w:r>
          </w:p>
        </w:tc>
      </w:tr>
    </w:tbl>
    <w:p>
      <w:pPr>
        <w:pStyle w:val="BodyText"/>
        <w:spacing w:before="3"/>
        <w:rPr>
          <w:b/>
          <w:sz w:val="24"/>
        </w:rPr>
      </w:pPr>
    </w:p>
    <w:p>
      <w:pPr>
        <w:pStyle w:val="ListParagraph"/>
        <w:numPr>
          <w:ilvl w:val="0"/>
          <w:numId w:val="12"/>
        </w:numPr>
        <w:tabs>
          <w:tab w:pos="520" w:val="left" w:leader="none"/>
        </w:tabs>
        <w:spacing w:line="240" w:lineRule="auto" w:before="0" w:after="0"/>
        <w:ind w:left="520" w:right="0" w:hanging="400"/>
        <w:jc w:val="both"/>
        <w:rPr>
          <w:sz w:val="20"/>
        </w:rPr>
      </w:pPr>
      <w:r>
        <w:rPr/>
        <w:pict>
          <v:line style="position:absolute;mso-position-horizontal-relative:page;mso-position-vertical-relative:paragraph;z-index:-376456" from="217pt,-16.464069pt" to="271pt,-16.464069pt" stroked="true" strokeweight=".5pt" strokecolor="#231f20">
            <v:stroke dashstyle="solid"/>
            <w10:wrap type="none"/>
          </v:line>
        </w:pict>
      </w:r>
      <w:r>
        <w:rPr/>
        <w:pict>
          <v:line style="position:absolute;mso-position-horizontal-relative:page;mso-position-vertical-relative:paragraph;z-index:-376432" from="281pt,-16.464069pt" to="335pt,-16.464069pt" stroked="true" strokeweight=".5pt" strokecolor="#231f20">
            <v:stroke dashstyle="solid"/>
            <w10:wrap type="none"/>
          </v:line>
        </w:pict>
      </w:r>
      <w:r>
        <w:rPr/>
        <w:pict>
          <v:line style="position:absolute;mso-position-horizontal-relative:page;mso-position-vertical-relative:paragraph;z-index:-376408" from="345pt,-16.464069pt" to="399pt,-16.464069pt" stroked="true" strokeweight=".5pt" strokecolor="#231f20">
            <v:stroke dashstyle="solid"/>
            <w10:wrap type="none"/>
          </v:line>
        </w:pict>
      </w:r>
      <w:r>
        <w:rPr/>
        <w:pict>
          <v:line style="position:absolute;mso-position-horizontal-relative:page;mso-position-vertical-relative:paragraph;z-index:-376384" from="409pt,-16.464069pt" to="463pt,-16.464069pt" stroked="true" strokeweight=".5pt" strokecolor="#231f20">
            <v:stroke dashstyle="solid"/>
            <w10:wrap type="none"/>
          </v:line>
        </w:pict>
      </w:r>
      <w:r>
        <w:rPr/>
        <w:pict>
          <v:line style="position:absolute;mso-position-horizontal-relative:page;mso-position-vertical-relative:paragraph;z-index:-376360" from="473pt,-16.464069pt" to="525pt,-16.464069pt" stroked="true" strokeweight=".5pt" strokecolor="#231f20">
            <v:stroke dashstyle="solid"/>
            <w10:wrap type="none"/>
          </v:line>
        </w:pict>
      </w:r>
      <w:r>
        <w:rPr>
          <w:color w:val="231F20"/>
          <w:sz w:val="20"/>
        </w:rPr>
        <w:t>Includes principal only. See Note 6 to the Consolidated Financial</w:t>
      </w:r>
      <w:r>
        <w:rPr>
          <w:color w:val="231F20"/>
          <w:spacing w:val="5"/>
          <w:sz w:val="20"/>
        </w:rPr>
        <w:t> </w:t>
      </w:r>
      <w:r>
        <w:rPr>
          <w:color w:val="231F20"/>
          <w:sz w:val="20"/>
        </w:rPr>
        <w:t>Statements.</w:t>
      </w:r>
    </w:p>
    <w:p>
      <w:pPr>
        <w:pStyle w:val="ListParagraph"/>
        <w:numPr>
          <w:ilvl w:val="0"/>
          <w:numId w:val="12"/>
        </w:numPr>
        <w:tabs>
          <w:tab w:pos="520" w:val="left" w:leader="none"/>
        </w:tabs>
        <w:spacing w:line="240" w:lineRule="auto" w:before="9" w:after="0"/>
        <w:ind w:left="520" w:right="0" w:hanging="400"/>
        <w:jc w:val="both"/>
        <w:rPr>
          <w:sz w:val="20"/>
        </w:rPr>
      </w:pPr>
      <w:r>
        <w:rPr>
          <w:color w:val="231F20"/>
          <w:sz w:val="20"/>
        </w:rPr>
        <w:t>Related to fixed-rate debt (either at issuance or through swaps)</w:t>
      </w:r>
      <w:r>
        <w:rPr>
          <w:color w:val="231F20"/>
          <w:spacing w:val="6"/>
          <w:sz w:val="20"/>
        </w:rPr>
        <w:t> </w:t>
      </w:r>
      <w:r>
        <w:rPr>
          <w:color w:val="231F20"/>
          <w:sz w:val="20"/>
        </w:rPr>
        <w:t>only.</w:t>
      </w:r>
    </w:p>
    <w:p>
      <w:pPr>
        <w:pStyle w:val="ListParagraph"/>
        <w:numPr>
          <w:ilvl w:val="0"/>
          <w:numId w:val="12"/>
        </w:numPr>
        <w:tabs>
          <w:tab w:pos="520" w:val="left" w:leader="none"/>
        </w:tabs>
        <w:spacing w:line="249" w:lineRule="auto" w:before="9" w:after="0"/>
        <w:ind w:left="520" w:right="120" w:hanging="400"/>
        <w:jc w:val="left"/>
        <w:rPr>
          <w:sz w:val="20"/>
        </w:rPr>
      </w:pPr>
      <w:r>
        <w:rPr>
          <w:color w:val="231F20"/>
          <w:sz w:val="20"/>
        </w:rPr>
        <w:t>Interest obligations associated with floating-rate debt (either at issuance or through swaps) is estimated utilizing forward interest rate curves as of December 31, 2016, and can be subject to significant</w:t>
      </w:r>
      <w:r>
        <w:rPr>
          <w:color w:val="231F20"/>
          <w:spacing w:val="12"/>
          <w:sz w:val="20"/>
        </w:rPr>
        <w:t> </w:t>
      </w:r>
      <w:r>
        <w:rPr>
          <w:color w:val="231F20"/>
          <w:sz w:val="20"/>
        </w:rPr>
        <w:t>fluctuation.</w:t>
      </w:r>
    </w:p>
    <w:p>
      <w:pPr>
        <w:pStyle w:val="ListParagraph"/>
        <w:numPr>
          <w:ilvl w:val="0"/>
          <w:numId w:val="12"/>
        </w:numPr>
        <w:tabs>
          <w:tab w:pos="520" w:val="left" w:leader="none"/>
        </w:tabs>
        <w:spacing w:line="249" w:lineRule="auto" w:before="1" w:after="0"/>
        <w:ind w:left="520" w:right="117" w:hanging="400"/>
        <w:jc w:val="left"/>
        <w:rPr>
          <w:sz w:val="20"/>
        </w:rPr>
      </w:pPr>
      <w:r>
        <w:rPr>
          <w:color w:val="231F20"/>
          <w:sz w:val="20"/>
        </w:rPr>
        <w:t>Includes Love Field Modernization Program commitment amounts, and includes the impact of the B717 lease/sublease transaction entered into in 2012. See Note 7 to the Consolidated Financial</w:t>
      </w:r>
      <w:r>
        <w:rPr>
          <w:color w:val="231F20"/>
          <w:spacing w:val="9"/>
          <w:sz w:val="20"/>
        </w:rPr>
        <w:t> </w:t>
      </w:r>
      <w:r>
        <w:rPr>
          <w:color w:val="231F20"/>
          <w:sz w:val="20"/>
        </w:rPr>
        <w:t>Statements.</w:t>
      </w:r>
    </w:p>
    <w:p>
      <w:pPr>
        <w:pStyle w:val="ListParagraph"/>
        <w:numPr>
          <w:ilvl w:val="0"/>
          <w:numId w:val="12"/>
        </w:numPr>
        <w:tabs>
          <w:tab w:pos="520" w:val="left" w:leader="none"/>
        </w:tabs>
        <w:spacing w:line="240" w:lineRule="auto" w:before="1" w:after="0"/>
        <w:ind w:left="520" w:right="0" w:hanging="400"/>
        <w:jc w:val="both"/>
        <w:rPr>
          <w:sz w:val="20"/>
        </w:rPr>
      </w:pPr>
      <w:r>
        <w:rPr>
          <w:color w:val="231F20"/>
          <w:sz w:val="20"/>
        </w:rPr>
        <w:t>Includes principal and interest on capital</w:t>
      </w:r>
      <w:r>
        <w:rPr>
          <w:color w:val="231F20"/>
          <w:spacing w:val="6"/>
          <w:sz w:val="20"/>
        </w:rPr>
        <w:t> </w:t>
      </w:r>
      <w:r>
        <w:rPr>
          <w:color w:val="231F20"/>
          <w:sz w:val="20"/>
        </w:rPr>
        <w:t>leases.</w:t>
      </w:r>
    </w:p>
    <w:p>
      <w:pPr>
        <w:pStyle w:val="ListParagraph"/>
        <w:numPr>
          <w:ilvl w:val="0"/>
          <w:numId w:val="12"/>
        </w:numPr>
        <w:tabs>
          <w:tab w:pos="520" w:val="left" w:leader="none"/>
        </w:tabs>
        <w:spacing w:line="240" w:lineRule="auto" w:before="9" w:after="0"/>
        <w:ind w:left="520" w:right="0" w:hanging="400"/>
        <w:jc w:val="both"/>
        <w:rPr>
          <w:sz w:val="20"/>
        </w:rPr>
      </w:pPr>
      <w:r>
        <w:rPr>
          <w:color w:val="231F20"/>
          <w:sz w:val="20"/>
        </w:rPr>
        <w:t>Firm orders from</w:t>
      </w:r>
      <w:r>
        <w:rPr>
          <w:color w:val="231F20"/>
          <w:spacing w:val="3"/>
          <w:sz w:val="20"/>
        </w:rPr>
        <w:t> </w:t>
      </w:r>
      <w:r>
        <w:rPr>
          <w:color w:val="231F20"/>
          <w:sz w:val="20"/>
        </w:rPr>
        <w:t>Boeing.</w:t>
      </w:r>
    </w:p>
    <w:p>
      <w:pPr>
        <w:pStyle w:val="BodyText"/>
        <w:rPr>
          <w:sz w:val="21"/>
        </w:rPr>
      </w:pPr>
    </w:p>
    <w:p>
      <w:pPr>
        <w:pStyle w:val="BodyText"/>
        <w:spacing w:line="247" w:lineRule="auto"/>
        <w:ind w:left="120" w:right="117"/>
        <w:jc w:val="both"/>
      </w:pPr>
      <w:r>
        <w:rPr>
          <w:color w:val="231F20"/>
        </w:rPr>
        <w:t>The Company believes that its current liquidity position, including unrestricted cash and short-term investments of $3.3 billion as of December 31, 2016, anticipated future internally generated funds from operations, and its fully available, unsecured revolving credit facility of $1.0 billion that expires in August 2021, will enable it to meet its future known obligations in the ordinary course of business. The revolving credit agreement has an accordion feature that would allow the Company, subject to, among other  things,  the  procurement  of  incremental  commitments,  to  increase  the  size  of  the  facility</w:t>
      </w:r>
      <w:r>
        <w:rPr>
          <w:color w:val="231F20"/>
          <w:spacing w:val="-20"/>
        </w:rPr>
        <w:t> </w:t>
      </w:r>
      <w:r>
        <w:rPr>
          <w:color w:val="231F20"/>
        </w:rPr>
        <w:t>to</w:t>
      </w:r>
    </w:p>
    <w:p>
      <w:pPr>
        <w:pStyle w:val="BodyText"/>
        <w:spacing w:line="247" w:lineRule="auto"/>
        <w:ind w:left="120" w:right="117"/>
        <w:jc w:val="both"/>
      </w:pPr>
      <w:r>
        <w:rPr>
          <w:color w:val="231F20"/>
        </w:rPr>
        <w:t>$1.5 billion. However, if a liquidity need were to arise, the Company believes it has access to financing arrangements because of its current investment grade credit ratings, large value of unencumbered assets, and modest leverage, which should enable it to meet its ongoing capital, operating, and other liquidity requirements. The Company will continue to consider various borrowing or leasing options to maximize liquidity and supplement cash requirements as necessary.</w:t>
      </w:r>
    </w:p>
    <w:p>
      <w:pPr>
        <w:pStyle w:val="BodyText"/>
        <w:spacing w:before="1"/>
        <w:rPr>
          <w:sz w:val="20"/>
        </w:rPr>
      </w:pPr>
    </w:p>
    <w:p>
      <w:pPr>
        <w:pStyle w:val="Heading1"/>
        <w:ind w:left="120"/>
      </w:pPr>
      <w:r>
        <w:rPr>
          <w:color w:val="231F20"/>
        </w:rPr>
        <w:t>Airport Projects</w:t>
      </w:r>
    </w:p>
    <w:p>
      <w:pPr>
        <w:pStyle w:val="BodyText"/>
        <w:spacing w:before="7"/>
        <w:rPr>
          <w:b/>
          <w:sz w:val="20"/>
        </w:rPr>
      </w:pPr>
    </w:p>
    <w:p>
      <w:pPr>
        <w:pStyle w:val="BodyText"/>
        <w:spacing w:line="247" w:lineRule="auto" w:before="1"/>
        <w:ind w:left="120" w:right="118"/>
        <w:jc w:val="both"/>
      </w:pPr>
      <w:r>
        <w:rPr>
          <w:color w:val="231F20"/>
        </w:rPr>
        <w:t>The Company has commitments associated with various airport improvement projects that will impact its future liquidity needs in differing ways. These projects include the construction of new facilities and the rebuilding or modernization of existing facilities and are discussed in more detail in Note 4 to the Consolidated Financial Statements.</w:t>
      </w:r>
    </w:p>
    <w:p>
      <w:pPr>
        <w:pStyle w:val="BodyText"/>
        <w:rPr>
          <w:sz w:val="20"/>
        </w:rPr>
      </w:pPr>
    </w:p>
    <w:p>
      <w:pPr>
        <w:pStyle w:val="Heading1"/>
        <w:spacing w:before="1"/>
        <w:ind w:left="839"/>
        <w:jc w:val="left"/>
      </w:pPr>
      <w:r>
        <w:rPr>
          <w:color w:val="231F20"/>
        </w:rPr>
        <w:t>Dallas Love Field</w:t>
      </w:r>
    </w:p>
    <w:p>
      <w:pPr>
        <w:pStyle w:val="BodyText"/>
        <w:spacing w:before="8"/>
        <w:rPr>
          <w:b/>
          <w:sz w:val="20"/>
        </w:rPr>
      </w:pPr>
    </w:p>
    <w:p>
      <w:pPr>
        <w:pStyle w:val="BodyText"/>
        <w:spacing w:line="247" w:lineRule="auto"/>
        <w:ind w:left="120" w:right="117"/>
        <w:jc w:val="both"/>
      </w:pPr>
      <w:r>
        <w:rPr>
          <w:color w:val="231F20"/>
        </w:rPr>
        <w:t>For the rebuilding of the facilities at Dallas Love Field, the Company guaranteed principal, premium, and interest on $456 million in bonds issued by the Love Field Airport Modernization Corporation (“LFAMC”) that were utilized to fund the majority of the project. The amount of bonds outstanding as of December 31, 2016 was $432 million. Repayment of the bonds is through the “Facilities  Payments”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described below. Reimbursement of the Company for its payment of Facilities Payments is made through recurring ground rents, fees, and other revenues collected at the airport.</w:t>
      </w:r>
    </w:p>
    <w:p>
      <w:pPr>
        <w:pStyle w:val="BodyText"/>
        <w:spacing w:before="7"/>
        <w:rPr>
          <w:sz w:val="19"/>
        </w:rPr>
      </w:pPr>
    </w:p>
    <w:p>
      <w:pPr>
        <w:pStyle w:val="BodyText"/>
        <w:spacing w:line="247" w:lineRule="auto"/>
        <w:ind w:left="100" w:right="117"/>
        <w:jc w:val="both"/>
      </w:pPr>
      <w:r>
        <w:rPr>
          <w:color w:val="231F20"/>
        </w:rPr>
        <w:t>Prior to the issuance of the bonds by the LFAMC, the Company entered into two separate funding agreements: (i) a “Facilities Agreement” pursuant to which the Company is obligated to make debt service payments on the principal and interest amounts associated with the bonds (“Facilities Payments”), less other sources of funds the City of Dallas may apply to the repayment of the bonds (including but not limited to passenger facility charges collected from passengers originating from the airport); and (ii) a “Revenue Credit Agreement” pursuant to which the City of Dallas reimburses the Company for the Facilities Payments made by the Company.</w:t>
      </w:r>
    </w:p>
    <w:p>
      <w:pPr>
        <w:pStyle w:val="BodyText"/>
        <w:spacing w:before="7"/>
        <w:rPr>
          <w:sz w:val="19"/>
        </w:rPr>
      </w:pPr>
    </w:p>
    <w:p>
      <w:pPr>
        <w:pStyle w:val="BodyText"/>
        <w:spacing w:line="247" w:lineRule="auto"/>
        <w:ind w:left="100" w:right="118"/>
        <w:jc w:val="both"/>
      </w:pPr>
      <w:r>
        <w:rPr>
          <w:color w:val="231F20"/>
        </w:rPr>
        <w:t>A majority of the monies transferred from the City of Dallas to the Company under the Revenue Credit Agreement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originates from (i) use and lease agreements with other airlines, (ii) various concession agreements, and (iii) other airport miscellaneous revenues.</w:t>
      </w:r>
    </w:p>
    <w:p>
      <w:pPr>
        <w:pStyle w:val="BodyText"/>
        <w:spacing w:before="7"/>
        <w:rPr>
          <w:sz w:val="19"/>
        </w:rPr>
      </w:pPr>
    </w:p>
    <w:p>
      <w:pPr>
        <w:pStyle w:val="BodyText"/>
        <w:spacing w:line="247" w:lineRule="auto"/>
        <w:ind w:left="100" w:right="118"/>
        <w:jc w:val="both"/>
      </w:pPr>
      <w:r>
        <w:rPr>
          <w:color w:val="231F20"/>
        </w:rPr>
        <w:t>The Company’s liquidity could be impacted by this project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project has not had a significant impact on the Company’s capital resources or financial position.</w:t>
      </w:r>
    </w:p>
    <w:p>
      <w:pPr>
        <w:pStyle w:val="BodyText"/>
        <w:spacing w:before="7"/>
        <w:rPr>
          <w:sz w:val="19"/>
        </w:rPr>
      </w:pPr>
    </w:p>
    <w:p>
      <w:pPr>
        <w:pStyle w:val="Heading1"/>
        <w:ind w:left="819"/>
        <w:jc w:val="left"/>
      </w:pPr>
      <w:r>
        <w:rPr>
          <w:color w:val="231F20"/>
        </w:rPr>
        <w:t>Fort Lauderdale-Hollywood International Airport</w:t>
      </w:r>
    </w:p>
    <w:p>
      <w:pPr>
        <w:pStyle w:val="BodyText"/>
        <w:spacing w:before="3"/>
        <w:rPr>
          <w:b/>
          <w:sz w:val="20"/>
        </w:rPr>
      </w:pPr>
    </w:p>
    <w:p>
      <w:pPr>
        <w:pStyle w:val="BodyText"/>
        <w:spacing w:line="247" w:lineRule="auto"/>
        <w:ind w:left="100" w:right="117"/>
        <w:jc w:val="both"/>
      </w:pPr>
      <w:r>
        <w:rPr>
          <w:color w:val="231F20"/>
        </w:rPr>
        <w:t>The Company has committed to oversee and manage the design and construction of Fort-Lauderdale- Hollywood International Airport’s Terminal 1 Modernization Project, including the design and construction of a new five-gate Concourse A with an international processing facility, at a cost not to exceed $333 million. Funding for the project has come directly from Broward County aviation sources, but flows through the Company in its capacity as manager of the project. In general, as work is being completed on the project by various contractors, invoices are submitted to Broward County for initial payment to the Company, which then make such payments to the contractors performing the work.</w:t>
      </w:r>
    </w:p>
    <w:p>
      <w:pPr>
        <w:pStyle w:val="BodyText"/>
        <w:spacing w:before="7"/>
        <w:rPr>
          <w:sz w:val="19"/>
        </w:rPr>
      </w:pPr>
    </w:p>
    <w:p>
      <w:pPr>
        <w:pStyle w:val="BodyText"/>
        <w:spacing w:line="247" w:lineRule="auto"/>
        <w:ind w:left="100" w:right="118"/>
        <w:jc w:val="both"/>
      </w:pPr>
      <w:r>
        <w:rPr>
          <w:color w:val="231F20"/>
        </w:rPr>
        <w:t>The Company’s liquidity could be impacted by this project to the extent there are instances in which  the Company chooses to make payments to contractors prior to receiving initial payment from Broward County, although the Company currently does not expect this to occur often based on its past experience with smaller projects conducted at the airport. The project is not expected to have a significant impact on the Company’s capital resources or financial position. Major construction on the project began during third quarter 2015 and is estimated to be substantially completed by</w:t>
      </w:r>
      <w:r>
        <w:rPr>
          <w:color w:val="231F20"/>
          <w:spacing w:val="-3"/>
        </w:rPr>
        <w:t> </w:t>
      </w:r>
      <w:r>
        <w:rPr>
          <w:color w:val="231F20"/>
        </w:rPr>
        <w:t>mid-2017.</w:t>
      </w:r>
    </w:p>
    <w:p>
      <w:pPr>
        <w:pStyle w:val="BodyText"/>
        <w:spacing w:before="7"/>
        <w:rPr>
          <w:sz w:val="19"/>
        </w:rPr>
      </w:pPr>
    </w:p>
    <w:p>
      <w:pPr>
        <w:pStyle w:val="Heading1"/>
        <w:ind w:left="819"/>
        <w:jc w:val="left"/>
      </w:pPr>
      <w:r>
        <w:rPr>
          <w:color w:val="231F20"/>
        </w:rPr>
        <w:t>Houston William P. Hobby Airport</w:t>
      </w:r>
    </w:p>
    <w:p>
      <w:pPr>
        <w:pStyle w:val="BodyText"/>
        <w:spacing w:before="3"/>
        <w:rPr>
          <w:b/>
          <w:sz w:val="20"/>
        </w:rPr>
      </w:pPr>
    </w:p>
    <w:p>
      <w:pPr>
        <w:pStyle w:val="BodyText"/>
        <w:spacing w:line="247" w:lineRule="auto"/>
        <w:ind w:left="100" w:right="118"/>
        <w:jc w:val="both"/>
      </w:pPr>
      <w:r>
        <w:rPr>
          <w:color w:val="231F20"/>
        </w:rPr>
        <w:t>The Company oversaw and managed the construction, at Houston William P. Hobby Airport, of a new five-gate international terminal with international passenger processing facilities, expansion of the existing security checkpoint, and upgrades to the Southwest ticketing counter area. The Company and the City of Houston (“City”) entered into an Airport Use and Lease Agreement (“Lease”) to control the execution  of  this  expansion  and  the  financial  terms  thereof.  The  project  cost  approximately</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$150 million, of which $22 million was considered proprietary and thus not classified as Assets constructed for others. The Company provided the funding for, and management over, the project. In return, the capital cost portion of the rent the Company pays for the international facility is waived  from the initial occupancy until the expiration of the Lease. However, the City has the option at any time during the term of the Lease to reimburse the Company’s investment at the then-unamortized cost of the facility. This purchase would trigger payment of the previously waived capital cost component of rents owed the City. Additionally, a small portion of the project qualified for rental credits that have been utilized against a portion of the Company’s 2016 lease payments at the airport.</w:t>
      </w:r>
    </w:p>
    <w:p>
      <w:pPr>
        <w:pStyle w:val="BodyText"/>
        <w:spacing w:before="9"/>
        <w:rPr>
          <w:sz w:val="20"/>
        </w:rPr>
      </w:pPr>
    </w:p>
    <w:p>
      <w:pPr>
        <w:pStyle w:val="BodyText"/>
        <w:spacing w:line="247" w:lineRule="auto"/>
        <w:ind w:left="100" w:right="117"/>
        <w:jc w:val="both"/>
      </w:pPr>
      <w:r>
        <w:rPr>
          <w:color w:val="231F20"/>
        </w:rPr>
        <w:t>The Company’s liquidity has been impacted by this project from the point of initial funding through  the time at which it receives monthly credits, and whether or not the City chooses to buy out the Company’s investment prior to the full amortization of the project. The project did not have a significant impact on the Company’s capital resources or financial position. Construction  began  during third quarter 2013 and was effectively completed in October 2015, at which time the Company began operating from the new</w:t>
      </w:r>
      <w:r>
        <w:rPr>
          <w:color w:val="231F20"/>
          <w:spacing w:val="-1"/>
        </w:rPr>
        <w:t> </w:t>
      </w:r>
      <w:r>
        <w:rPr>
          <w:color w:val="231F20"/>
        </w:rPr>
        <w:t>facility.</w:t>
      </w:r>
    </w:p>
    <w:p>
      <w:pPr>
        <w:pStyle w:val="BodyText"/>
        <w:spacing w:before="9"/>
        <w:rPr>
          <w:sz w:val="20"/>
        </w:rPr>
      </w:pPr>
    </w:p>
    <w:p>
      <w:pPr>
        <w:pStyle w:val="Heading1"/>
        <w:ind w:left="819"/>
        <w:jc w:val="left"/>
      </w:pPr>
      <w:r>
        <w:rPr>
          <w:color w:val="231F20"/>
        </w:rPr>
        <w:t>Los Angeles International Airport</w:t>
      </w:r>
    </w:p>
    <w:p>
      <w:pPr>
        <w:pStyle w:val="BodyText"/>
        <w:spacing w:before="4"/>
        <w:rPr>
          <w:b/>
          <w:sz w:val="21"/>
        </w:rPr>
      </w:pPr>
    </w:p>
    <w:p>
      <w:pPr>
        <w:pStyle w:val="BodyText"/>
        <w:spacing w:line="247" w:lineRule="auto" w:before="1"/>
        <w:ind w:left="100" w:right="117"/>
        <w:jc w:val="both"/>
      </w:pPr>
      <w:r>
        <w:rPr>
          <w:color w:val="231F20"/>
        </w:rPr>
        <w:t>In March 2013, the Company executed a lease agreement with Los Angeles World Airports (“LAWA”), which owns and operates Los Angeles International Airport. Under the lease agreement, which was amended in June 2014, the Company is overseeing and managing the design, development, financing, construction, and commissioning of the airport’s Terminal 1 Modernization Project (the “Project”) at a cost not to exceed $526 million. The Project is being funded primarily using the Regional Airports Improvement Corporation (“RAIC”), which is a quasi-governmental special purpose entity that acts as a conduit borrower under a syndicated credit facility provided by a group of lenders. Loans made under the credit facility are being used to fund the development of the Project, and the outstanding loans will be repaid with the proceeds of LAWA’s payments to purchase completed Project phases. The Company has guaranteed the obligations of the RAIC under the credit</w:t>
      </w:r>
      <w:r>
        <w:rPr>
          <w:color w:val="231F20"/>
          <w:spacing w:val="-1"/>
        </w:rPr>
        <w:t> </w:t>
      </w:r>
      <w:r>
        <w:rPr>
          <w:color w:val="231F20"/>
        </w:rPr>
        <w:t>facility.</w:t>
      </w:r>
    </w:p>
    <w:p>
      <w:pPr>
        <w:pStyle w:val="BodyText"/>
        <w:spacing w:before="9"/>
        <w:rPr>
          <w:sz w:val="20"/>
        </w:rPr>
      </w:pPr>
    </w:p>
    <w:p>
      <w:pPr>
        <w:pStyle w:val="BodyText"/>
        <w:spacing w:line="247" w:lineRule="auto"/>
        <w:ind w:left="100" w:right="119"/>
        <w:jc w:val="both"/>
      </w:pPr>
      <w:r>
        <w:rPr>
          <w:color w:val="231F20"/>
        </w:rPr>
        <w:t>The Company’s liquidity could be impacted by this project under certain circumstances; however, the Company does not expect this to occur based on its past experience with other projects. The project is not expected to have a significant impact on the Company’s capital resources or financial position. Construction on the Project began during 2014 and is estimated to be completed during 2018.</w:t>
      </w:r>
    </w:p>
    <w:p>
      <w:pPr>
        <w:pStyle w:val="BodyText"/>
        <w:spacing w:before="8"/>
        <w:rPr>
          <w:sz w:val="20"/>
        </w:rPr>
      </w:pPr>
    </w:p>
    <w:p>
      <w:pPr>
        <w:pStyle w:val="Heading1"/>
        <w:spacing w:before="1"/>
      </w:pPr>
      <w:r>
        <w:rPr>
          <w:color w:val="231F20"/>
        </w:rPr>
        <w:t>CRITICAL ACCOUNTING POLICIES AND ESTIMATES</w:t>
      </w:r>
    </w:p>
    <w:p>
      <w:pPr>
        <w:pStyle w:val="BodyText"/>
        <w:spacing w:before="5"/>
        <w:rPr>
          <w:b/>
          <w:sz w:val="21"/>
        </w:rPr>
      </w:pPr>
    </w:p>
    <w:p>
      <w:pPr>
        <w:pStyle w:val="BodyText"/>
        <w:spacing w:line="247" w:lineRule="auto"/>
        <w:ind w:left="100" w:right="117"/>
        <w:jc w:val="both"/>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spacing w:after="0" w:line="247" w:lineRule="auto"/>
        <w:jc w:val="both"/>
        <w:sectPr>
          <w:pgSz w:w="11880" w:h="15480"/>
          <w:pgMar w:header="0" w:footer="1240" w:top="1240" w:bottom="1420" w:left="1280" w:right="1260"/>
        </w:sectPr>
      </w:pPr>
    </w:p>
    <w:p>
      <w:pPr>
        <w:pStyle w:val="Heading2"/>
        <w:spacing w:before="74"/>
        <w:ind w:left="480"/>
        <w:rPr>
          <w:i/>
        </w:rPr>
      </w:pPr>
      <w:r>
        <w:rPr>
          <w:i/>
          <w:color w:val="231F20"/>
        </w:rPr>
        <w:t>Revenue Recognition</w:t>
      </w:r>
    </w:p>
    <w:p>
      <w:pPr>
        <w:pStyle w:val="BodyText"/>
        <w:spacing w:before="3"/>
        <w:rPr>
          <w:b/>
          <w:i/>
          <w:sz w:val="19"/>
        </w:rPr>
      </w:pPr>
    </w:p>
    <w:p>
      <w:pPr>
        <w:pStyle w:val="BodyText"/>
        <w:spacing w:line="247" w:lineRule="auto" w:before="1"/>
        <w:ind w:left="119" w:right="120"/>
        <w:jc w:val="both"/>
      </w:pPr>
      <w:r>
        <w:rPr>
          <w:color w:val="231F20"/>
          <w:spacing w:val="-4"/>
        </w:rPr>
        <w:t>Tickets </w:t>
      </w:r>
      <w:r>
        <w:rPr>
          <w:color w:val="231F20"/>
          <w:spacing w:val="-3"/>
        </w:rPr>
        <w:t>sold for </w:t>
      </w:r>
      <w:r>
        <w:rPr>
          <w:color w:val="231F20"/>
          <w:spacing w:val="-4"/>
        </w:rPr>
        <w:t>Passenger </w:t>
      </w:r>
      <w:r>
        <w:rPr>
          <w:color w:val="231F20"/>
          <w:spacing w:val="-3"/>
        </w:rPr>
        <w:t>air </w:t>
      </w:r>
      <w:r>
        <w:rPr>
          <w:color w:val="231F20"/>
          <w:spacing w:val="-4"/>
        </w:rPr>
        <w:t>travel </w:t>
      </w:r>
      <w:r>
        <w:rPr>
          <w:color w:val="231F20"/>
          <w:spacing w:val="-3"/>
        </w:rPr>
        <w:t>are </w:t>
      </w:r>
      <w:r>
        <w:rPr>
          <w:color w:val="231F20"/>
          <w:spacing w:val="-4"/>
        </w:rPr>
        <w:t>initially deferred </w:t>
      </w:r>
      <w:r>
        <w:rPr>
          <w:color w:val="231F20"/>
        </w:rPr>
        <w:t>as </w:t>
      </w:r>
      <w:r>
        <w:rPr>
          <w:color w:val="231F20"/>
          <w:spacing w:val="-3"/>
        </w:rPr>
        <w:t>Air </w:t>
      </w:r>
      <w:r>
        <w:rPr>
          <w:color w:val="231F20"/>
          <w:spacing w:val="-4"/>
        </w:rPr>
        <w:t>traffic liability. Passenger revenue is recognized </w:t>
      </w:r>
      <w:r>
        <w:rPr>
          <w:color w:val="231F20"/>
          <w:spacing w:val="-3"/>
        </w:rPr>
        <w:t>and Air </w:t>
      </w:r>
      <w:r>
        <w:rPr>
          <w:color w:val="231F20"/>
          <w:spacing w:val="-4"/>
        </w:rPr>
        <w:t>traffic liability </w:t>
      </w:r>
      <w:r>
        <w:rPr>
          <w:color w:val="231F20"/>
        </w:rPr>
        <w:t>is </w:t>
      </w:r>
      <w:r>
        <w:rPr>
          <w:color w:val="231F20"/>
          <w:spacing w:val="-4"/>
        </w:rPr>
        <w:t>reduced </w:t>
      </w:r>
      <w:r>
        <w:rPr>
          <w:color w:val="231F20"/>
          <w:spacing w:val="-3"/>
        </w:rPr>
        <w:t>when the </w:t>
      </w:r>
      <w:r>
        <w:rPr>
          <w:color w:val="231F20"/>
          <w:spacing w:val="-4"/>
        </w:rPr>
        <w:t>service </w:t>
      </w:r>
      <w:r>
        <w:rPr>
          <w:color w:val="231F20"/>
        </w:rPr>
        <w:t>is </w:t>
      </w:r>
      <w:r>
        <w:rPr>
          <w:color w:val="231F20"/>
          <w:spacing w:val="-4"/>
        </w:rPr>
        <w:t>provided (i.e., </w:t>
      </w:r>
      <w:r>
        <w:rPr>
          <w:color w:val="231F20"/>
          <w:spacing w:val="-3"/>
        </w:rPr>
        <w:t>when the </w:t>
      </w:r>
      <w:r>
        <w:rPr>
          <w:color w:val="231F20"/>
          <w:spacing w:val="-4"/>
        </w:rPr>
        <w:t>flight takes</w:t>
      </w:r>
      <w:r>
        <w:rPr>
          <w:color w:val="231F20"/>
          <w:spacing w:val="-29"/>
        </w:rPr>
        <w:t> </w:t>
      </w:r>
      <w:r>
        <w:rPr>
          <w:color w:val="231F20"/>
          <w:spacing w:val="-4"/>
        </w:rPr>
        <w:t>place). </w:t>
      </w:r>
      <w:r>
        <w:rPr>
          <w:color w:val="231F20"/>
          <w:spacing w:val="-3"/>
        </w:rPr>
        <w:t>Air </w:t>
      </w:r>
      <w:r>
        <w:rPr>
          <w:color w:val="231F20"/>
          <w:spacing w:val="-4"/>
        </w:rPr>
        <w:t>traffic liability primarily represents tickets </w:t>
      </w:r>
      <w:r>
        <w:rPr>
          <w:color w:val="231F20"/>
          <w:spacing w:val="-3"/>
        </w:rPr>
        <w:t>sold for </w:t>
      </w:r>
      <w:r>
        <w:rPr>
          <w:color w:val="231F20"/>
          <w:spacing w:val="-4"/>
        </w:rPr>
        <w:t>future travel dates </w:t>
      </w:r>
      <w:r>
        <w:rPr>
          <w:color w:val="231F20"/>
          <w:spacing w:val="-3"/>
        </w:rPr>
        <w:t>and </w:t>
      </w:r>
      <w:r>
        <w:rPr>
          <w:color w:val="231F20"/>
          <w:spacing w:val="-4"/>
        </w:rPr>
        <w:t>funds </w:t>
      </w:r>
      <w:r>
        <w:rPr>
          <w:color w:val="231F20"/>
          <w:spacing w:val="-3"/>
        </w:rPr>
        <w:t>that are past </w:t>
      </w:r>
      <w:r>
        <w:rPr>
          <w:color w:val="231F20"/>
          <w:spacing w:val="-4"/>
        </w:rPr>
        <w:t>flight date </w:t>
      </w:r>
      <w:r>
        <w:rPr>
          <w:color w:val="231F20"/>
          <w:spacing w:val="-3"/>
        </w:rPr>
        <w:t>and </w:t>
      </w:r>
      <w:r>
        <w:rPr>
          <w:color w:val="231F20"/>
          <w:spacing w:val="-4"/>
        </w:rPr>
        <w:t>remain unused. </w:t>
      </w:r>
      <w:r>
        <w:rPr>
          <w:color w:val="231F20"/>
          <w:spacing w:val="-3"/>
        </w:rPr>
        <w:t>The </w:t>
      </w:r>
      <w:r>
        <w:rPr>
          <w:color w:val="231F20"/>
          <w:spacing w:val="-4"/>
        </w:rPr>
        <w:t>balance </w:t>
      </w:r>
      <w:r>
        <w:rPr>
          <w:color w:val="231F20"/>
          <w:spacing w:val="-3"/>
        </w:rPr>
        <w:t>in Air </w:t>
      </w:r>
      <w:r>
        <w:rPr>
          <w:color w:val="231F20"/>
          <w:spacing w:val="-4"/>
        </w:rPr>
        <w:t>traffic liability, which includes </w:t>
      </w:r>
      <w:r>
        <w:rPr>
          <w:color w:val="231F20"/>
        </w:rPr>
        <w:t>a </w:t>
      </w:r>
      <w:r>
        <w:rPr>
          <w:color w:val="231F20"/>
          <w:spacing w:val="-4"/>
        </w:rPr>
        <w:t>portion </w:t>
      </w:r>
      <w:r>
        <w:rPr>
          <w:color w:val="231F20"/>
        </w:rPr>
        <w:t>of </w:t>
      </w:r>
      <w:r>
        <w:rPr>
          <w:color w:val="231F20"/>
          <w:spacing w:val="-3"/>
        </w:rPr>
        <w:t>the </w:t>
      </w:r>
      <w:r>
        <w:rPr>
          <w:color w:val="231F20"/>
          <w:spacing w:val="-4"/>
        </w:rPr>
        <w:t>Company’s liability associated </w:t>
      </w:r>
      <w:r>
        <w:rPr>
          <w:color w:val="231F20"/>
          <w:spacing w:val="-3"/>
        </w:rPr>
        <w:t>with its </w:t>
      </w:r>
      <w:r>
        <w:rPr>
          <w:color w:val="231F20"/>
          <w:spacing w:val="-4"/>
        </w:rPr>
        <w:t>frequent flyer program, fluctuates throughout </w:t>
      </w:r>
      <w:r>
        <w:rPr>
          <w:color w:val="231F20"/>
          <w:spacing w:val="-3"/>
        </w:rPr>
        <w:t>the year </w:t>
      </w:r>
      <w:r>
        <w:rPr>
          <w:color w:val="231F20"/>
          <w:spacing w:val="-4"/>
        </w:rPr>
        <w:t>based </w:t>
      </w:r>
      <w:r>
        <w:rPr>
          <w:color w:val="231F20"/>
        </w:rPr>
        <w:t>on </w:t>
      </w:r>
      <w:r>
        <w:rPr>
          <w:color w:val="231F20"/>
          <w:spacing w:val="-4"/>
        </w:rPr>
        <w:t>seasonal travel patterns, </w:t>
      </w:r>
      <w:r>
        <w:rPr>
          <w:color w:val="231F20"/>
          <w:spacing w:val="-3"/>
        </w:rPr>
        <w:t>fare sale </w:t>
      </w:r>
      <w:r>
        <w:rPr>
          <w:color w:val="231F20"/>
          <w:spacing w:val="-4"/>
        </w:rPr>
        <w:t>activity, </w:t>
      </w:r>
      <w:r>
        <w:rPr>
          <w:color w:val="231F20"/>
          <w:spacing w:val="-3"/>
        </w:rPr>
        <w:t>and </w:t>
      </w:r>
      <w:r>
        <w:rPr>
          <w:color w:val="231F20"/>
          <w:spacing w:val="-4"/>
        </w:rPr>
        <w:t>activity associated </w:t>
      </w:r>
      <w:r>
        <w:rPr>
          <w:color w:val="231F20"/>
          <w:spacing w:val="-3"/>
        </w:rPr>
        <w:t>with the </w:t>
      </w:r>
      <w:r>
        <w:rPr>
          <w:color w:val="231F20"/>
          <w:spacing w:val="-4"/>
        </w:rPr>
        <w:t>Company’s frequent flyer</w:t>
      </w:r>
      <w:r>
        <w:rPr>
          <w:color w:val="231F20"/>
          <w:spacing w:val="-27"/>
        </w:rPr>
        <w:t> </w:t>
      </w:r>
      <w:r>
        <w:rPr>
          <w:color w:val="231F20"/>
          <w:spacing w:val="-4"/>
        </w:rPr>
        <w:t>program.</w:t>
      </w:r>
    </w:p>
    <w:p>
      <w:pPr>
        <w:pStyle w:val="BodyText"/>
        <w:spacing w:line="247" w:lineRule="auto" w:before="215"/>
        <w:ind w:left="119" w:right="117"/>
        <w:jc w:val="both"/>
      </w:pPr>
      <w:r>
        <w:rPr>
          <w:color w:val="231F20"/>
        </w:rPr>
        <w:t>For air travel on Southwest, the amount of tickets that will expire unused are estimated and recognized in Passenger revenue once the scheduled flight date has passed. Estimating the amount of tickets that will expire unused involves some level of subjectivity and judgment. The majority of Southwest’s tickets sold are nonrefundable, which is the primary source of unused tickets. Southwest has a No  Show policy that applies to nonrefundable fares that are not canceled or changed by a Customer at least ten minutes prior to a flight’s scheduled departure. See Note 1 to the Consolidated Financial  Statements for further information. According to Southwest’s current “Contract of Carriage,” all refundable tickets that are sold but not flown on the travel date can be reused for another flight up to a year from the date of sale, or some tickets can be refunded. This policy also applies to unused Customer funds that may be the result of an exchange downgrade. Fully refundable tickets rarely  expire unused. Estimates of tickets that will expire unused are based on historical experience over  many years. Southwest has consistently applied this accounting method to estimate revenue from unused tickets at the date of scheduled travel.</w:t>
      </w:r>
    </w:p>
    <w:p>
      <w:pPr>
        <w:pStyle w:val="BodyText"/>
        <w:spacing w:line="247" w:lineRule="auto" w:before="215"/>
        <w:ind w:left="119" w:right="117"/>
        <w:jc w:val="both"/>
      </w:pPr>
      <w:r>
        <w:rPr>
          <w:color w:val="231F20"/>
        </w:rPr>
        <w:t>Events and circumstances outside of historical fare sale activity or historical Customer travel patterns can result in actual spoiled tickets differing significantly from estimates. The Company evaluates its estimates within a narrow range of acceptable amounts. If actual spoilage results in an amount outside of this range, estimates and assumptions are reviewed and adjustments to Air traffic liability and to Passenger revenue are recorded, as necessary. Additional factors that may affect estimated spoiled tickets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spoiled tickets may vary from estimated amounts. During 2014, the Company revised assumptions regarding Customer behavior subsequent to the implementation of its No Show policy. Consequently, the Company’s estimate of the amount of spoiled tickets recorded during 2014 was approximately 15 percent higher than what it believed its historical averages would indicate for  that year. The Company believes the change in policy resulted in a permanent shift in Customer behavior for 2014 and all subsequent periods, barring any future modifications to the Company’s ticketing policies. The Company believes these estimates are supported by actual data and are reasonable given the underlying fact patterns.</w:t>
      </w:r>
    </w:p>
    <w:p>
      <w:pPr>
        <w:pStyle w:val="BodyText"/>
        <w:spacing w:line="247" w:lineRule="auto" w:before="215"/>
        <w:ind w:left="119" w:right="118"/>
        <w:jc w:val="both"/>
      </w:pPr>
      <w:r>
        <w:rPr>
          <w:color w:val="231F20"/>
        </w:rPr>
        <w:t>The Company believes it is unlikely that materially different estimates for future spoiled tickets would be reported based on other reasonable assumptions or conditions suggested by actual historical experience and other data available at the time estimates were made.</w:t>
      </w:r>
    </w:p>
    <w:p>
      <w:pPr>
        <w:pStyle w:val="Heading2"/>
        <w:spacing w:before="215"/>
        <w:ind w:left="480"/>
        <w:rPr>
          <w:i/>
        </w:rPr>
      </w:pPr>
      <w:r>
        <w:rPr>
          <w:i/>
          <w:color w:val="231F20"/>
        </w:rPr>
        <w:t>Accounting for Long-Lived Assets</w:t>
      </w:r>
    </w:p>
    <w:p>
      <w:pPr>
        <w:pStyle w:val="BodyText"/>
        <w:spacing w:before="4"/>
        <w:rPr>
          <w:b/>
          <w:i/>
          <w:sz w:val="19"/>
        </w:rPr>
      </w:pPr>
    </w:p>
    <w:p>
      <w:pPr>
        <w:pStyle w:val="BodyText"/>
        <w:spacing w:line="247" w:lineRule="auto"/>
        <w:ind w:left="119" w:right="117"/>
        <w:jc w:val="both"/>
      </w:pPr>
      <w:r>
        <w:rPr>
          <w:color w:val="231F20"/>
        </w:rPr>
        <w:t>Flight equipment and related assets make up the majority of the Company’s long-lived assets. Flight equipment  primarily relates  to the  640  Boeing  737  aircraft in the  Company’s  fleet at December</w:t>
      </w:r>
      <w:r>
        <w:rPr>
          <w:color w:val="231F20"/>
          <w:spacing w:val="-25"/>
        </w:rPr>
        <w:t> </w:t>
      </w:r>
      <w:r>
        <w:rPr>
          <w:color w:val="231F20"/>
        </w:rPr>
        <w:t>31,</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2016, which are either owned or on capital lease. The remaining 83 Boeing 737 aircraft in the Company’s fleet at December 31, 2016, are operated under operating leases. The Company also has   88 Boeing 717 aircraft, which are part of the lease/sublease with Delta. As these aircraft are not in service for the Company, they are not included in the fleet count as of December 31, 2016 or 2015. See Note 7 to the Consolidated Financial Statements for further information. In accounting for long-lived assets, the Company must make estimates about the expected useful lives of the assets, the expected residual values of the assets, and the potential for impairment based on the fair value of the assets and their future expected cash flows.</w:t>
      </w:r>
    </w:p>
    <w:p>
      <w:pPr>
        <w:pStyle w:val="BodyText"/>
        <w:spacing w:before="9"/>
        <w:rPr>
          <w:sz w:val="20"/>
        </w:rPr>
      </w:pPr>
    </w:p>
    <w:p>
      <w:pPr>
        <w:pStyle w:val="BodyText"/>
        <w:spacing w:line="247" w:lineRule="auto"/>
        <w:ind w:left="100" w:right="117"/>
        <w:jc w:val="both"/>
      </w:pPr>
      <w:r>
        <w:rPr>
          <w:color w:val="231F20"/>
        </w:rPr>
        <w:t>The following table shows a breakdown of the Company’s long-lived asset groups along with information about estimated useful lives and residual values for new assets generally purchased from the manufacturer and assets constructed for others:</w:t>
      </w:r>
    </w:p>
    <w:p>
      <w:pPr>
        <w:pStyle w:val="BodyText"/>
        <w:spacing w:before="9"/>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76"/>
        <w:gridCol w:w="2008"/>
        <w:gridCol w:w="756"/>
        <w:gridCol w:w="2680"/>
      </w:tblGrid>
      <w:tr>
        <w:trPr>
          <w:trHeight w:val="450" w:hRule="exact"/>
        </w:trPr>
        <w:tc>
          <w:tcPr>
            <w:tcW w:w="3676" w:type="dxa"/>
          </w:tcPr>
          <w:p>
            <w:pPr/>
          </w:p>
        </w:tc>
        <w:tc>
          <w:tcPr>
            <w:tcW w:w="2008" w:type="dxa"/>
            <w:tcBorders>
              <w:bottom w:val="single" w:sz="8" w:space="0" w:color="231F20"/>
            </w:tcBorders>
          </w:tcPr>
          <w:p>
            <w:pPr>
              <w:pStyle w:val="TableParagraph"/>
              <w:spacing w:line="200" w:lineRule="exact" w:before="20"/>
              <w:ind w:left="600" w:right="582" w:firstLine="3"/>
              <w:rPr>
                <w:sz w:val="20"/>
              </w:rPr>
            </w:pPr>
            <w:r>
              <w:rPr>
                <w:color w:val="231F20"/>
                <w:sz w:val="20"/>
              </w:rPr>
              <w:t>Estimated useful life</w:t>
            </w:r>
          </w:p>
        </w:tc>
        <w:tc>
          <w:tcPr>
            <w:tcW w:w="756" w:type="dxa"/>
          </w:tcPr>
          <w:p>
            <w:pPr/>
          </w:p>
        </w:tc>
        <w:tc>
          <w:tcPr>
            <w:tcW w:w="2680" w:type="dxa"/>
            <w:tcBorders>
              <w:bottom w:val="single" w:sz="8" w:space="0" w:color="231F20"/>
            </w:tcBorders>
          </w:tcPr>
          <w:p>
            <w:pPr>
              <w:pStyle w:val="TableParagraph"/>
              <w:spacing w:line="200" w:lineRule="exact" w:before="20"/>
              <w:ind w:left="600" w:right="943" w:firstLine="159"/>
              <w:rPr>
                <w:sz w:val="20"/>
              </w:rPr>
            </w:pPr>
            <w:r>
              <w:rPr>
                <w:color w:val="231F20"/>
                <w:sz w:val="20"/>
              </w:rPr>
              <w:t>Estimated residual value</w:t>
            </w:r>
          </w:p>
        </w:tc>
      </w:tr>
      <w:tr>
        <w:trPr>
          <w:trHeight w:val="310" w:hRule="exact"/>
        </w:trPr>
        <w:tc>
          <w:tcPr>
            <w:tcW w:w="3676" w:type="dxa"/>
            <w:shd w:val="clear" w:color="auto" w:fill="D1D3D4"/>
          </w:tcPr>
          <w:p>
            <w:pPr>
              <w:pStyle w:val="TableParagraph"/>
              <w:rPr>
                <w:sz w:val="20"/>
              </w:rPr>
            </w:pPr>
            <w:r>
              <w:rPr>
                <w:color w:val="231F20"/>
                <w:sz w:val="20"/>
              </w:rPr>
              <w:t>Airframes and engines</w:t>
            </w:r>
          </w:p>
        </w:tc>
        <w:tc>
          <w:tcPr>
            <w:tcW w:w="2008" w:type="dxa"/>
            <w:tcBorders>
              <w:top w:val="single" w:sz="8" w:space="0" w:color="231F20"/>
            </w:tcBorders>
            <w:shd w:val="clear" w:color="auto" w:fill="D1D3D4"/>
          </w:tcPr>
          <w:p>
            <w:pPr>
              <w:pStyle w:val="TableParagraph"/>
              <w:ind w:left="419" w:right="420"/>
              <w:jc w:val="center"/>
              <w:rPr>
                <w:sz w:val="20"/>
              </w:rPr>
            </w:pPr>
            <w:r>
              <w:rPr>
                <w:color w:val="231F20"/>
                <w:sz w:val="20"/>
              </w:rPr>
              <w:t>23 to 25 years</w:t>
            </w:r>
          </w:p>
        </w:tc>
        <w:tc>
          <w:tcPr>
            <w:tcW w:w="756" w:type="dxa"/>
            <w:shd w:val="clear" w:color="auto" w:fill="D1D3D4"/>
          </w:tcPr>
          <w:p>
            <w:pPr/>
          </w:p>
        </w:tc>
        <w:tc>
          <w:tcPr>
            <w:tcW w:w="2680" w:type="dxa"/>
            <w:tcBorders>
              <w:top w:val="single" w:sz="8" w:space="0" w:color="231F20"/>
            </w:tcBorders>
            <w:shd w:val="clear" w:color="auto" w:fill="D1D3D4"/>
          </w:tcPr>
          <w:p>
            <w:pPr>
              <w:pStyle w:val="TableParagraph"/>
              <w:ind w:left="493" w:right="852"/>
              <w:jc w:val="center"/>
              <w:rPr>
                <w:sz w:val="20"/>
              </w:rPr>
            </w:pPr>
            <w:r>
              <w:rPr>
                <w:color w:val="231F20"/>
                <w:sz w:val="20"/>
              </w:rPr>
              <w:t>2 to 20 percent</w:t>
            </w:r>
          </w:p>
        </w:tc>
      </w:tr>
      <w:tr>
        <w:trPr>
          <w:trHeight w:val="300" w:hRule="exact"/>
        </w:trPr>
        <w:tc>
          <w:tcPr>
            <w:tcW w:w="3676" w:type="dxa"/>
          </w:tcPr>
          <w:p>
            <w:pPr>
              <w:pStyle w:val="TableParagraph"/>
              <w:rPr>
                <w:sz w:val="20"/>
              </w:rPr>
            </w:pPr>
            <w:r>
              <w:rPr>
                <w:color w:val="231F20"/>
                <w:sz w:val="20"/>
              </w:rPr>
              <w:t>Aircraft parts</w:t>
            </w:r>
          </w:p>
        </w:tc>
        <w:tc>
          <w:tcPr>
            <w:tcW w:w="2008" w:type="dxa"/>
          </w:tcPr>
          <w:p>
            <w:pPr>
              <w:pStyle w:val="TableParagraph"/>
              <w:ind w:left="419" w:right="419"/>
              <w:jc w:val="center"/>
              <w:rPr>
                <w:sz w:val="20"/>
              </w:rPr>
            </w:pPr>
            <w:r>
              <w:rPr>
                <w:color w:val="231F20"/>
                <w:sz w:val="20"/>
              </w:rPr>
              <w:t>Fleet life</w:t>
            </w:r>
          </w:p>
        </w:tc>
        <w:tc>
          <w:tcPr>
            <w:tcW w:w="756" w:type="dxa"/>
          </w:tcPr>
          <w:p>
            <w:pPr/>
          </w:p>
        </w:tc>
        <w:tc>
          <w:tcPr>
            <w:tcW w:w="2680" w:type="dxa"/>
          </w:tcPr>
          <w:p>
            <w:pPr>
              <w:pStyle w:val="TableParagraph"/>
              <w:ind w:left="493" w:right="852"/>
              <w:jc w:val="center"/>
              <w:rPr>
                <w:sz w:val="20"/>
              </w:rPr>
            </w:pPr>
            <w:r>
              <w:rPr>
                <w:color w:val="231F20"/>
                <w:sz w:val="20"/>
              </w:rPr>
              <w:t>4 percent</w:t>
            </w:r>
          </w:p>
        </w:tc>
      </w:tr>
      <w:tr>
        <w:trPr>
          <w:trHeight w:val="300" w:hRule="exact"/>
        </w:trPr>
        <w:tc>
          <w:tcPr>
            <w:tcW w:w="3676" w:type="dxa"/>
            <w:shd w:val="clear" w:color="auto" w:fill="D1D3D4"/>
          </w:tcPr>
          <w:p>
            <w:pPr>
              <w:pStyle w:val="TableParagraph"/>
              <w:rPr>
                <w:sz w:val="20"/>
              </w:rPr>
            </w:pPr>
            <w:r>
              <w:rPr>
                <w:color w:val="231F20"/>
                <w:sz w:val="20"/>
              </w:rPr>
              <w:t>Assets constructed for others</w:t>
            </w:r>
          </w:p>
        </w:tc>
        <w:tc>
          <w:tcPr>
            <w:tcW w:w="2008" w:type="dxa"/>
            <w:shd w:val="clear" w:color="auto" w:fill="D1D3D4"/>
          </w:tcPr>
          <w:p>
            <w:pPr>
              <w:pStyle w:val="TableParagraph"/>
              <w:ind w:left="419" w:right="420"/>
              <w:jc w:val="center"/>
              <w:rPr>
                <w:sz w:val="20"/>
              </w:rPr>
            </w:pPr>
            <w:r>
              <w:rPr>
                <w:color w:val="231F20"/>
                <w:sz w:val="20"/>
              </w:rPr>
              <w:t>25 to 30 years</w:t>
            </w:r>
          </w:p>
        </w:tc>
        <w:tc>
          <w:tcPr>
            <w:tcW w:w="756" w:type="dxa"/>
            <w:shd w:val="clear" w:color="auto" w:fill="D1D3D4"/>
          </w:tcPr>
          <w:p>
            <w:pPr/>
          </w:p>
        </w:tc>
        <w:tc>
          <w:tcPr>
            <w:tcW w:w="2680" w:type="dxa"/>
            <w:shd w:val="clear" w:color="auto" w:fill="D1D3D4"/>
          </w:tcPr>
          <w:p>
            <w:pPr>
              <w:pStyle w:val="TableParagraph"/>
              <w:ind w:left="493" w:right="852"/>
              <w:jc w:val="center"/>
              <w:rPr>
                <w:sz w:val="20"/>
              </w:rPr>
            </w:pPr>
            <w:r>
              <w:rPr>
                <w:color w:val="231F20"/>
                <w:sz w:val="20"/>
              </w:rPr>
              <w:t>17 to 25 percent</w:t>
            </w:r>
          </w:p>
        </w:tc>
      </w:tr>
      <w:tr>
        <w:trPr>
          <w:trHeight w:val="284" w:hRule="exact"/>
        </w:trPr>
        <w:tc>
          <w:tcPr>
            <w:tcW w:w="3676" w:type="dxa"/>
          </w:tcPr>
          <w:p>
            <w:pPr>
              <w:pStyle w:val="TableParagraph"/>
              <w:rPr>
                <w:sz w:val="20"/>
              </w:rPr>
            </w:pPr>
            <w:r>
              <w:rPr>
                <w:color w:val="231F20"/>
                <w:sz w:val="20"/>
              </w:rPr>
              <w:t>Ground property and equipment</w:t>
            </w:r>
          </w:p>
        </w:tc>
        <w:tc>
          <w:tcPr>
            <w:tcW w:w="2008" w:type="dxa"/>
          </w:tcPr>
          <w:p>
            <w:pPr>
              <w:pStyle w:val="TableParagraph"/>
              <w:ind w:left="419" w:right="420"/>
              <w:jc w:val="center"/>
              <w:rPr>
                <w:sz w:val="20"/>
              </w:rPr>
            </w:pPr>
            <w:r>
              <w:rPr>
                <w:color w:val="231F20"/>
                <w:sz w:val="20"/>
              </w:rPr>
              <w:t>5 to 30 years</w:t>
            </w:r>
          </w:p>
        </w:tc>
        <w:tc>
          <w:tcPr>
            <w:tcW w:w="756" w:type="dxa"/>
          </w:tcPr>
          <w:p>
            <w:pPr/>
          </w:p>
        </w:tc>
        <w:tc>
          <w:tcPr>
            <w:tcW w:w="2680" w:type="dxa"/>
          </w:tcPr>
          <w:p>
            <w:pPr>
              <w:pStyle w:val="TableParagraph"/>
              <w:ind w:left="493" w:right="852"/>
              <w:jc w:val="center"/>
              <w:rPr>
                <w:sz w:val="20"/>
              </w:rPr>
            </w:pPr>
            <w:r>
              <w:rPr>
                <w:color w:val="231F20"/>
                <w:sz w:val="20"/>
              </w:rPr>
              <w:t>0 to 10 percent</w:t>
            </w:r>
          </w:p>
        </w:tc>
      </w:tr>
    </w:tbl>
    <w:p>
      <w:pPr>
        <w:pStyle w:val="BodyText"/>
        <w:rPr>
          <w:sz w:val="27"/>
        </w:rPr>
      </w:pPr>
    </w:p>
    <w:p>
      <w:pPr>
        <w:pStyle w:val="BodyText"/>
        <w:spacing w:line="247" w:lineRule="auto"/>
        <w:ind w:left="100" w:right="117"/>
        <w:jc w:val="both"/>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For example, during 2016, the Company accelerated the estimated retirement dates of its Classic 737 fleet from mid-2021 to no later than third quarter 2017, resulting in an additional $123 million in depreciation expense recorded during the year. Generally, these adjustments are accounted for on a prospective  basis through depreciation and amortization expense. See Notes 1 and 2 to the Consolidated Financial Statements for further</w:t>
      </w:r>
      <w:r>
        <w:rPr>
          <w:color w:val="231F20"/>
          <w:spacing w:val="-2"/>
        </w:rPr>
        <w:t> </w:t>
      </w:r>
      <w:r>
        <w:rPr>
          <w:color w:val="231F20"/>
        </w:rPr>
        <w:t>information.</w:t>
      </w:r>
    </w:p>
    <w:p>
      <w:pPr>
        <w:pStyle w:val="BodyText"/>
        <w:spacing w:before="9"/>
        <w:rPr>
          <w:sz w:val="20"/>
        </w:rPr>
      </w:pPr>
    </w:p>
    <w:p>
      <w:pPr>
        <w:pStyle w:val="BodyText"/>
        <w:spacing w:line="247" w:lineRule="auto"/>
        <w:ind w:left="100" w:right="117"/>
        <w:jc w:val="both"/>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pStyle w:val="BodyText"/>
        <w:spacing w:before="9"/>
        <w:rPr>
          <w:sz w:val="20"/>
        </w:rPr>
      </w:pPr>
    </w:p>
    <w:p>
      <w:pPr>
        <w:pStyle w:val="Heading2"/>
        <w:rPr>
          <w:i/>
        </w:rPr>
      </w:pPr>
      <w:r>
        <w:rPr>
          <w:i/>
          <w:color w:val="231F20"/>
        </w:rPr>
        <w:t>Financial Derivative Instruments</w:t>
      </w:r>
    </w:p>
    <w:p>
      <w:pPr>
        <w:pStyle w:val="BodyText"/>
        <w:spacing w:before="5"/>
        <w:rPr>
          <w:b/>
          <w:i/>
          <w:sz w:val="21"/>
        </w:rPr>
      </w:pPr>
    </w:p>
    <w:p>
      <w:pPr>
        <w:pStyle w:val="BodyText"/>
        <w:spacing w:line="247" w:lineRule="auto"/>
        <w:ind w:left="100" w:right="117"/>
        <w:jc w:val="both"/>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 instruments.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All derivatives are required to be reflected at fair value and recorded on the Consolidated Balance Sheet. At December 31, 2016, the Company was a party to over 500 separate financial derivative instruments related to its fuel hedging program for the years 2017 through 2019. Changes in the fair values of these instruments can vary dramatically based on changes in the underlying commodity prices. For example, during 2016, market “spot” prices for Brent crude oil peaked at a high of approximately $57 per barrel and hit a low price of approximately $28 per barrel. During 2015, market spot prices ranged from a high of approximately $68 per barrel to a low of approximately $36 per barrel. Market price changes can be driven by factors such as supply and demand, inventory levels, weather events, refinery capacity, political agendas, the value of the U.S. dollar, geopolitical events, and general economic conditions, among other items. The financial derivative instruments utilized by the Company primarily are a combination of collars, purchased call options, call spreads, put spreads, and fixed price swap agreements.</w:t>
      </w:r>
    </w:p>
    <w:p>
      <w:pPr>
        <w:pStyle w:val="BodyText"/>
        <w:spacing w:before="5"/>
      </w:pPr>
    </w:p>
    <w:p>
      <w:pPr>
        <w:pStyle w:val="BodyText"/>
        <w:spacing w:line="247" w:lineRule="auto"/>
        <w:ind w:left="100" w:right="117"/>
        <w:jc w:val="both"/>
      </w:pPr>
      <w:r>
        <w:rPr>
          <w:color w:val="231F20"/>
        </w:rPr>
        <w:t>The Company enters into financial derivative instruments with third party institutions in “over-the- 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beyond approximately 24 months,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5"/>
      </w:pPr>
    </w:p>
    <w:p>
      <w:pPr>
        <w:pStyle w:val="BodyText"/>
        <w:spacing w:line="247" w:lineRule="auto"/>
        <w:ind w:left="100" w:right="117"/>
        <w:jc w:val="both"/>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Although the Company continues to use a prospective assessment to  determine that commodities continue to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 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GAAP financial</w:t>
      </w:r>
      <w:r>
        <w:rPr>
          <w:color w:val="231F20"/>
          <w:spacing w:val="-1"/>
        </w:rPr>
        <w:t> </w:t>
      </w:r>
      <w:r>
        <w:rPr>
          <w:color w:val="231F20"/>
        </w:rPr>
        <w:t>results.</w:t>
      </w:r>
    </w:p>
    <w:p>
      <w:pPr>
        <w:pStyle w:val="BodyText"/>
        <w:spacing w:before="5"/>
      </w:pPr>
    </w:p>
    <w:p>
      <w:pPr>
        <w:pStyle w:val="BodyText"/>
        <w:spacing w:line="247" w:lineRule="auto"/>
        <w:ind w:left="100" w:right="117"/>
        <w:jc w:val="both"/>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 ineffectiveness of the fuel hedge can result. This could result in the immediate recording of non-cash charges or income, representing the change in the fair value of the derivative, even though the derivative instrument may not expire/settle until a future period. Likewise, if a derivative contract ceases to qualify for hedge accounting, the change in the fair value of the derivative instrument is recorded every period to Other (gains) and losses, net in the Consolidated Statement of Income in the period of the</w:t>
      </w:r>
      <w:r>
        <w:rPr>
          <w:color w:val="231F20"/>
          <w:spacing w:val="-4"/>
        </w:rPr>
        <w:t> </w:t>
      </w:r>
      <w:r>
        <w:rPr>
          <w:color w:val="231F20"/>
        </w:rPr>
        <w:t>change.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due to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 volumes.</w:t>
      </w:r>
    </w:p>
    <w:p>
      <w:pPr>
        <w:pStyle w:val="BodyText"/>
        <w:spacing w:line="247" w:lineRule="auto" w:before="206"/>
        <w:ind w:left="100" w:right="117"/>
        <w:jc w:val="both"/>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2016, 2015, and 2014, and has not changed for either assessing or measuring hedge ineffectiveness during these periods.</w:t>
      </w:r>
    </w:p>
    <w:p>
      <w:pPr>
        <w:pStyle w:val="BodyText"/>
        <w:spacing w:line="247" w:lineRule="auto" w:before="206"/>
        <w:ind w:left="100" w:right="117"/>
        <w:jc w:val="both"/>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Heading2"/>
        <w:spacing w:before="206"/>
        <w:rPr>
          <w:i/>
        </w:rPr>
      </w:pPr>
      <w:r>
        <w:rPr>
          <w:i/>
          <w:color w:val="231F20"/>
        </w:rPr>
        <w:t>Fair Value Measurements</w:t>
      </w:r>
    </w:p>
    <w:p>
      <w:pPr>
        <w:pStyle w:val="BodyText"/>
        <w:spacing w:line="247" w:lineRule="auto" w:before="214"/>
        <w:ind w:left="100" w:right="118"/>
        <w:jc w:val="both"/>
      </w:pPr>
      <w:r>
        <w:rPr>
          <w:color w:val="231F20"/>
        </w:rPr>
        <w:t>The Company utilizes unobservable (Level 3) inputs in determining the fair value of certain assets and liabilities. At December 31, 2016, these consisted of a portion of its fuel derivative option contracts, which were a net liability of $258 million.</w:t>
      </w:r>
    </w:p>
    <w:p>
      <w:pPr>
        <w:pStyle w:val="BodyText"/>
        <w:spacing w:line="247" w:lineRule="auto" w:before="206"/>
        <w:ind w:left="100" w:right="117"/>
        <w:jc w:val="both"/>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w:t>
      </w:r>
      <w:r>
        <w:rPr>
          <w:color w:val="231F20"/>
          <w:spacing w:val="42"/>
        </w:rPr>
        <w:t> </w:t>
      </w:r>
      <w:r>
        <w:rPr>
          <w:color w:val="231F20"/>
        </w:rPr>
        <w:t>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before="5"/>
      </w:pPr>
    </w:p>
    <w:p>
      <w:pPr>
        <w:pStyle w:val="BodyText"/>
        <w:spacing w:line="247" w:lineRule="auto"/>
        <w:ind w:left="100" w:right="117"/>
        <w:jc w:val="both"/>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4"/>
        </w:rPr>
        <w:t> </w:t>
      </w:r>
      <w:r>
        <w:rPr>
          <w:color w:val="231F20"/>
        </w:rPr>
        <w:t>values.</w:t>
      </w:r>
    </w:p>
    <w:p>
      <w:pPr>
        <w:pStyle w:val="BodyText"/>
        <w:spacing w:before="5"/>
      </w:pPr>
    </w:p>
    <w:p>
      <w:pPr>
        <w:pStyle w:val="Heading2"/>
        <w:rPr>
          <w:i/>
        </w:rPr>
      </w:pPr>
      <w:r>
        <w:rPr>
          <w:i/>
          <w:color w:val="231F20"/>
        </w:rPr>
        <w:t>Frequent Flyer Accounting</w:t>
      </w:r>
    </w:p>
    <w:p>
      <w:pPr>
        <w:pStyle w:val="BodyText"/>
        <w:rPr>
          <w:b/>
          <w:i/>
          <w:sz w:val="23"/>
        </w:rPr>
      </w:pPr>
    </w:p>
    <w:p>
      <w:pPr>
        <w:pStyle w:val="BodyText"/>
        <w:spacing w:line="247" w:lineRule="auto" w:before="1"/>
        <w:ind w:left="100" w:right="117"/>
        <w:jc w:val="both"/>
      </w:pPr>
      <w:r>
        <w:rPr>
          <w:color w:val="231F20"/>
        </w:rPr>
        <w:t>The Company utilizes estimates in the recognition of liabilities associated with its frequent flyer program. These estimates primarily include the liability associated with Rapid Rewards frequent flyer member (“Member”) account balances that are expected to be redeemed for travel or other products at  a future date. Frequent flyer account balances include points earned through flights taken, points sold  to Customers, or points earned through business partners participating in the frequent flyer</w:t>
      </w:r>
      <w:r>
        <w:rPr>
          <w:color w:val="231F20"/>
          <w:spacing w:val="-6"/>
        </w:rPr>
        <w:t> </w:t>
      </w:r>
      <w:r>
        <w:rPr>
          <w:color w:val="231F20"/>
        </w:rPr>
        <w:t>program.</w:t>
      </w:r>
    </w:p>
    <w:p>
      <w:pPr>
        <w:pStyle w:val="BodyText"/>
        <w:spacing w:before="5"/>
      </w:pPr>
    </w:p>
    <w:p>
      <w:pPr>
        <w:pStyle w:val="BodyText"/>
        <w:spacing w:line="247" w:lineRule="auto"/>
        <w:ind w:left="100" w:right="117"/>
        <w:jc w:val="both"/>
      </w:pPr>
      <w:r>
        <w:rPr>
          <w:color w:val="231F20"/>
        </w:rPr>
        <w:t>Under the Southwest Rapid Rewards frequent flyer program, Members earn points for every dollar spent. The amount of points earned under the program is based on the fare and fare class purchased, with higher fare products (e.g., Business Select) earning more points than lower fare products (e.g., 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Under the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on other airlines, cruises, hotel stays, rental cars, gift cards, event tickets, and more. In addition to earning points for revenue flights and qualifying purchases with Rapid Rewards Partners, Rapid Rewards Members also have the ability to purchase, gift, and transfer points, as well as the ability to donate points to selected charities.</w:t>
      </w:r>
    </w:p>
    <w:p>
      <w:pPr>
        <w:pStyle w:val="BodyText"/>
        <w:spacing w:before="4"/>
      </w:pPr>
    </w:p>
    <w:p>
      <w:pPr>
        <w:pStyle w:val="BodyText"/>
        <w:spacing w:line="247" w:lineRule="auto" w:before="1"/>
        <w:ind w:left="100" w:right="117"/>
        <w:jc w:val="both"/>
      </w:pPr>
      <w:r>
        <w:rPr>
          <w:color w:val="231F20"/>
        </w:rPr>
        <w:t>The Company utilizes the incremental cost method of accounting for points earned through flights taken in its frequent flyer program. Liabilities are recorded for the estimated incremental cost of providing free travel as points are being earned and companion passes earned. The liabilities recorded represent the total number of points expected to be redeemed by Members, regardless of whether the Members may have enough to qualify for a full travel award. The incremental cost liabilities are primarily composed of direct Passenger costs such as fuel, food, and other operational costs, but do</w:t>
      </w:r>
      <w:r>
        <w:rPr>
          <w:color w:val="231F20"/>
          <w:spacing w:val="39"/>
        </w:rPr>
        <w:t> </w:t>
      </w:r>
      <w:r>
        <w:rPr>
          <w:color w:val="231F20"/>
        </w:rPr>
        <w:t>not</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include any contribution to fixed overhead costs or profit. At December 31, 2016, the incremental cost liabilities were approximately $63 million.</w:t>
      </w:r>
    </w:p>
    <w:p>
      <w:pPr>
        <w:pStyle w:val="BodyText"/>
        <w:spacing w:before="5"/>
      </w:pPr>
    </w:p>
    <w:p>
      <w:pPr>
        <w:pStyle w:val="BodyText"/>
        <w:spacing w:line="247" w:lineRule="auto"/>
        <w:ind w:left="100" w:right="117"/>
        <w:jc w:val="both"/>
      </w:pPr>
      <w:r>
        <w:rPr>
          <w:color w:val="231F20"/>
        </w:rPr>
        <w:t>The Company also sells frequent flyer points and related services to business partners participating in the frequent flyer program. The majority of the points sold to business partners are through the Southwest co-branded Chase Visa credit card. Prior to third quarter 2015, funds received from the sale of points associated with these agreements were accounted for under the residual method. Under the residual method, the Company estimated the percent of the amount received from frequent flyer points sold associated with Southwest’s co-branded Chase Visa credit card that related to free travel. The estimated amounts associated with free travel were deferred and recognized as Passenger revenue  when the ultimate free travel awards were flown. During third quarter 2015, the Company executed an amended co-branded credit card agreement (“Agreement”) with Chase Bank USA, N.A. (“Chase”), which materially modified the previously existing agreement between Chase and the Company. Consideration received as part of this Agreement is subject to Accounting Standards Update (“ASU”) 2009-13, Multiple-Deliverable Revenue Arrangements—a consensus of the FASB Emerging Issues Task Force. The modified Agreement has the following multiple elements: travel points to be awarded; use of the Southwest Airlines’ brand and access to Rapid Reward Member lists; advertising elements; and the Company’s resource team. Under ASU 2009-13, these deliverables are accounted for separately and allocation of consideration from the Agreement is determined based on the relative selling price of each deliverable. The application of ASU 2009-13 to the Agreement decreases the relative value of the air transportation deliverables that the Company records as deferred revenue (and ultimately Passenger revenues when redeemed awards are flown) and increases the relative value of  the marketing-related deliverables recorded in Other revenues at the time these marketing-related deliverables are provided. This is principally due to the previous application of the residual method, which effectively applied the entire discount associated with the agreement to the marketing deliverables.</w:t>
      </w:r>
    </w:p>
    <w:p>
      <w:pPr>
        <w:pStyle w:val="BodyText"/>
        <w:spacing w:before="5"/>
      </w:pPr>
    </w:p>
    <w:p>
      <w:pPr>
        <w:pStyle w:val="BodyText"/>
        <w:spacing w:line="247" w:lineRule="auto"/>
        <w:ind w:left="100" w:right="117"/>
        <w:jc w:val="both"/>
      </w:pPr>
      <w:r>
        <w:rPr>
          <w:color w:val="231F20"/>
        </w:rPr>
        <w:t>Significant management judgment was used to estimate the selling price of each of the deliverables. The objective was to determine the price at which the Company would transact a sale if the product or service was sold on a stand-alone basis. The Company determined the best estimate of selling price by considering multiple inputs and methods including, but not limited to, the estimated selling price of comparable travel, discounted cash flows, brand value, published selling prices, number of points awarded, and the number of points redeemed. The Company estimated the selling prices and volumes over the term of the Agreement in order to determine the allocation of proceeds to each of the multiple deliverables. The Company records passenger revenue related to air transportation and certificates for discounted companion travel when the transportation is delivered. A 1.0 percent increase or decrease in the Company’s estimate of the standalone selling prices resulting in an allocation of proceeds to air transportation would have changed the Company’s Operating revenues by less than $14 million for 2016.</w:t>
      </w:r>
    </w:p>
    <w:p>
      <w:pPr>
        <w:pStyle w:val="BodyText"/>
        <w:spacing w:before="5"/>
      </w:pPr>
    </w:p>
    <w:p>
      <w:pPr>
        <w:pStyle w:val="BodyText"/>
        <w:spacing w:line="247" w:lineRule="auto"/>
        <w:ind w:left="100" w:right="118"/>
        <w:jc w:val="both"/>
      </w:pPr>
      <w:r>
        <w:rPr>
          <w:color w:val="231F20"/>
        </w:rPr>
        <w:t>The Company followed the transition approach of ASU 2009-13, which required that the Company’s existing deferred revenue balance, classified within Air traffic liability, be adjusted to reflect the value, on a relative selling price basis, of any undelivered element remaining at the date of contract modification. The relative selling price of the undelivered element (air transportation) was lower than the rate at which it had been deferred under the previous contract and the Company recorded a one-time, non-cash adjustment to decrease frequent flyer deferred revenue and increase revenue through the recording of a Special revenue adjustment of $172 million. In addition, 2015 and 2016 Operating revenues increased by an estimated net $255 million and $261 million, respectively, as a</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result of the amended Agreement with Chase and the resulting July 1, 2015, change in accounting methodology. See Note 1 to the Consolidated Financial Statements for further information.</w:t>
      </w:r>
    </w:p>
    <w:p>
      <w:pPr>
        <w:pStyle w:val="BodyText"/>
        <w:spacing w:before="5"/>
      </w:pPr>
    </w:p>
    <w:p>
      <w:pPr>
        <w:pStyle w:val="BodyText"/>
        <w:spacing w:line="247" w:lineRule="auto"/>
        <w:ind w:left="100" w:right="117"/>
        <w:jc w:val="both"/>
      </w:pPr>
      <w:r>
        <w:rPr>
          <w:color w:val="231F20"/>
        </w:rPr>
        <w:t>Under its current program, Southwest estimates the portion of frequent flyer points that will not be redeemed. In estimating spoilage, the Company takes into account the Member’s past behavior, as well as several factors related to the Member’s account that are expected to be indicative of the likelihood  of future point redemption. These factors include, but are not limited to, tenure with program, points accrued in the program, and whether or not the customer  has  a  co-branded  credit  card.  During fourth quarter 2014, the Company obtained sufficient historical behavioral data to develop a predictive statistical model to analyze the amount of spoilage expected for points sold to business partners. The Company updates this model at least annually, and applies the new spoilage rates effective October 1st each year, or more frequently if required by changes in the business. The rate applied, as of October 1, 2014, accounted for prospectively as a change in estimate, resulted in an increase in Passenger revenue of approximately $55 million for the year ended December 31, 2014, and an increase in Passenger revenue of approximately $115 million for the first nine months of 2015. The new spoilage rates applied in 2015 and 2016 did not have a material impact to Passenger revenues during fourth quarter 2015 or full year 2016. For the year ended December 31, 2016, based on actual redemptions of points sold to business partners, a hypothetical one percentage point change in the estimated spoilage rate would have resulted in a change to Passenger revenue of approximately $40 million (an increase in spoilage would have resulted in an increase in revenue and a decrease in spoilage would have resulted in a decrease in revenue). Given that Member behavior will continue to develop as the program matures, the Company expects the current estimates may change in future periods. However, the Company believes its current estimates are reasonable given current facts and</w:t>
      </w:r>
      <w:r>
        <w:rPr>
          <w:color w:val="231F20"/>
          <w:spacing w:val="2"/>
        </w:rPr>
        <w:t> </w:t>
      </w:r>
      <w:r>
        <w:rPr>
          <w:color w:val="231F20"/>
        </w:rPr>
        <w:t>circumstances.</w:t>
      </w:r>
    </w:p>
    <w:p>
      <w:pPr>
        <w:pStyle w:val="BodyText"/>
        <w:spacing w:before="5"/>
      </w:pPr>
    </w:p>
    <w:p>
      <w:pPr>
        <w:pStyle w:val="Heading2"/>
        <w:rPr>
          <w:i/>
        </w:rPr>
      </w:pPr>
      <w:r>
        <w:rPr>
          <w:i/>
          <w:color w:val="231F20"/>
        </w:rPr>
        <w:t>Goodwill and Other Intangible Assets</w:t>
      </w:r>
    </w:p>
    <w:p>
      <w:pPr>
        <w:pStyle w:val="BodyText"/>
        <w:rPr>
          <w:b/>
          <w:i/>
          <w:sz w:val="23"/>
        </w:rPr>
      </w:pPr>
    </w:p>
    <w:p>
      <w:pPr>
        <w:pStyle w:val="BodyText"/>
        <w:spacing w:line="247" w:lineRule="auto" w:before="1"/>
        <w:ind w:left="100" w:right="117"/>
        <w:jc w:val="both"/>
      </w:pPr>
      <w:r>
        <w:rPr>
          <w:color w:val="231F20"/>
        </w:rPr>
        <w:t>As a result of the Company’s acquisition of AirTran on May 2, 2011, the Company has reflected Goodwill on its Consolidated Balance Sheet in the amount of $970 million at December 31, 2016, the excess of the consideration transferred over the fair value of AirTran’s assets and liabilities on the acquisition date. In addition, the Company’s other intangible assets have a net carrying amount of approximately $426 million at December 31, 2016, of which $295 million related to indefinite-lived intangible assets. Indefinite-lived assets are not amortized and primarily consist of take-off and landing slots at certain domestic slot-controlled airports. Finite-lived intangible assets include leasehold rights to airport gates and certain intangible assets recognized as a part of the valuation of AirTran and are amortized over their estimated economic useful lives. Goodwill and indefinite-lived intangible assets are not amortized, but tested for impairment annually, as of October 1st, or more frequently if events or circumstances indicate that impairment may exist.</w:t>
      </w:r>
    </w:p>
    <w:p>
      <w:pPr>
        <w:pStyle w:val="BodyText"/>
        <w:spacing w:before="5"/>
      </w:pPr>
    </w:p>
    <w:p>
      <w:pPr>
        <w:pStyle w:val="BodyText"/>
        <w:spacing w:line="247" w:lineRule="auto" w:before="1"/>
        <w:ind w:left="100" w:right="117"/>
        <w:jc w:val="both"/>
      </w:pPr>
      <w:r>
        <w:rPr>
          <w:color w:val="231F20"/>
        </w:rPr>
        <w:t>The Company applies a fair value based impairment test to the carrying value of goodwill and indefinite-lived intangible assets annually on October 1st, or more frequently if certain events or 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have affected the fair value of goodwill and indefinite-lived intangible assets. If the Company determines that it is more likely than not that an indefinite-lived intangible asset is impaired, the quantitative approach is used to assess the asset’s fair value and the amount of the impairment. Under a quantitative approach,  the  fair value is calculated  based  on key assumptions  listed below. If the asset’s  </w:t>
      </w:r>
      <w:r>
        <w:rPr>
          <w:color w:val="231F20"/>
          <w:spacing w:val="25"/>
        </w:rPr>
        <w:t> </w:t>
      </w:r>
      <w:r>
        <w:rPr>
          <w:color w:val="231F20"/>
        </w:rPr>
        <w:t>carrying</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bookmarkStart w:name="Item 7A. Quantitative and Qualitative Di" w:id="16"/>
      <w:bookmarkEnd w:id="16"/>
      <w:r>
        <w:rPr/>
      </w:r>
      <w:r>
        <w:rPr>
          <w:color w:val="231F20"/>
        </w:rPr>
        <w:t>value exceeds its fair value calculated using the quantitative approach, an impairment charge is recorded for the difference in fair value and carrying value.</w:t>
      </w:r>
    </w:p>
    <w:p>
      <w:pPr>
        <w:pStyle w:val="BodyText"/>
        <w:spacing w:line="247" w:lineRule="auto" w:before="215"/>
        <w:ind w:left="100" w:right="118"/>
        <w:jc w:val="both"/>
      </w:pPr>
      <w:r>
        <w:rPr>
          <w:color w:val="231F20"/>
        </w:rPr>
        <w:t>When performing a quantitative impairment assessment of goodwill and indefinite-lived intangible assets, fair value is estimated based on (i) recent market transactions, where available; (ii) projected discounted cash flows (an income approach); or (iii) a combination of limited market transactions and the lease savings method (which reflects potential annual after-tax lease savings arising from owning the slots rather than leasing them from another airline at market rates).</w:t>
      </w:r>
    </w:p>
    <w:p>
      <w:pPr>
        <w:pStyle w:val="BodyText"/>
        <w:spacing w:line="247" w:lineRule="auto" w:before="215"/>
        <w:ind w:left="100" w:right="117"/>
        <w:jc w:val="both"/>
      </w:pPr>
      <w:r>
        <w:rPr>
          <w:color w:val="231F20"/>
        </w:rPr>
        <w:t>Key assumptions and/or estimates made in the Company’s impairment tests include: (i) a projection of revenues, expenses, and cash flows; (ii) terminal period revenue growth and cash flows; (iii) an estimated weighted average cost of capital; (iv) an assumed discount rate depending on the asset; (v) a tax rate; and (vi) market prices for comparable assets. The Company believes these assumptions are consistent with those a hypothetical market participant would use given circumstances that were present at the time the estimates were made. However, actual results and amounts may be significantly different from the Company’s</w:t>
      </w:r>
      <w:r>
        <w:rPr>
          <w:color w:val="231F20"/>
          <w:spacing w:val="-2"/>
        </w:rPr>
        <w:t> </w:t>
      </w:r>
      <w:r>
        <w:rPr>
          <w:color w:val="231F20"/>
        </w:rPr>
        <w:t>estimates.</w:t>
      </w:r>
    </w:p>
    <w:p>
      <w:pPr>
        <w:pStyle w:val="BodyText"/>
        <w:spacing w:before="215"/>
        <w:ind w:left="100"/>
        <w:jc w:val="both"/>
      </w:pPr>
      <w:r>
        <w:rPr>
          <w:color w:val="231F20"/>
        </w:rPr>
        <w:t>As part of this evaluation, the Company assesses whether changes in (i) macroeconomic conditions;</w:t>
      </w:r>
    </w:p>
    <w:p>
      <w:pPr>
        <w:pStyle w:val="BodyText"/>
        <w:spacing w:before="7"/>
        <w:ind w:left="100"/>
        <w:jc w:val="both"/>
      </w:pPr>
      <w:r>
        <w:rPr>
          <w:color w:val="231F20"/>
        </w:rPr>
        <w:t>(ii)  industry  and  market  conditions;  (iii)  cost  factors;  (iv)  overall  financial  performance;  and</w:t>
      </w:r>
    </w:p>
    <w:p>
      <w:pPr>
        <w:pStyle w:val="BodyText"/>
        <w:spacing w:line="247" w:lineRule="auto" w:before="7"/>
        <w:ind w:left="100" w:right="117"/>
        <w:jc w:val="both"/>
      </w:pPr>
      <w:r>
        <w:rPr>
          <w:color w:val="231F20"/>
        </w:rPr>
        <w:t>(v) Company-specific events, have occurred which would impact the use and/or fair value of these assets since the Company’s quantitative analysis in 2013. In 2015 and 2016, the Company performed a qualitative assessment of goodwill and determined that there was no indication that goodwill was impaired. The qualitative assessments included analyses and weighting of all relevant factors noted above. The Company performed a quantitative assessment of all indefinite-lived intangible assets in 2015 and a qualitative assessment in 2016 and determined that there was no impairment in either year. The Company did record a $21 million noncash impairment charge related to leased slots at Newark Liberty International Airport (not indefinite-lived assets) as a result of the FAA announcement in April 2016 that this airport was being changed to a Level 2 schedule-facilitated airport from its precious designation as Level 3. Southwest does not believe this FAA decision is indicative of a similar decision being made at its other slot-controlled airports.</w:t>
      </w:r>
    </w:p>
    <w:p>
      <w:pPr>
        <w:pStyle w:val="BodyText"/>
        <w:spacing w:line="247" w:lineRule="auto" w:before="215"/>
        <w:ind w:left="100" w:right="117"/>
        <w:jc w:val="both"/>
      </w:pPr>
      <w:r>
        <w:rPr>
          <w:color w:val="231F20"/>
        </w:rPr>
        <w:t>Future impairment of Goodwill and indefinite-lived intangible assets may result from changes in assumptions, estimates, or circumstances, some of which are beyond the Company’s control. Factors which could result in an impairment of Goodwill, holding other assumptions constant, could include, but are not limited to: (i) a significant reduction in passenger demand as a result of domestic or global economic conditions; (ii) significantly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 Factors which could result in an impairment of owned domestic slots, holding other assumptions constant, could include, but are not limited to: (i) a change in competition</w:t>
      </w:r>
      <w:r>
        <w:rPr>
          <w:color w:val="231F20"/>
          <w:spacing w:val="42"/>
        </w:rPr>
        <w:t> </w:t>
      </w:r>
      <w:r>
        <w:rPr>
          <w:color w:val="231F20"/>
        </w:rPr>
        <w:t>in</w:t>
      </w:r>
      <w:r>
        <w:rPr>
          <w:color w:val="231F20"/>
          <w:spacing w:val="42"/>
        </w:rPr>
        <w:t> </w:t>
      </w:r>
      <w:r>
        <w:rPr>
          <w:color w:val="231F20"/>
        </w:rPr>
        <w:t>the</w:t>
      </w:r>
      <w:r>
        <w:rPr>
          <w:color w:val="231F20"/>
          <w:spacing w:val="43"/>
        </w:rPr>
        <w:t> </w:t>
      </w:r>
      <w:r>
        <w:rPr>
          <w:color w:val="231F20"/>
        </w:rPr>
        <w:t>slotted</w:t>
      </w:r>
      <w:r>
        <w:rPr>
          <w:color w:val="231F20"/>
          <w:spacing w:val="43"/>
        </w:rPr>
        <w:t> </w:t>
      </w:r>
      <w:r>
        <w:rPr>
          <w:color w:val="231F20"/>
        </w:rPr>
        <w:t>airport;</w:t>
      </w:r>
      <w:r>
        <w:rPr>
          <w:color w:val="231F20"/>
          <w:spacing w:val="42"/>
        </w:rPr>
        <w:t> </w:t>
      </w:r>
      <w:r>
        <w:rPr>
          <w:color w:val="231F20"/>
        </w:rPr>
        <w:t>(ii)</w:t>
      </w:r>
      <w:r>
        <w:rPr>
          <w:color w:val="231F20"/>
          <w:spacing w:val="42"/>
        </w:rPr>
        <w:t> </w:t>
      </w:r>
      <w:r>
        <w:rPr>
          <w:color w:val="231F20"/>
        </w:rPr>
        <w:t>a</w:t>
      </w:r>
      <w:r>
        <w:rPr>
          <w:color w:val="231F20"/>
          <w:spacing w:val="43"/>
        </w:rPr>
        <w:t> </w:t>
      </w:r>
      <w:r>
        <w:rPr>
          <w:color w:val="231F20"/>
        </w:rPr>
        <w:t>change</w:t>
      </w:r>
      <w:r>
        <w:rPr>
          <w:color w:val="231F20"/>
          <w:spacing w:val="43"/>
        </w:rPr>
        <w:t> </w:t>
      </w:r>
      <w:r>
        <w:rPr>
          <w:color w:val="231F20"/>
        </w:rPr>
        <w:t>in</w:t>
      </w:r>
      <w:r>
        <w:rPr>
          <w:color w:val="231F20"/>
          <w:spacing w:val="42"/>
        </w:rPr>
        <w:t> </w:t>
      </w:r>
      <w:r>
        <w:rPr>
          <w:color w:val="231F20"/>
        </w:rPr>
        <w:t>governmental</w:t>
      </w:r>
      <w:r>
        <w:rPr>
          <w:color w:val="231F20"/>
          <w:spacing w:val="43"/>
        </w:rPr>
        <w:t> </w:t>
      </w:r>
      <w:r>
        <w:rPr>
          <w:color w:val="231F20"/>
        </w:rPr>
        <w:t>regulations</w:t>
      </w:r>
      <w:r>
        <w:rPr>
          <w:color w:val="231F20"/>
          <w:spacing w:val="43"/>
        </w:rPr>
        <w:t> </w:t>
      </w:r>
      <w:r>
        <w:rPr>
          <w:color w:val="231F20"/>
        </w:rPr>
        <w:t>in</w:t>
      </w:r>
      <w:r>
        <w:rPr>
          <w:color w:val="231F20"/>
          <w:spacing w:val="42"/>
        </w:rPr>
        <w:t> </w:t>
      </w:r>
      <w:r>
        <w:rPr>
          <w:color w:val="231F20"/>
        </w:rPr>
        <w:t>the</w:t>
      </w:r>
      <w:r>
        <w:rPr>
          <w:color w:val="231F20"/>
          <w:spacing w:val="43"/>
        </w:rPr>
        <w:t> </w:t>
      </w:r>
      <w:r>
        <w:rPr>
          <w:color w:val="231F20"/>
        </w:rPr>
        <w:t>slotted</w:t>
      </w:r>
      <w:r>
        <w:rPr>
          <w:color w:val="231F20"/>
          <w:spacing w:val="43"/>
        </w:rPr>
        <w:t> </w:t>
      </w:r>
      <w:r>
        <w:rPr>
          <w:color w:val="231F20"/>
        </w:rPr>
        <w:t>airport;</w:t>
      </w:r>
    </w:p>
    <w:p>
      <w:pPr>
        <w:pStyle w:val="BodyText"/>
        <w:spacing w:line="253" w:lineRule="exact"/>
        <w:ind w:left="100"/>
        <w:jc w:val="both"/>
      </w:pPr>
      <w:r>
        <w:rPr>
          <w:color w:val="231F20"/>
        </w:rPr>
        <w:t>(iii) significantly higher prices for jet fuel; and (iv) increased competition at a nearby airport.</w:t>
      </w:r>
    </w:p>
    <w:p>
      <w:pPr>
        <w:pStyle w:val="BodyText"/>
        <w:spacing w:before="5"/>
        <w:rPr>
          <w:sz w:val="19"/>
        </w:rPr>
      </w:pPr>
    </w:p>
    <w:p>
      <w:pPr>
        <w:pStyle w:val="Heading2"/>
        <w:tabs>
          <w:tab w:pos="1749" w:val="left" w:leader="none"/>
        </w:tabs>
        <w:ind w:left="100"/>
        <w:jc w:val="both"/>
        <w:rPr>
          <w:i/>
        </w:rPr>
      </w:pPr>
      <w:r>
        <w:rPr>
          <w:i w:val="0"/>
          <w:color w:val="231F20"/>
        </w:rPr>
        <w:t>Item 7A.</w:t>
        <w:tab/>
      </w:r>
      <w:r>
        <w:rPr>
          <w:i/>
          <w:color w:val="231F20"/>
        </w:rPr>
        <w:t>Quantitative and Qualitative Disclosures About Market</w:t>
      </w:r>
      <w:r>
        <w:rPr>
          <w:i/>
          <w:color w:val="231F20"/>
          <w:spacing w:val="-2"/>
        </w:rPr>
        <w:t> </w:t>
      </w:r>
      <w:r>
        <w:rPr>
          <w:i/>
          <w:color w:val="231F20"/>
        </w:rPr>
        <w:t>Risk</w:t>
      </w:r>
    </w:p>
    <w:p>
      <w:pPr>
        <w:pStyle w:val="BodyText"/>
        <w:spacing w:before="4"/>
        <w:rPr>
          <w:b/>
          <w:i/>
          <w:sz w:val="19"/>
        </w:rPr>
      </w:pPr>
    </w:p>
    <w:p>
      <w:pPr>
        <w:pStyle w:val="BodyText"/>
        <w:spacing w:line="247" w:lineRule="auto"/>
        <w:ind w:left="100" w:right="117"/>
        <w:jc w:val="both"/>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December 31, 2016, Southwest operated a total of 134 aircraft under operating and capital lease.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The Company also has 78 aircraft under operating and capital lease that have been subleased to another carrier. Further information about this sublease arrangement is disclosed in Note 7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 instruments.</w:t>
      </w:r>
    </w:p>
    <w:p>
      <w:pPr>
        <w:pStyle w:val="BodyText"/>
        <w:spacing w:before="5"/>
      </w:pPr>
    </w:p>
    <w:p>
      <w:pPr>
        <w:pStyle w:val="Heading2"/>
        <w:ind w:left="100"/>
        <w:jc w:val="both"/>
        <w:rPr>
          <w:i/>
        </w:rPr>
      </w:pPr>
      <w:r>
        <w:rPr>
          <w:i/>
          <w:color w:val="231F20"/>
        </w:rPr>
        <w:t>Hedging</w:t>
      </w:r>
    </w:p>
    <w:p>
      <w:pPr>
        <w:pStyle w:val="BodyText"/>
        <w:spacing w:before="1"/>
        <w:rPr>
          <w:b/>
          <w:i/>
          <w:sz w:val="23"/>
        </w:rPr>
      </w:pPr>
    </w:p>
    <w:p>
      <w:pPr>
        <w:pStyle w:val="BodyText"/>
        <w:spacing w:line="247" w:lineRule="auto"/>
        <w:ind w:left="100" w:right="117"/>
        <w:jc w:val="both"/>
      </w:pPr>
      <w:r>
        <w:rPr>
          <w:color w:val="231F20"/>
        </w:rPr>
        <w:t>The Company purchases jet fuel at prevailing market prices, but seeks to manage market risk through execution of a documented hedging strategy. The Company utilizes financial derivative instruments, on both a short-term and a long-term basis, as a form of insurance against the potential for significant increases in fuel prices. The Company believes there can be significant risk in not hedging against the possibility of such fuel price increases, especially in energy markets in which prices are high and/or rising. The Company expects to consume approximately 2 billion gallons of jet fuel in 2017. Based on this anticipated usage, a change in jet fuel prices of just one cent per gallon would impact the Company’s Fuel and oil expense by approximately $20 million for 2017, excluding any impact associated with fuel derivative instruments held.</w:t>
      </w:r>
    </w:p>
    <w:p>
      <w:pPr>
        <w:pStyle w:val="BodyText"/>
        <w:spacing w:before="5"/>
      </w:pPr>
    </w:p>
    <w:p>
      <w:pPr>
        <w:pStyle w:val="BodyText"/>
        <w:spacing w:line="247" w:lineRule="auto"/>
        <w:ind w:left="100" w:right="117"/>
        <w:jc w:val="both"/>
      </w:pPr>
      <w:r>
        <w:rPr>
          <w:color w:val="231F20"/>
        </w:rPr>
        <w:t>As of December 31, 2016, the Company held a net position of fuel derivative instruments that represented a hedge for a portion of its anticipated jet fuel purchases for each year from 2017 through 2019.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while considering the significant cost that can be associated with different types of hedging strategies. The gross fair value of outstanding financial derivative instruments related to the Company’s jet fuel market price risk at December 31, 2016, was a net liability of $326 million. In addition, $301 million in cash collateral deposits were provided by the Company in connection with these instruments based on their fair value as of December 31, 2016.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2016 (for all years from 2017 through 2019) prices would correspondingly change the fair value of the commodity derivative instruments in place by approximately $266 million. Fluctuations in the related commodity derivative instrument cash flows may change by more or less than this amount based upon further fluctuations in futures prices, as well as related income tax effects. In addition, this does not consider changes in cash, aircraft, or letters of credit utilized as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2016, levels, except underlying futures prices.</w:t>
      </w:r>
    </w:p>
    <w:p>
      <w:pPr>
        <w:pStyle w:val="BodyText"/>
        <w:spacing w:before="5"/>
      </w:pPr>
    </w:p>
    <w:p>
      <w:pPr>
        <w:pStyle w:val="BodyText"/>
        <w:spacing w:line="247" w:lineRule="auto"/>
        <w:ind w:left="100" w:right="117"/>
        <w:jc w:val="both"/>
      </w:pPr>
      <w:r>
        <w:rPr>
          <w:color w:val="231F20"/>
        </w:rPr>
        <w:t>The Company’s credit exposure related to fuel derivative instruments is represented by the fair value of contracts that are an asset to the Company. At such times, these outstanding instruments expose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Company to credit loss in the event of nonperformance by the counterparties to the agreements. As of December 31, 2016, the Company had five counterparties in which the derivatives held were a net asset. To manage credit risk, the Company selects and periodically reviews counterparties based on credit ratings, limits its exposure with respect to each counterparty, and monitors the market position of the fuel hedging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2016, the Company had agreements with all of its active counterparties containing early termination rights and/or bilateral collateral provisions whereby security is required if market risk exposure exceeds a specified threshold amount based on the counterparty’s credit rating. The Company also had agreements with counterparties in which cash deposits, letters of credit, and/or pledged aircraft are required to be posted as collateral whenever the net fair value of derivatives associated with those counterparties exceeds specific thresholds. Refer to the counterparty credit risk and collateral table provided in Note 10 to the Consolidated Financial Statements for the fair values of fuel derivatives, amounts posted as collateral, and applicable collateral posting threshold amounts as of December 31, 2016, at which such postings are triggered.</w:t>
      </w:r>
    </w:p>
    <w:p>
      <w:pPr>
        <w:pStyle w:val="BodyText"/>
        <w:spacing w:before="5"/>
      </w:pPr>
    </w:p>
    <w:p>
      <w:pPr>
        <w:pStyle w:val="BodyText"/>
        <w:spacing w:line="247" w:lineRule="auto"/>
        <w:ind w:left="100" w:right="117"/>
        <w:jc w:val="both"/>
      </w:pPr>
      <w:r>
        <w:rPr>
          <w:color w:val="231F20"/>
        </w:rPr>
        <w:t>Due to the terms of the Company’s current fuel hedging agreements with counterparties and the types of derivatives held, in the Company’s judgment, it does not have significant additional cash collateral exposure. Given its investment grade credit rating, the Company can meet any additional significant collateral calls by posting aircraft and/or letters of credit. As an example, if market prices for the commodities used in the Company’s fuel hedging activities were to decrease by 25 percent from  market prices as of December 31, 2016, given the Company’s current fuel derivative portfolio, its aircraft collateral facilities, and its investment grade credit rating, it would likely provide an </w:t>
      </w:r>
      <w:r>
        <w:rPr>
          <w:color w:val="231F20"/>
          <w:spacing w:val="41"/>
        </w:rPr>
        <w:t> </w:t>
      </w:r>
      <w:r>
        <w:rPr>
          <w:color w:val="231F20"/>
        </w:rPr>
        <w:t>additional</w:t>
      </w:r>
    </w:p>
    <w:p>
      <w:pPr>
        <w:pStyle w:val="BodyText"/>
        <w:spacing w:line="247" w:lineRule="auto"/>
        <w:ind w:left="100" w:right="118"/>
        <w:jc w:val="both"/>
      </w:pPr>
      <w:r>
        <w:rPr>
          <w:color w:val="231F20"/>
        </w:rPr>
        <w:t>$256 million in collateral. The Company would have the option of providing cash, letters of credit, and/or pledging aircraft in order to meet this collateral requirement. At December 31, 2016, the Company had $1.6 billion in aircraft available to be posted as collateral. In addition, the Company would expect to also benefit from lower market prices paid for fuel used in its operations. See         Note 10 to the Consolidated Financial</w:t>
      </w:r>
      <w:r>
        <w:rPr>
          <w:color w:val="231F20"/>
          <w:spacing w:val="-1"/>
        </w:rPr>
        <w:t> </w:t>
      </w:r>
      <w:r>
        <w:rPr>
          <w:color w:val="231F20"/>
        </w:rPr>
        <w:t>Statements.</w:t>
      </w:r>
    </w:p>
    <w:p>
      <w:pPr>
        <w:pStyle w:val="BodyText"/>
        <w:spacing w:before="6"/>
      </w:pPr>
    </w:p>
    <w:p>
      <w:pPr>
        <w:pStyle w:val="BodyText"/>
        <w:spacing w:line="247" w:lineRule="auto"/>
        <w:ind w:left="100" w:right="117"/>
        <w:jc w:val="both"/>
      </w:pPr>
      <w:r>
        <w:rPr>
          <w:color w:val="231F20"/>
        </w:rPr>
        <w:t>The Company is also subject to the risk that the fuel derivatives it uses to hedge against fuel price volatility do not provide adequate protection. In recent years, jet fuel prices have been closely correlated with changes in the price of Brent crude oil. The Company has attempted to mitigate some of this risk by entering into more fuel hedges based on Brent crude oil. In addition, to add further protection, the Company may periodically enter into jet fuel derivatives for short-term timeframes. Jet fuel is not widely traded on an organized futures exchange and, therefore, there are limited opportunities to hedge directly in jet fuel for time horizons longer than approximately 24 months into the future.</w:t>
      </w:r>
    </w:p>
    <w:p>
      <w:pPr>
        <w:pStyle w:val="BodyText"/>
        <w:spacing w:before="5"/>
      </w:pPr>
    </w:p>
    <w:p>
      <w:pPr>
        <w:pStyle w:val="BodyText"/>
        <w:spacing w:line="247" w:lineRule="auto"/>
        <w:ind w:left="100" w:right="117"/>
        <w:jc w:val="both"/>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2016, no cash collateral deposits were provided by or held by the Company based on its outstanding interest rate swap agreements.</w:t>
      </w:r>
    </w:p>
    <w:p>
      <w:pPr>
        <w:pStyle w:val="BodyText"/>
        <w:spacing w:before="5"/>
      </w:pPr>
    </w:p>
    <w:p>
      <w:pPr>
        <w:pStyle w:val="BodyText"/>
        <w:spacing w:line="247" w:lineRule="auto"/>
        <w:ind w:left="100" w:right="117"/>
        <w:jc w:val="both"/>
      </w:pPr>
      <w:r>
        <w:rPr>
          <w:color w:val="231F20"/>
        </w:rPr>
        <w:t>Due to the significance of the Company’s fuel hedging program and the emphasis that the Company places on utilizing fuel derivatives to reduce its fuel price risk, the Company has created a system of</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w:t>
      </w:r>
    </w:p>
    <w:p>
      <w:pPr>
        <w:pStyle w:val="BodyText"/>
        <w:spacing w:line="247" w:lineRule="auto"/>
        <w:ind w:left="100" w:right="117"/>
        <w:jc w:val="both"/>
      </w:pPr>
      <w:r>
        <w:rPr>
          <w:color w:val="231F20"/>
        </w:rPr>
        <w:t>(iii) provide for proper segregation of duties; (iv)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w:t>
      </w:r>
      <w:r>
        <w:rPr>
          <w:color w:val="231F20"/>
          <w:spacing w:val="-1"/>
        </w:rPr>
        <w:t> </w:t>
      </w:r>
      <w:r>
        <w:rPr>
          <w:color w:val="231F20"/>
        </w:rPr>
        <w:t>program.</w:t>
      </w:r>
    </w:p>
    <w:p>
      <w:pPr>
        <w:pStyle w:val="Heading2"/>
        <w:spacing w:before="204"/>
        <w:ind w:left="819"/>
        <w:rPr>
          <w:i/>
        </w:rPr>
      </w:pPr>
      <w:r>
        <w:rPr>
          <w:i/>
          <w:color w:val="231F20"/>
        </w:rPr>
        <w:t>Financial Market Risk</w:t>
      </w:r>
    </w:p>
    <w:p>
      <w:pPr>
        <w:pStyle w:val="BodyText"/>
        <w:spacing w:line="247" w:lineRule="auto" w:before="210"/>
        <w:ind w:left="100" w:right="117"/>
        <w:jc w:val="both"/>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“Baa1” credit rating with Moody’s as of December 31, 2016, all of which are considered “investment grade.” The Company’s French Credit Agreements due 2018 do not give rise to significant 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an interest rate swap agreement. Although there is interest rate risk associated with these floating rate borrowings, the risk of the French Credit Agreements due 2018 is somewhat mitigated by the fact that the Company may prepay this debt under certain conditions. See Note 6 to the Consolidated Financial Statements for more information on the material terms of the Company’s short-term and long-term debt.</w:t>
      </w:r>
    </w:p>
    <w:p>
      <w:pPr>
        <w:pStyle w:val="BodyText"/>
        <w:spacing w:line="247" w:lineRule="auto" w:before="203"/>
        <w:ind w:left="100" w:right="116"/>
        <w:jc w:val="both"/>
      </w:pPr>
      <w:r>
        <w:rPr>
          <w:color w:val="231F20"/>
        </w:rPr>
        <w:t>As of December 31, 2016, excluding the notes or debentures that have been converted to a floating  rate, the Company’s fixed-rate senior unsecured notes outstanding included its $300 million 5.125% senior unsecured notes due 2017, its $300 million 3.00% senior unsecured notes due 2026, and its $100 million 7.375% senior unsecured notes due 2027. Excluding the notes due 2026, these notes had at one point been converted to floating rates, but the Company subsequently terminated the fixed-to-floating interest rate swap agreements related to them. The effect of these terminations was that the interest associated with these debts prospectively reverted back to their original fixed rates. As a result of the gains realized on these transactions, which are being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following table displays the characteristics of the Company’s secured fixed rate debt as of December 31, 2016:</w:t>
      </w:r>
    </w:p>
    <w:p>
      <w:pPr>
        <w:spacing w:line="201" w:lineRule="exact" w:before="162"/>
        <w:ind w:left="2578" w:right="0" w:firstLine="0"/>
        <w:jc w:val="left"/>
        <w:rPr>
          <w:b/>
          <w:sz w:val="20"/>
        </w:rPr>
      </w:pPr>
      <w:r>
        <w:rPr>
          <w:b/>
          <w:color w:val="231F20"/>
          <w:sz w:val="20"/>
        </w:rPr>
        <w:t>Principal</w:t>
      </w:r>
    </w:p>
    <w:p>
      <w:pPr>
        <w:spacing w:after="0" w:line="201" w:lineRule="exact"/>
        <w:jc w:val="left"/>
        <w:rPr>
          <w:sz w:val="20"/>
        </w:rPr>
        <w:sectPr>
          <w:pgSz w:w="11880" w:h="15480"/>
          <w:pgMar w:header="0" w:footer="1240" w:top="1240" w:bottom="1420" w:left="1280" w:right="1260"/>
        </w:sectPr>
      </w:pPr>
    </w:p>
    <w:p>
      <w:pPr>
        <w:spacing w:line="229" w:lineRule="exact" w:before="0"/>
        <w:ind w:left="0" w:right="0" w:firstLine="0"/>
        <w:jc w:val="right"/>
        <w:rPr>
          <w:b/>
          <w:sz w:val="20"/>
        </w:rPr>
      </w:pPr>
      <w:r>
        <w:rPr/>
        <w:pict>
          <v:shape style="position:absolute;margin-left:69pt;margin-top:9.989826pt;width:456pt;height:58.3pt;mso-position-horizontal-relative:page;mso-position-vertical-relative:paragraph;z-index:275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73"/>
                    <w:gridCol w:w="1200"/>
                    <w:gridCol w:w="120"/>
                    <w:gridCol w:w="1058"/>
                    <w:gridCol w:w="320"/>
                    <w:gridCol w:w="1000"/>
                    <w:gridCol w:w="120"/>
                    <w:gridCol w:w="3029"/>
                  </w:tblGrid>
                  <w:tr>
                    <w:trPr>
                      <w:trHeight w:val="256" w:hRule="exact"/>
                    </w:trPr>
                    <w:tc>
                      <w:tcPr>
                        <w:tcW w:w="2273" w:type="dxa"/>
                      </w:tcPr>
                      <w:p>
                        <w:pPr/>
                      </w:p>
                    </w:tc>
                    <w:tc>
                      <w:tcPr>
                        <w:tcW w:w="1200" w:type="dxa"/>
                        <w:tcBorders>
                          <w:bottom w:val="single" w:sz="8" w:space="0" w:color="231F20"/>
                        </w:tcBorders>
                      </w:tcPr>
                      <w:p>
                        <w:pPr>
                          <w:pStyle w:val="TableParagraph"/>
                          <w:spacing w:line="229" w:lineRule="exact" w:before="0"/>
                          <w:ind w:left="83"/>
                          <w:rPr>
                            <w:b/>
                            <w:sz w:val="20"/>
                          </w:rPr>
                        </w:pPr>
                        <w:r>
                          <w:rPr>
                            <w:b/>
                            <w:color w:val="231F20"/>
                            <w:sz w:val="20"/>
                          </w:rPr>
                          <w:t>(in millions)</w:t>
                        </w:r>
                      </w:p>
                    </w:tc>
                    <w:tc>
                      <w:tcPr>
                        <w:tcW w:w="120" w:type="dxa"/>
                      </w:tcPr>
                      <w:p>
                        <w:pPr/>
                      </w:p>
                    </w:tc>
                    <w:tc>
                      <w:tcPr>
                        <w:tcW w:w="1058" w:type="dxa"/>
                        <w:tcBorders>
                          <w:bottom w:val="single" w:sz="8" w:space="0" w:color="231F20"/>
                        </w:tcBorders>
                      </w:tcPr>
                      <w:p>
                        <w:pPr>
                          <w:pStyle w:val="TableParagraph"/>
                          <w:spacing w:line="229" w:lineRule="exact" w:before="0"/>
                          <w:ind w:left="119"/>
                          <w:rPr>
                            <w:b/>
                            <w:sz w:val="20"/>
                          </w:rPr>
                        </w:pPr>
                        <w:r>
                          <w:rPr>
                            <w:b/>
                            <w:color w:val="231F20"/>
                            <w:sz w:val="20"/>
                          </w:rPr>
                          <w:t>fixed rate</w:t>
                        </w:r>
                      </w:p>
                    </w:tc>
                    <w:tc>
                      <w:tcPr>
                        <w:tcW w:w="320" w:type="dxa"/>
                      </w:tcPr>
                      <w:p>
                        <w:pPr/>
                      </w:p>
                    </w:tc>
                    <w:tc>
                      <w:tcPr>
                        <w:tcW w:w="1000" w:type="dxa"/>
                        <w:tcBorders>
                          <w:bottom w:val="single" w:sz="8" w:space="0" w:color="231F20"/>
                        </w:tcBorders>
                      </w:tcPr>
                      <w:p>
                        <w:pPr>
                          <w:pStyle w:val="TableParagraph"/>
                          <w:spacing w:line="229" w:lineRule="exact" w:before="0"/>
                          <w:ind w:left="120"/>
                          <w:rPr>
                            <w:b/>
                            <w:sz w:val="20"/>
                          </w:rPr>
                        </w:pPr>
                        <w:r>
                          <w:rPr>
                            <w:b/>
                            <w:color w:val="231F20"/>
                            <w:sz w:val="20"/>
                          </w:rPr>
                          <w:t>maturity</w:t>
                        </w:r>
                      </w:p>
                    </w:tc>
                    <w:tc>
                      <w:tcPr>
                        <w:tcW w:w="120" w:type="dxa"/>
                      </w:tcPr>
                      <w:p>
                        <w:pPr/>
                      </w:p>
                    </w:tc>
                    <w:tc>
                      <w:tcPr>
                        <w:tcW w:w="3029" w:type="dxa"/>
                        <w:tcBorders>
                          <w:bottom w:val="single" w:sz="8" w:space="0" w:color="231F20"/>
                        </w:tcBorders>
                      </w:tcPr>
                      <w:p>
                        <w:pPr>
                          <w:pStyle w:val="TableParagraph"/>
                          <w:spacing w:line="229" w:lineRule="exact" w:before="0"/>
                          <w:ind w:left="565"/>
                          <w:rPr>
                            <w:b/>
                            <w:sz w:val="20"/>
                          </w:rPr>
                        </w:pPr>
                        <w:r>
                          <w:rPr>
                            <w:b/>
                            <w:color w:val="231F20"/>
                            <w:sz w:val="20"/>
                          </w:rPr>
                          <w:t>Underlying collateral</w:t>
                        </w:r>
                      </w:p>
                    </w:tc>
                  </w:tr>
                  <w:tr>
                    <w:trPr>
                      <w:trHeight w:val="310" w:hRule="exact"/>
                    </w:trPr>
                    <w:tc>
                      <w:tcPr>
                        <w:tcW w:w="2273" w:type="dxa"/>
                        <w:shd w:val="clear" w:color="auto" w:fill="D1D3D4"/>
                      </w:tcPr>
                      <w:p>
                        <w:pPr>
                          <w:pStyle w:val="TableParagraph"/>
                          <w:ind w:left="60"/>
                          <w:rPr>
                            <w:sz w:val="20"/>
                          </w:rPr>
                        </w:pPr>
                        <w:r>
                          <w:rPr>
                            <w:color w:val="231F20"/>
                            <w:sz w:val="20"/>
                          </w:rPr>
                          <w:t>Term Loan Agreement</w:t>
                        </w:r>
                      </w:p>
                    </w:tc>
                    <w:tc>
                      <w:tcPr>
                        <w:tcW w:w="1200" w:type="dxa"/>
                        <w:tcBorders>
                          <w:top w:val="single" w:sz="8" w:space="0" w:color="231F20"/>
                        </w:tcBorders>
                        <w:shd w:val="clear" w:color="auto" w:fill="D1D3D4"/>
                      </w:tcPr>
                      <w:p>
                        <w:pPr>
                          <w:pStyle w:val="TableParagraph"/>
                          <w:tabs>
                            <w:tab w:pos="899" w:val="left" w:leader="none"/>
                          </w:tabs>
                          <w:jc w:val="right"/>
                          <w:rPr>
                            <w:sz w:val="20"/>
                          </w:rPr>
                        </w:pPr>
                        <w:r>
                          <w:rPr>
                            <w:color w:val="231F20"/>
                            <w:sz w:val="20"/>
                          </w:rPr>
                          <w:t>$</w:t>
                          <w:tab/>
                          <w:t>106</w:t>
                        </w:r>
                      </w:p>
                    </w:tc>
                    <w:tc>
                      <w:tcPr>
                        <w:tcW w:w="120" w:type="dxa"/>
                        <w:shd w:val="clear" w:color="auto" w:fill="D1D3D4"/>
                      </w:tcPr>
                      <w:p>
                        <w:pPr/>
                      </w:p>
                    </w:tc>
                    <w:tc>
                      <w:tcPr>
                        <w:tcW w:w="1058" w:type="dxa"/>
                        <w:tcBorders>
                          <w:top w:val="single" w:sz="8" w:space="0" w:color="231F20"/>
                        </w:tcBorders>
                        <w:shd w:val="clear" w:color="auto" w:fill="D1D3D4"/>
                      </w:tcPr>
                      <w:p>
                        <w:pPr>
                          <w:pStyle w:val="TableParagraph"/>
                          <w:jc w:val="right"/>
                          <w:rPr>
                            <w:sz w:val="20"/>
                          </w:rPr>
                        </w:pPr>
                        <w:r>
                          <w:rPr>
                            <w:color w:val="231F20"/>
                            <w:sz w:val="20"/>
                          </w:rPr>
                          <w:t>6.315%</w:t>
                        </w:r>
                      </w:p>
                    </w:tc>
                    <w:tc>
                      <w:tcPr>
                        <w:tcW w:w="320" w:type="dxa"/>
                        <w:shd w:val="clear" w:color="auto" w:fill="D1D3D4"/>
                      </w:tcPr>
                      <w:p>
                        <w:pPr/>
                      </w:p>
                    </w:tc>
                    <w:tc>
                      <w:tcPr>
                        <w:tcW w:w="1000" w:type="dxa"/>
                        <w:tcBorders>
                          <w:top w:val="single" w:sz="8" w:space="0" w:color="231F20"/>
                        </w:tcBorders>
                        <w:shd w:val="clear" w:color="auto" w:fill="D1D3D4"/>
                      </w:tcPr>
                      <w:p>
                        <w:pPr>
                          <w:pStyle w:val="TableParagraph"/>
                          <w:jc w:val="right"/>
                          <w:rPr>
                            <w:sz w:val="20"/>
                          </w:rPr>
                        </w:pPr>
                        <w:r>
                          <w:rPr>
                            <w:color w:val="231F20"/>
                            <w:sz w:val="20"/>
                          </w:rPr>
                          <w:t>5/6/2019</w:t>
                        </w:r>
                      </w:p>
                    </w:tc>
                    <w:tc>
                      <w:tcPr>
                        <w:tcW w:w="120" w:type="dxa"/>
                        <w:shd w:val="clear" w:color="auto" w:fill="D1D3D4"/>
                      </w:tcPr>
                      <w:p>
                        <w:pPr/>
                      </w:p>
                    </w:tc>
                    <w:tc>
                      <w:tcPr>
                        <w:tcW w:w="3029" w:type="dxa"/>
                        <w:tcBorders>
                          <w:top w:val="single" w:sz="8" w:space="0" w:color="231F20"/>
                        </w:tcBorders>
                        <w:shd w:val="clear" w:color="auto" w:fill="D1D3D4"/>
                      </w:tcPr>
                      <w:p>
                        <w:pPr>
                          <w:pStyle w:val="TableParagraph"/>
                          <w:ind w:right="80"/>
                          <w:jc w:val="right"/>
                          <w:rPr>
                            <w:sz w:val="20"/>
                          </w:rPr>
                        </w:pPr>
                        <w:r>
                          <w:rPr>
                            <w:color w:val="231F20"/>
                            <w:sz w:val="20"/>
                          </w:rPr>
                          <w:t>14 specified Boeing 737-700 aircraft</w:t>
                        </w:r>
                      </w:p>
                    </w:tc>
                  </w:tr>
                  <w:tr>
                    <w:trPr>
                      <w:trHeight w:val="300" w:hRule="exact"/>
                    </w:trPr>
                    <w:tc>
                      <w:tcPr>
                        <w:tcW w:w="2273" w:type="dxa"/>
                      </w:tcPr>
                      <w:p>
                        <w:pPr>
                          <w:pStyle w:val="TableParagraph"/>
                          <w:ind w:left="60"/>
                          <w:rPr>
                            <w:sz w:val="20"/>
                          </w:rPr>
                        </w:pPr>
                        <w:r>
                          <w:rPr>
                            <w:color w:val="231F20"/>
                            <w:sz w:val="20"/>
                          </w:rPr>
                          <w:t>Term Loan Agreement</w:t>
                        </w:r>
                      </w:p>
                    </w:tc>
                    <w:tc>
                      <w:tcPr>
                        <w:tcW w:w="1200" w:type="dxa"/>
                      </w:tcPr>
                      <w:p>
                        <w:pPr>
                          <w:pStyle w:val="TableParagraph"/>
                          <w:jc w:val="right"/>
                          <w:rPr>
                            <w:sz w:val="20"/>
                          </w:rPr>
                        </w:pPr>
                        <w:r>
                          <w:rPr>
                            <w:color w:val="231F20"/>
                            <w:sz w:val="20"/>
                          </w:rPr>
                          <w:t>28</w:t>
                        </w:r>
                      </w:p>
                    </w:tc>
                    <w:tc>
                      <w:tcPr>
                        <w:tcW w:w="120" w:type="dxa"/>
                      </w:tcPr>
                      <w:p>
                        <w:pPr/>
                      </w:p>
                    </w:tc>
                    <w:tc>
                      <w:tcPr>
                        <w:tcW w:w="1058" w:type="dxa"/>
                      </w:tcPr>
                      <w:p>
                        <w:pPr>
                          <w:pStyle w:val="TableParagraph"/>
                          <w:jc w:val="right"/>
                          <w:rPr>
                            <w:sz w:val="20"/>
                          </w:rPr>
                        </w:pPr>
                        <w:r>
                          <w:rPr>
                            <w:color w:val="231F20"/>
                            <w:sz w:val="20"/>
                          </w:rPr>
                          <w:t>4.84%</w:t>
                        </w:r>
                      </w:p>
                    </w:tc>
                    <w:tc>
                      <w:tcPr>
                        <w:tcW w:w="320" w:type="dxa"/>
                      </w:tcPr>
                      <w:p>
                        <w:pPr/>
                      </w:p>
                    </w:tc>
                    <w:tc>
                      <w:tcPr>
                        <w:tcW w:w="1000" w:type="dxa"/>
                      </w:tcPr>
                      <w:p>
                        <w:pPr>
                          <w:pStyle w:val="TableParagraph"/>
                          <w:jc w:val="right"/>
                          <w:rPr>
                            <w:sz w:val="20"/>
                          </w:rPr>
                        </w:pPr>
                        <w:r>
                          <w:rPr>
                            <w:color w:val="231F20"/>
                            <w:sz w:val="20"/>
                          </w:rPr>
                          <w:t>7/1/2019</w:t>
                        </w:r>
                      </w:p>
                    </w:tc>
                    <w:tc>
                      <w:tcPr>
                        <w:tcW w:w="120" w:type="dxa"/>
                      </w:tcPr>
                      <w:p>
                        <w:pPr/>
                      </w:p>
                    </w:tc>
                    <w:tc>
                      <w:tcPr>
                        <w:tcW w:w="3029" w:type="dxa"/>
                      </w:tcPr>
                      <w:p>
                        <w:pPr>
                          <w:pStyle w:val="TableParagraph"/>
                          <w:ind w:right="80"/>
                          <w:jc w:val="right"/>
                          <w:rPr>
                            <w:sz w:val="20"/>
                          </w:rPr>
                        </w:pPr>
                        <w:r>
                          <w:rPr>
                            <w:color w:val="231F20"/>
                            <w:sz w:val="20"/>
                          </w:rPr>
                          <w:t>4 specified Boeing 737-700 aircraft</w:t>
                        </w:r>
                      </w:p>
                    </w:tc>
                  </w:tr>
                  <w:tr>
                    <w:trPr>
                      <w:trHeight w:val="300" w:hRule="exact"/>
                    </w:trPr>
                    <w:tc>
                      <w:tcPr>
                        <w:tcW w:w="2273" w:type="dxa"/>
                        <w:shd w:val="clear" w:color="auto" w:fill="D1D3D4"/>
                      </w:tcPr>
                      <w:p>
                        <w:pPr>
                          <w:pStyle w:val="TableParagraph"/>
                          <w:ind w:left="60"/>
                          <w:rPr>
                            <w:sz w:val="20"/>
                          </w:rPr>
                        </w:pPr>
                        <w:r>
                          <w:rPr>
                            <w:color w:val="231F20"/>
                            <w:sz w:val="20"/>
                          </w:rPr>
                          <w:t>Term Loan Agreement</w:t>
                        </w:r>
                      </w:p>
                    </w:tc>
                    <w:tc>
                      <w:tcPr>
                        <w:tcW w:w="1200" w:type="dxa"/>
                        <w:shd w:val="clear" w:color="auto" w:fill="D1D3D4"/>
                      </w:tcPr>
                      <w:p>
                        <w:pPr>
                          <w:pStyle w:val="TableParagraph"/>
                          <w:jc w:val="right"/>
                          <w:rPr>
                            <w:sz w:val="20"/>
                          </w:rPr>
                        </w:pPr>
                        <w:r>
                          <w:rPr>
                            <w:color w:val="231F20"/>
                            <w:sz w:val="20"/>
                          </w:rPr>
                          <w:t>284</w:t>
                        </w:r>
                      </w:p>
                    </w:tc>
                    <w:tc>
                      <w:tcPr>
                        <w:tcW w:w="120" w:type="dxa"/>
                        <w:shd w:val="clear" w:color="auto" w:fill="D1D3D4"/>
                      </w:tcPr>
                      <w:p>
                        <w:pPr/>
                      </w:p>
                    </w:tc>
                    <w:tc>
                      <w:tcPr>
                        <w:tcW w:w="1058" w:type="dxa"/>
                        <w:shd w:val="clear" w:color="auto" w:fill="D1D3D4"/>
                      </w:tcPr>
                      <w:p>
                        <w:pPr>
                          <w:pStyle w:val="TableParagraph"/>
                          <w:jc w:val="right"/>
                          <w:rPr>
                            <w:sz w:val="20"/>
                          </w:rPr>
                        </w:pPr>
                        <w:r>
                          <w:rPr>
                            <w:color w:val="231F20"/>
                            <w:sz w:val="20"/>
                          </w:rPr>
                          <w:t>5.223%</w:t>
                        </w:r>
                      </w:p>
                    </w:tc>
                    <w:tc>
                      <w:tcPr>
                        <w:tcW w:w="320" w:type="dxa"/>
                        <w:shd w:val="clear" w:color="auto" w:fill="D1D3D4"/>
                      </w:tcPr>
                      <w:p>
                        <w:pPr/>
                      </w:p>
                    </w:tc>
                    <w:tc>
                      <w:tcPr>
                        <w:tcW w:w="1000" w:type="dxa"/>
                        <w:shd w:val="clear" w:color="auto" w:fill="D1D3D4"/>
                      </w:tcPr>
                      <w:p>
                        <w:pPr>
                          <w:pStyle w:val="TableParagraph"/>
                          <w:jc w:val="right"/>
                          <w:rPr>
                            <w:sz w:val="20"/>
                          </w:rPr>
                        </w:pPr>
                        <w:r>
                          <w:rPr>
                            <w:color w:val="231F20"/>
                            <w:sz w:val="20"/>
                          </w:rPr>
                          <w:t>5/9/2020</w:t>
                        </w:r>
                      </w:p>
                    </w:tc>
                    <w:tc>
                      <w:tcPr>
                        <w:tcW w:w="120" w:type="dxa"/>
                        <w:shd w:val="clear" w:color="auto" w:fill="D1D3D4"/>
                      </w:tcPr>
                      <w:p>
                        <w:pPr/>
                      </w:p>
                    </w:tc>
                    <w:tc>
                      <w:tcPr>
                        <w:tcW w:w="3029" w:type="dxa"/>
                        <w:shd w:val="clear" w:color="auto" w:fill="D1D3D4"/>
                      </w:tcPr>
                      <w:p>
                        <w:pPr>
                          <w:pStyle w:val="TableParagraph"/>
                          <w:ind w:right="80"/>
                          <w:jc w:val="right"/>
                          <w:rPr>
                            <w:sz w:val="20"/>
                          </w:rPr>
                        </w:pPr>
                        <w:r>
                          <w:rPr>
                            <w:color w:val="231F20"/>
                            <w:sz w:val="20"/>
                          </w:rPr>
                          <w:t>21 specified Boeing 737-700 aircraft</w:t>
                        </w:r>
                      </w:p>
                    </w:tc>
                  </w:tr>
                </w:tbl>
                <w:p>
                  <w:pPr>
                    <w:pStyle w:val="BodyText"/>
                  </w:pPr>
                </w:p>
              </w:txbxContent>
            </v:textbox>
            <w10:wrap type="none"/>
          </v:shape>
        </w:pict>
      </w:r>
      <w:r>
        <w:rPr>
          <w:b/>
          <w:color w:val="231F20"/>
          <w:sz w:val="20"/>
        </w:rPr>
        <w:t>amount</w:t>
      </w:r>
    </w:p>
    <w:p>
      <w:pPr>
        <w:spacing w:line="229" w:lineRule="exact" w:before="0"/>
        <w:ind w:left="502" w:right="0" w:firstLine="0"/>
        <w:jc w:val="left"/>
        <w:rPr>
          <w:b/>
          <w:sz w:val="20"/>
        </w:rPr>
      </w:pPr>
      <w:r>
        <w:rPr/>
        <w:br w:type="column"/>
      </w:r>
      <w:r>
        <w:rPr>
          <w:b/>
          <w:color w:val="231F20"/>
          <w:sz w:val="20"/>
        </w:rPr>
        <w:t>Effective</w:t>
      </w:r>
    </w:p>
    <w:p>
      <w:pPr>
        <w:spacing w:line="229" w:lineRule="exact" w:before="0"/>
        <w:ind w:left="709" w:right="0" w:firstLine="0"/>
        <w:jc w:val="left"/>
        <w:rPr>
          <w:b/>
          <w:sz w:val="20"/>
        </w:rPr>
      </w:pPr>
      <w:r>
        <w:rPr/>
        <w:br w:type="column"/>
      </w:r>
      <w:r>
        <w:rPr>
          <w:b/>
          <w:color w:val="231F20"/>
          <w:sz w:val="20"/>
        </w:rPr>
        <w:t>Final</w:t>
      </w:r>
    </w:p>
    <w:p>
      <w:pPr>
        <w:spacing w:after="0" w:line="229" w:lineRule="exact"/>
        <w:jc w:val="left"/>
        <w:rPr>
          <w:sz w:val="20"/>
        </w:rPr>
        <w:sectPr>
          <w:type w:val="continuous"/>
          <w:pgSz w:w="11880" w:h="15480"/>
          <w:pgMar w:top="1260" w:bottom="280" w:left="1280" w:right="1260"/>
          <w:cols w:num="3" w:equalWidth="0">
            <w:col w:w="3301" w:space="40"/>
            <w:col w:w="1258" w:space="40"/>
            <w:col w:w="470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1"/>
        </w:rPr>
      </w:pPr>
    </w:p>
    <w:p>
      <w:pPr>
        <w:pStyle w:val="BodyText"/>
        <w:spacing w:line="247" w:lineRule="auto" w:before="1"/>
        <w:ind w:left="100" w:right="118"/>
      </w:pPr>
      <w:r>
        <w:rPr>
          <w:color w:val="231F20"/>
        </w:rPr>
        <w:t>The carrying value of the Company’s floating rate debt totaled $1.1 billion, and this debt had a weighted-average maturity of 4.69 years at floating rates averaging 1.97 percent for the year ended</w:t>
      </w:r>
    </w:p>
    <w:p>
      <w:pPr>
        <w:spacing w:after="0" w:line="247" w:lineRule="auto"/>
        <w:sectPr>
          <w:type w:val="continuous"/>
          <w:pgSz w:w="11880" w:h="15480"/>
          <w:pgMar w:top="1260" w:bottom="280" w:left="1280" w:right="1260"/>
        </w:sectPr>
      </w:pPr>
    </w:p>
    <w:p>
      <w:pPr>
        <w:pStyle w:val="BodyText"/>
        <w:spacing w:before="74"/>
        <w:ind w:left="100"/>
        <w:jc w:val="both"/>
      </w:pPr>
      <w:r>
        <w:rPr>
          <w:color w:val="231F20"/>
        </w:rPr>
        <w:t>December  31,  2016.  In  total,  the  Company’s  fixed-rate  debt  and  floating  rate  debt    represented</w:t>
      </w:r>
    </w:p>
    <w:p>
      <w:pPr>
        <w:pStyle w:val="BodyText"/>
        <w:spacing w:before="6"/>
        <w:ind w:left="100"/>
        <w:jc w:val="both"/>
      </w:pPr>
      <w:r>
        <w:rPr>
          <w:color w:val="231F20"/>
        </w:rPr>
        <w:t>12.44 percent and 5.59 percent, respectively, of consolidated noncurrent assets at December 31, 2016.</w:t>
      </w:r>
    </w:p>
    <w:p>
      <w:pPr>
        <w:pStyle w:val="BodyText"/>
        <w:spacing w:before="1"/>
        <w:rPr>
          <w:sz w:val="23"/>
        </w:rPr>
      </w:pPr>
    </w:p>
    <w:p>
      <w:pPr>
        <w:pStyle w:val="BodyText"/>
        <w:spacing w:line="247" w:lineRule="auto"/>
        <w:ind w:left="100" w:right="117"/>
        <w:jc w:val="both"/>
      </w:pPr>
      <w:r>
        <w:rPr>
          <w:color w:val="231F20"/>
        </w:rPr>
        <w:t>The Company also has some risk associated with changing interest rates due to the short-term nature of its invested cash, which totaled $1.7 billion, and short-term investments, which totaled $1.6 billion at December 31, 2016. See Notes 1 and 11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pStyle w:val="BodyText"/>
        <w:spacing w:before="5"/>
      </w:pPr>
    </w:p>
    <w:p>
      <w:pPr>
        <w:pStyle w:val="BodyText"/>
        <w:spacing w:line="247" w:lineRule="auto"/>
        <w:ind w:left="100" w:right="117"/>
        <w:jc w:val="both"/>
      </w:pPr>
      <w:r>
        <w:rPr>
          <w:color w:val="231F20"/>
        </w:rPr>
        <w:t>A hypothetical 10 percent change in market interest rates as of December 31, 2016, would not have a material effect on the fair value of the Company’s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2016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2016,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 debt.</w:t>
      </w:r>
    </w:p>
    <w:p>
      <w:pPr>
        <w:pStyle w:val="BodyText"/>
        <w:spacing w:before="5"/>
      </w:pPr>
    </w:p>
    <w:p>
      <w:pPr>
        <w:pStyle w:val="BodyText"/>
        <w:spacing w:line="247" w:lineRule="auto"/>
        <w:ind w:left="100" w:right="116"/>
        <w:jc w:val="both"/>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w:t>
      </w:r>
      <w:r>
        <w:rPr>
          <w:color w:val="231F20"/>
          <w:spacing w:val="-2"/>
        </w:rPr>
        <w:t>counterparty </w:t>
      </w:r>
      <w:r>
        <w:rPr>
          <w:color w:val="231F20"/>
        </w:rPr>
        <w:t>agreements.</w:t>
      </w:r>
      <w:r>
        <w:rPr>
          <w:color w:val="231F20"/>
          <w:spacing w:val="-14"/>
        </w:rPr>
        <w:t> </w:t>
      </w:r>
      <w:r>
        <w:rPr>
          <w:color w:val="231F20"/>
        </w:rPr>
        <w:t>Certain</w:t>
      </w:r>
      <w:r>
        <w:rPr>
          <w:color w:val="231F20"/>
          <w:spacing w:val="-14"/>
        </w:rPr>
        <w:t> </w:t>
      </w:r>
      <w:r>
        <w:rPr>
          <w:color w:val="231F20"/>
        </w:rPr>
        <w:t>covenants</w:t>
      </w:r>
      <w:r>
        <w:rPr>
          <w:color w:val="231F20"/>
          <w:spacing w:val="-14"/>
        </w:rPr>
        <w:t> </w:t>
      </w:r>
      <w:r>
        <w:rPr>
          <w:color w:val="231F20"/>
        </w:rPr>
        <w:t>include</w:t>
      </w:r>
      <w:r>
        <w:rPr>
          <w:color w:val="231F20"/>
          <w:spacing w:val="-14"/>
        </w:rPr>
        <w:t> </w:t>
      </w:r>
      <w:r>
        <w:rPr>
          <w:color w:val="231F20"/>
        </w:rPr>
        <w:t>the</w:t>
      </w:r>
      <w:r>
        <w:rPr>
          <w:color w:val="231F20"/>
          <w:spacing w:val="-14"/>
        </w:rPr>
        <w:t> </w:t>
      </w:r>
      <w:r>
        <w:rPr>
          <w:color w:val="231F20"/>
        </w:rPr>
        <w:t>maintenance</w:t>
      </w:r>
      <w:r>
        <w:rPr>
          <w:color w:val="231F20"/>
          <w:spacing w:val="-14"/>
        </w:rPr>
        <w:t> </w:t>
      </w:r>
      <w:r>
        <w:rPr>
          <w:color w:val="231F20"/>
        </w:rPr>
        <w:t>of</w:t>
      </w:r>
      <w:r>
        <w:rPr>
          <w:color w:val="231F20"/>
          <w:spacing w:val="-15"/>
        </w:rPr>
        <w:t> </w:t>
      </w:r>
      <w:r>
        <w:rPr>
          <w:color w:val="231F20"/>
        </w:rPr>
        <w:t>minimum</w:t>
      </w:r>
      <w:r>
        <w:rPr>
          <w:color w:val="231F20"/>
          <w:spacing w:val="-15"/>
        </w:rPr>
        <w:t> </w:t>
      </w:r>
      <w:r>
        <w:rPr>
          <w:color w:val="231F20"/>
        </w:rPr>
        <w:t>credit</w:t>
      </w:r>
      <w:r>
        <w:rPr>
          <w:color w:val="231F20"/>
          <w:spacing w:val="-15"/>
        </w:rPr>
        <w:t> </w:t>
      </w:r>
      <w:r>
        <w:rPr>
          <w:color w:val="231F20"/>
        </w:rPr>
        <w:t>ratings</w:t>
      </w:r>
      <w:r>
        <w:rPr>
          <w:color w:val="231F20"/>
          <w:spacing w:val="-14"/>
        </w:rPr>
        <w:t> </w:t>
      </w:r>
      <w:r>
        <w:rPr>
          <w:color w:val="231F20"/>
        </w:rPr>
        <w:t>and/or</w:t>
      </w:r>
      <w:r>
        <w:rPr>
          <w:color w:val="231F20"/>
          <w:spacing w:val="-15"/>
        </w:rPr>
        <w:t> </w:t>
      </w:r>
      <w:r>
        <w:rPr>
          <w:color w:val="231F20"/>
        </w:rPr>
        <w:t>triggers</w:t>
      </w:r>
      <w:r>
        <w:rPr>
          <w:color w:val="231F20"/>
          <w:spacing w:val="-15"/>
        </w:rPr>
        <w:t> </w:t>
      </w:r>
      <w:r>
        <w:rPr>
          <w:color w:val="231F20"/>
        </w:rPr>
        <w:t>that</w:t>
      </w:r>
      <w:r>
        <w:rPr>
          <w:color w:val="231F20"/>
          <w:spacing w:val="-15"/>
        </w:rPr>
        <w:t> </w:t>
      </w:r>
      <w:r>
        <w:rPr>
          <w:color w:val="231F20"/>
          <w:spacing w:val="-2"/>
        </w:rPr>
        <w:t>are </w:t>
      </w:r>
      <w:r>
        <w:rPr>
          <w:color w:val="231F20"/>
        </w:rPr>
        <w:t>based</w:t>
      </w:r>
      <w:r>
        <w:rPr>
          <w:color w:val="231F20"/>
          <w:spacing w:val="-6"/>
        </w:rPr>
        <w:t> </w:t>
      </w:r>
      <w:r>
        <w:rPr>
          <w:color w:val="231F20"/>
        </w:rPr>
        <w:t>on</w:t>
      </w:r>
      <w:r>
        <w:rPr>
          <w:color w:val="231F20"/>
          <w:spacing w:val="-6"/>
        </w:rPr>
        <w:t> </w:t>
      </w:r>
      <w:r>
        <w:rPr>
          <w:color w:val="231F20"/>
        </w:rPr>
        <w:t>changes</w:t>
      </w:r>
      <w:r>
        <w:rPr>
          <w:color w:val="231F20"/>
          <w:spacing w:val="-6"/>
        </w:rPr>
        <w:t> </w:t>
      </w:r>
      <w:r>
        <w:rPr>
          <w:color w:val="231F20"/>
        </w:rPr>
        <w:t>in</w:t>
      </w:r>
      <w:r>
        <w:rPr>
          <w:color w:val="231F20"/>
          <w:spacing w:val="-6"/>
        </w:rPr>
        <w:t> </w:t>
      </w:r>
      <w:r>
        <w:rPr>
          <w:color w:val="231F20"/>
        </w:rPr>
        <w:t>these</w:t>
      </w:r>
      <w:r>
        <w:rPr>
          <w:color w:val="231F20"/>
          <w:spacing w:val="-6"/>
        </w:rPr>
        <w:t> </w:t>
      </w:r>
      <w:r>
        <w:rPr>
          <w:color w:val="231F20"/>
        </w:rPr>
        <w:t>ratings.</w:t>
      </w:r>
      <w:r>
        <w:rPr>
          <w:color w:val="231F20"/>
          <w:spacing w:val="-6"/>
        </w:rPr>
        <w:t> </w:t>
      </w:r>
      <w:r>
        <w:rPr>
          <w:color w:val="231F20"/>
        </w:rPr>
        <w:t>The</w:t>
      </w:r>
      <w:r>
        <w:rPr>
          <w:color w:val="231F20"/>
          <w:spacing w:val="-6"/>
        </w:rPr>
        <w:t> </w:t>
      </w:r>
      <w:r>
        <w:rPr>
          <w:color w:val="231F20"/>
        </w:rPr>
        <w:t>Company’s</w:t>
      </w:r>
      <w:r>
        <w:rPr>
          <w:color w:val="231F20"/>
          <w:spacing w:val="-6"/>
        </w:rPr>
        <w:t> </w:t>
      </w:r>
      <w:r>
        <w:rPr>
          <w:color w:val="231F20"/>
        </w:rPr>
        <w:t>revolving</w:t>
      </w:r>
      <w:r>
        <w:rPr>
          <w:color w:val="231F20"/>
          <w:spacing w:val="-6"/>
        </w:rPr>
        <w:t> </w:t>
      </w:r>
      <w:r>
        <w:rPr>
          <w:color w:val="231F20"/>
        </w:rPr>
        <w:t>credit</w:t>
      </w:r>
      <w:r>
        <w:rPr>
          <w:color w:val="231F20"/>
          <w:spacing w:val="-7"/>
        </w:rPr>
        <w:t> </w:t>
      </w:r>
      <w:r>
        <w:rPr>
          <w:color w:val="231F20"/>
        </w:rPr>
        <w:t>facility</w:t>
      </w:r>
      <w:r>
        <w:rPr>
          <w:color w:val="231F20"/>
          <w:spacing w:val="-6"/>
        </w:rPr>
        <w:t> </w:t>
      </w:r>
      <w:r>
        <w:rPr>
          <w:color w:val="231F20"/>
        </w:rPr>
        <w:t>contains</w:t>
      </w:r>
      <w:r>
        <w:rPr>
          <w:color w:val="231F20"/>
          <w:spacing w:val="-6"/>
        </w:rPr>
        <w:t> </w:t>
      </w:r>
      <w:r>
        <w:rPr>
          <w:color w:val="231F20"/>
        </w:rPr>
        <w:t>a</w:t>
      </w:r>
      <w:r>
        <w:rPr>
          <w:color w:val="231F20"/>
          <w:spacing w:val="-6"/>
        </w:rPr>
        <w:t> </w:t>
      </w:r>
      <w:r>
        <w:rPr>
          <w:color w:val="231F20"/>
        </w:rPr>
        <w:t>financial</w:t>
      </w:r>
      <w:r>
        <w:rPr>
          <w:color w:val="231F20"/>
          <w:spacing w:val="-8"/>
        </w:rPr>
        <w:t> </w:t>
      </w:r>
      <w:r>
        <w:rPr>
          <w:color w:val="231F20"/>
        </w:rPr>
        <w:t>covenant requiring a minimum coverage ratio of adjusted pre-tax income to fixed obligations, as defined. As of December 31, 2016, the Company was in compliance with this covenant and there were no amounts outstanding under the revolving credit facility. However, if conditions change and the Company fails to meet the minimum standards set forth in the revolving credit facility, there could be a reduction in </w:t>
      </w:r>
      <w:r>
        <w:rPr>
          <w:color w:val="231F20"/>
          <w:spacing w:val="-3"/>
        </w:rPr>
        <w:t>the </w:t>
      </w:r>
      <w:r>
        <w:rPr>
          <w:color w:val="231F20"/>
        </w:rPr>
        <w:t>availability</w:t>
      </w:r>
      <w:r>
        <w:rPr>
          <w:color w:val="231F20"/>
          <w:spacing w:val="-5"/>
        </w:rPr>
        <w:t> </w:t>
      </w:r>
      <w:r>
        <w:rPr>
          <w:color w:val="231F20"/>
        </w:rPr>
        <w:t>of</w:t>
      </w:r>
      <w:r>
        <w:rPr>
          <w:color w:val="231F20"/>
          <w:spacing w:val="-6"/>
        </w:rPr>
        <w:t> </w:t>
      </w:r>
      <w:r>
        <w:rPr>
          <w:color w:val="231F20"/>
        </w:rPr>
        <w:t>cash</w:t>
      </w:r>
      <w:r>
        <w:rPr>
          <w:color w:val="231F20"/>
          <w:spacing w:val="-5"/>
        </w:rPr>
        <w:t> </w:t>
      </w:r>
      <w:r>
        <w:rPr>
          <w:color w:val="231F20"/>
        </w:rPr>
        <w:t>under</w:t>
      </w:r>
      <w:r>
        <w:rPr>
          <w:color w:val="231F20"/>
          <w:spacing w:val="-6"/>
        </w:rPr>
        <w:t> </w:t>
      </w:r>
      <w:r>
        <w:rPr>
          <w:color w:val="231F20"/>
        </w:rPr>
        <w:t>the</w:t>
      </w:r>
      <w:r>
        <w:rPr>
          <w:color w:val="231F20"/>
          <w:spacing w:val="-6"/>
        </w:rPr>
        <w:t> </w:t>
      </w:r>
      <w:r>
        <w:rPr>
          <w:color w:val="231F20"/>
        </w:rPr>
        <w:t>facility,</w:t>
      </w:r>
      <w:r>
        <w:rPr>
          <w:color w:val="231F20"/>
          <w:spacing w:val="-6"/>
        </w:rPr>
        <w:t> </w:t>
      </w:r>
      <w:r>
        <w:rPr>
          <w:color w:val="231F20"/>
        </w:rPr>
        <w:t>or</w:t>
      </w:r>
      <w:r>
        <w:rPr>
          <w:color w:val="231F20"/>
          <w:spacing w:val="-7"/>
        </w:rPr>
        <w:t> </w:t>
      </w:r>
      <w:r>
        <w:rPr>
          <w:color w:val="231F20"/>
        </w:rPr>
        <w:t>an</w:t>
      </w:r>
      <w:r>
        <w:rPr>
          <w:color w:val="231F20"/>
          <w:spacing w:val="-6"/>
        </w:rPr>
        <w:t> </w:t>
      </w:r>
      <w:r>
        <w:rPr>
          <w:color w:val="231F20"/>
        </w:rPr>
        <w:t>increase</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costs</w:t>
      </w:r>
      <w:r>
        <w:rPr>
          <w:color w:val="231F20"/>
          <w:spacing w:val="-6"/>
        </w:rPr>
        <w:t> </w:t>
      </w:r>
      <w:r>
        <w:rPr>
          <w:color w:val="231F20"/>
        </w:rPr>
        <w:t>to</w:t>
      </w:r>
      <w:r>
        <w:rPr>
          <w:color w:val="231F20"/>
          <w:spacing w:val="-6"/>
        </w:rPr>
        <w:t> </w:t>
      </w:r>
      <w:r>
        <w:rPr>
          <w:color w:val="231F20"/>
        </w:rPr>
        <w:t>keep</w:t>
      </w:r>
      <w:r>
        <w:rPr>
          <w:color w:val="231F20"/>
          <w:spacing w:val="-6"/>
        </w:rPr>
        <w:t> </w:t>
      </w:r>
      <w:r>
        <w:rPr>
          <w:color w:val="231F20"/>
        </w:rPr>
        <w:t>the</w:t>
      </w:r>
      <w:r>
        <w:rPr>
          <w:color w:val="231F20"/>
          <w:spacing w:val="-6"/>
        </w:rPr>
        <w:t> </w:t>
      </w:r>
      <w:r>
        <w:rPr>
          <w:color w:val="231F20"/>
        </w:rPr>
        <w:t>facility</w:t>
      </w:r>
      <w:r>
        <w:rPr>
          <w:color w:val="231F20"/>
          <w:spacing w:val="-6"/>
        </w:rPr>
        <w:t> </w:t>
      </w:r>
      <w:r>
        <w:rPr>
          <w:color w:val="231F20"/>
        </w:rPr>
        <w:t>intact</w:t>
      </w:r>
      <w:r>
        <w:rPr>
          <w:color w:val="231F20"/>
          <w:spacing w:val="-7"/>
        </w:rPr>
        <w:t> </w:t>
      </w:r>
      <w:r>
        <w:rPr>
          <w:color w:val="231F20"/>
        </w:rPr>
        <w:t>as</w:t>
      </w:r>
      <w:r>
        <w:rPr>
          <w:color w:val="231F20"/>
          <w:spacing w:val="-6"/>
        </w:rPr>
        <w:t> </w:t>
      </w:r>
      <w:r>
        <w:rPr>
          <w:color w:val="231F20"/>
        </w:rPr>
        <w:t>written.</w:t>
      </w:r>
      <w:r>
        <w:rPr>
          <w:color w:val="231F20"/>
          <w:spacing w:val="-6"/>
        </w:rPr>
        <w:t> </w:t>
      </w:r>
      <w:r>
        <w:rPr>
          <w:color w:val="231F20"/>
          <w:spacing w:val="-2"/>
        </w:rPr>
        <w:t>The </w:t>
      </w:r>
      <w:r>
        <w:rPr>
          <w:color w:val="231F20"/>
        </w:rPr>
        <w:t>Company’s</w:t>
      </w:r>
      <w:r>
        <w:rPr>
          <w:color w:val="231F20"/>
          <w:spacing w:val="-4"/>
        </w:rPr>
        <w:t> </w:t>
      </w:r>
      <w:r>
        <w:rPr>
          <w:color w:val="231F20"/>
        </w:rPr>
        <w:t>hedging</w:t>
      </w:r>
      <w:r>
        <w:rPr>
          <w:color w:val="231F20"/>
          <w:spacing w:val="-4"/>
        </w:rPr>
        <w:t> </w:t>
      </w:r>
      <w:r>
        <w:rPr>
          <w:color w:val="231F20"/>
        </w:rPr>
        <w:t>counterparty</w:t>
      </w:r>
      <w:r>
        <w:rPr>
          <w:color w:val="231F20"/>
          <w:spacing w:val="-4"/>
        </w:rPr>
        <w:t> </w:t>
      </w:r>
      <w:r>
        <w:rPr>
          <w:color w:val="231F20"/>
        </w:rPr>
        <w:t>agreements</w:t>
      </w:r>
      <w:r>
        <w:rPr>
          <w:color w:val="231F20"/>
          <w:spacing w:val="-4"/>
        </w:rPr>
        <w:t> </w:t>
      </w:r>
      <w:r>
        <w:rPr>
          <w:color w:val="231F20"/>
        </w:rPr>
        <w:t>contain</w:t>
      </w:r>
      <w:r>
        <w:rPr>
          <w:color w:val="231F20"/>
          <w:spacing w:val="-4"/>
        </w:rPr>
        <w:t> </w:t>
      </w:r>
      <w:r>
        <w:rPr>
          <w:color w:val="231F20"/>
        </w:rPr>
        <w:t>ratings</w:t>
      </w:r>
      <w:r>
        <w:rPr>
          <w:color w:val="231F20"/>
          <w:spacing w:val="-5"/>
        </w:rPr>
        <w:t> </w:t>
      </w:r>
      <w:r>
        <w:rPr>
          <w:color w:val="231F20"/>
        </w:rPr>
        <w:t>triggers</w:t>
      </w:r>
      <w:r>
        <w:rPr>
          <w:color w:val="231F20"/>
          <w:spacing w:val="-5"/>
        </w:rPr>
        <w:t> </w:t>
      </w:r>
      <w:r>
        <w:rPr>
          <w:color w:val="231F20"/>
        </w:rPr>
        <w:t>in</w:t>
      </w:r>
      <w:r>
        <w:rPr>
          <w:color w:val="231F20"/>
          <w:spacing w:val="-5"/>
        </w:rPr>
        <w:t> </w:t>
      </w:r>
      <w:r>
        <w:rPr>
          <w:color w:val="231F20"/>
        </w:rPr>
        <w:t>which</w:t>
      </w:r>
      <w:r>
        <w:rPr>
          <w:color w:val="231F20"/>
          <w:spacing w:val="-5"/>
        </w:rPr>
        <w:t> </w:t>
      </w:r>
      <w:r>
        <w:rPr>
          <w:color w:val="231F20"/>
        </w:rPr>
        <w:t>additional</w:t>
      </w:r>
      <w:r>
        <w:rPr>
          <w:color w:val="231F20"/>
          <w:spacing w:val="-5"/>
        </w:rPr>
        <w:t> </w:t>
      </w:r>
      <w:r>
        <w:rPr>
          <w:color w:val="231F20"/>
        </w:rPr>
        <w:t>cash</w:t>
      </w:r>
      <w:r>
        <w:rPr>
          <w:color w:val="231F20"/>
          <w:spacing w:val="-5"/>
        </w:rPr>
        <w:t> </w:t>
      </w:r>
      <w:r>
        <w:rPr>
          <w:color w:val="231F20"/>
        </w:rPr>
        <w:t>collateral could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2016, $301 million in cash collateral deposits were provided by </w:t>
      </w:r>
      <w:r>
        <w:rPr>
          <w:color w:val="231F20"/>
          <w:spacing w:val="-3"/>
        </w:rPr>
        <w:t>the </w:t>
      </w:r>
      <w:r>
        <w:rPr>
          <w:color w:val="231F20"/>
        </w:rPr>
        <w:t>Company under these provisions. If the Company’s credit rating had been below investment grade as</w:t>
      </w:r>
      <w:r>
        <w:rPr>
          <w:color w:val="231F20"/>
          <w:spacing w:val="-31"/>
        </w:rPr>
        <w:t> </w:t>
      </w:r>
      <w:r>
        <w:rPr>
          <w:color w:val="231F20"/>
        </w:rPr>
        <w:t>of that</w:t>
      </w:r>
      <w:r>
        <w:rPr>
          <w:color w:val="231F20"/>
          <w:spacing w:val="-8"/>
        </w:rPr>
        <w:t> </w:t>
      </w:r>
      <w:r>
        <w:rPr>
          <w:color w:val="231F20"/>
        </w:rPr>
        <w:t>date,</w:t>
      </w:r>
      <w:r>
        <w:rPr>
          <w:color w:val="231F20"/>
          <w:spacing w:val="-8"/>
        </w:rPr>
        <w:t> </w:t>
      </w:r>
      <w:r>
        <w:rPr>
          <w:color w:val="231F20"/>
        </w:rPr>
        <w:t>the</w:t>
      </w:r>
      <w:r>
        <w:rPr>
          <w:color w:val="231F20"/>
          <w:spacing w:val="-8"/>
        </w:rPr>
        <w:t> </w:t>
      </w:r>
      <w:r>
        <w:rPr>
          <w:color w:val="231F20"/>
        </w:rPr>
        <w:t>Company</w:t>
      </w:r>
      <w:r>
        <w:rPr>
          <w:color w:val="231F20"/>
          <w:spacing w:val="-8"/>
        </w:rPr>
        <w:t> </w:t>
      </w:r>
      <w:r>
        <w:rPr>
          <w:color w:val="231F20"/>
        </w:rPr>
        <w:t>would</w:t>
      </w:r>
      <w:r>
        <w:rPr>
          <w:color w:val="231F20"/>
          <w:spacing w:val="-8"/>
        </w:rPr>
        <w:t> </w:t>
      </w:r>
      <w:r>
        <w:rPr>
          <w:color w:val="231F20"/>
        </w:rPr>
        <w:t>not</w:t>
      </w:r>
      <w:r>
        <w:rPr>
          <w:color w:val="231F20"/>
          <w:spacing w:val="-8"/>
        </w:rPr>
        <w:t> </w:t>
      </w:r>
      <w:r>
        <w:rPr>
          <w:color w:val="231F20"/>
        </w:rPr>
        <w:t>have</w:t>
      </w:r>
      <w:r>
        <w:rPr>
          <w:color w:val="231F20"/>
          <w:spacing w:val="-8"/>
        </w:rPr>
        <w:t> </w:t>
      </w:r>
      <w:r>
        <w:rPr>
          <w:color w:val="231F20"/>
        </w:rPr>
        <w:t>been</w:t>
      </w:r>
      <w:r>
        <w:rPr>
          <w:color w:val="231F20"/>
          <w:spacing w:val="-8"/>
        </w:rPr>
        <w:t> </w:t>
      </w:r>
      <w:r>
        <w:rPr>
          <w:color w:val="231F20"/>
        </w:rPr>
        <w:t>required</w:t>
      </w:r>
      <w:r>
        <w:rPr>
          <w:color w:val="231F20"/>
          <w:spacing w:val="-8"/>
        </w:rPr>
        <w:t> </w:t>
      </w:r>
      <w:r>
        <w:rPr>
          <w:color w:val="231F20"/>
        </w:rPr>
        <w:t>to</w:t>
      </w:r>
      <w:r>
        <w:rPr>
          <w:color w:val="231F20"/>
          <w:spacing w:val="-8"/>
        </w:rPr>
        <w:t> </w:t>
      </w:r>
      <w:r>
        <w:rPr>
          <w:color w:val="231F20"/>
        </w:rPr>
        <w:t>post</w:t>
      </w:r>
      <w:r>
        <w:rPr>
          <w:color w:val="231F20"/>
          <w:spacing w:val="-8"/>
        </w:rPr>
        <w:t> </w:t>
      </w:r>
      <w:r>
        <w:rPr>
          <w:color w:val="231F20"/>
        </w:rPr>
        <w:t>additional</w:t>
      </w:r>
      <w:r>
        <w:rPr>
          <w:color w:val="231F20"/>
          <w:spacing w:val="-9"/>
        </w:rPr>
        <w:t> </w:t>
      </w:r>
      <w:r>
        <w:rPr>
          <w:color w:val="231F20"/>
        </w:rPr>
        <w:t>cash</w:t>
      </w:r>
      <w:r>
        <w:rPr>
          <w:color w:val="231F20"/>
          <w:spacing w:val="-8"/>
        </w:rPr>
        <w:t> </w:t>
      </w:r>
      <w:r>
        <w:rPr>
          <w:color w:val="231F20"/>
        </w:rPr>
        <w:t>collateral</w:t>
      </w:r>
      <w:r>
        <w:rPr>
          <w:color w:val="231F20"/>
          <w:spacing w:val="-9"/>
        </w:rPr>
        <w:t> </w:t>
      </w:r>
      <w:r>
        <w:rPr>
          <w:color w:val="231F20"/>
        </w:rPr>
        <w:t>deposits</w:t>
      </w:r>
      <w:r>
        <w:rPr>
          <w:color w:val="231F20"/>
          <w:spacing w:val="-8"/>
        </w:rPr>
        <w:t> </w:t>
      </w:r>
      <w:r>
        <w:rPr>
          <w:color w:val="231F20"/>
        </w:rPr>
        <w:t>with</w:t>
      </w:r>
      <w:r>
        <w:rPr>
          <w:color w:val="231F20"/>
          <w:spacing w:val="-8"/>
        </w:rPr>
        <w:t> </w:t>
      </w:r>
      <w:r>
        <w:rPr>
          <w:color w:val="231F20"/>
        </w:rPr>
        <w:t>fuel hedge</w:t>
      </w:r>
      <w:r>
        <w:rPr>
          <w:color w:val="231F20"/>
          <w:spacing w:val="-15"/>
        </w:rPr>
        <w:t> </w:t>
      </w:r>
      <w:r>
        <w:rPr>
          <w:color w:val="231F20"/>
        </w:rPr>
        <w:t>counterparties</w:t>
      </w:r>
      <w:r>
        <w:rPr>
          <w:color w:val="231F20"/>
          <w:spacing w:val="-15"/>
        </w:rPr>
        <w:t> </w:t>
      </w:r>
      <w:r>
        <w:rPr>
          <w:color w:val="231F20"/>
        </w:rPr>
        <w:t>because</w:t>
      </w:r>
      <w:r>
        <w:rPr>
          <w:color w:val="231F20"/>
          <w:spacing w:val="-15"/>
        </w:rPr>
        <w:t> </w:t>
      </w:r>
      <w:r>
        <w:rPr>
          <w:color w:val="231F20"/>
        </w:rPr>
        <w:t>it</w:t>
      </w:r>
      <w:r>
        <w:rPr>
          <w:color w:val="231F20"/>
          <w:spacing w:val="-15"/>
        </w:rPr>
        <w:t> </w:t>
      </w:r>
      <w:r>
        <w:rPr>
          <w:color w:val="231F20"/>
        </w:rPr>
        <w:t>had</w:t>
      </w:r>
      <w:r>
        <w:rPr>
          <w:color w:val="231F20"/>
          <w:spacing w:val="-15"/>
        </w:rPr>
        <w:t> </w:t>
      </w:r>
      <w:r>
        <w:rPr>
          <w:color w:val="231F20"/>
        </w:rPr>
        <w:t>room</w:t>
      </w:r>
      <w:r>
        <w:rPr>
          <w:color w:val="231F20"/>
          <w:spacing w:val="-15"/>
        </w:rPr>
        <w:t> </w:t>
      </w:r>
      <w:r>
        <w:rPr>
          <w:color w:val="231F20"/>
        </w:rPr>
        <w:t>available</w:t>
      </w:r>
      <w:r>
        <w:rPr>
          <w:color w:val="231F20"/>
          <w:spacing w:val="-15"/>
        </w:rPr>
        <w:t> </w:t>
      </w:r>
      <w:r>
        <w:rPr>
          <w:color w:val="231F20"/>
        </w:rPr>
        <w:t>under</w:t>
      </w:r>
      <w:r>
        <w:rPr>
          <w:color w:val="231F20"/>
          <w:spacing w:val="-15"/>
        </w:rPr>
        <w:t> </w:t>
      </w:r>
      <w:r>
        <w:rPr>
          <w:color w:val="231F20"/>
        </w:rPr>
        <w:t>its</w:t>
      </w:r>
      <w:r>
        <w:rPr>
          <w:color w:val="231F20"/>
          <w:spacing w:val="-15"/>
        </w:rPr>
        <w:t> </w:t>
      </w:r>
      <w:r>
        <w:rPr>
          <w:color w:val="231F20"/>
        </w:rPr>
        <w:t>existing</w:t>
      </w:r>
      <w:r>
        <w:rPr>
          <w:color w:val="231F20"/>
          <w:spacing w:val="-15"/>
        </w:rPr>
        <w:t> </w:t>
      </w:r>
      <w:r>
        <w:rPr>
          <w:color w:val="231F20"/>
        </w:rPr>
        <w:t>aircraft</w:t>
      </w:r>
      <w:r>
        <w:rPr>
          <w:color w:val="231F20"/>
          <w:spacing w:val="-15"/>
        </w:rPr>
        <w:t> </w:t>
      </w:r>
      <w:r>
        <w:rPr>
          <w:color w:val="231F20"/>
        </w:rPr>
        <w:t>collateral</w:t>
      </w:r>
      <w:r>
        <w:rPr>
          <w:color w:val="231F20"/>
          <w:spacing w:val="-15"/>
        </w:rPr>
        <w:t> </w:t>
      </w:r>
      <w:r>
        <w:rPr>
          <w:color w:val="231F20"/>
          <w:spacing w:val="-3"/>
        </w:rPr>
        <w:t>facilities.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the processor generally forwards the cash related to the purchase to the Company soon after the purchase is completed, but the air travel generally occurs after that time; therefore, the processor will have liability if the Company does not ultimately provide the air travel. Under these processing agreements, and based on specified conditions, increasing amounts of cash reserves could  be required to be posted with the</w:t>
      </w:r>
      <w:r>
        <w:rPr>
          <w:color w:val="231F20"/>
          <w:spacing w:val="-3"/>
        </w:rPr>
        <w:t> </w:t>
      </w:r>
      <w:r>
        <w:rPr>
          <w:color w:val="231F20"/>
        </w:rPr>
        <w:t>counterparty.</w:t>
      </w:r>
    </w:p>
    <w:p>
      <w:pPr>
        <w:pStyle w:val="BodyText"/>
        <w:spacing w:before="9"/>
        <w:rPr>
          <w:sz w:val="20"/>
        </w:rPr>
      </w:pPr>
    </w:p>
    <w:p>
      <w:pPr>
        <w:pStyle w:val="BodyText"/>
        <w:spacing w:line="247" w:lineRule="auto"/>
        <w:ind w:left="100" w:right="117"/>
        <w:jc w:val="both"/>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w:t>
      </w:r>
      <w:r>
        <w:rPr>
          <w:color w:val="231F20"/>
          <w:spacing w:val="-1"/>
        </w:rPr>
        <w:t> </w:t>
      </w:r>
      <w:r>
        <w:rPr>
          <w:color w:val="231F20"/>
        </w:rPr>
        <w:t>liability.</w:t>
      </w:r>
    </w:p>
    <w:p>
      <w:pPr>
        <w:pStyle w:val="BodyText"/>
        <w:spacing w:before="9"/>
        <w:rPr>
          <w:sz w:val="20"/>
        </w:rPr>
      </w:pPr>
    </w:p>
    <w:p>
      <w:pPr>
        <w:pStyle w:val="BodyText"/>
        <w:spacing w:line="247" w:lineRule="auto"/>
        <w:ind w:left="100" w:right="118"/>
        <w:jc w:val="both"/>
      </w:pPr>
      <w:r>
        <w:rPr>
          <w:color w:val="231F20"/>
        </w:rPr>
        <w:t>As of December 31, 2016,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7" w:lineRule="auto"/>
        <w:jc w:val="both"/>
        <w:sectPr>
          <w:pgSz w:w="11880" w:h="15480"/>
          <w:pgMar w:header="0" w:footer="1240" w:top="1240" w:bottom="1420" w:left="1280" w:right="1260"/>
        </w:sectPr>
      </w:pPr>
    </w:p>
    <w:p>
      <w:pPr>
        <w:pStyle w:val="Heading2"/>
        <w:tabs>
          <w:tab w:pos="1549" w:val="left" w:leader="none"/>
        </w:tabs>
        <w:spacing w:before="74"/>
        <w:ind w:left="120"/>
        <w:rPr>
          <w:i/>
        </w:rPr>
      </w:pPr>
      <w:r>
        <w:rPr/>
        <w:pict>
          <v:rect style="position:absolute;margin-left:69pt;margin-top:559pt;width:456pt;height:21.4pt;mso-position-horizontal-relative:page;mso-position-vertical-relative:page;z-index:-376312" filled="true" fillcolor="#d1d3d4" stroked="false">
            <v:fill type="solid"/>
            <w10:wrap type="none"/>
          </v:rect>
        </w:pict>
      </w:r>
      <w:r>
        <w:rPr/>
        <w:pict>
          <v:group style="position:absolute;margin-left:344.75pt;margin-top:384.700012pt;width:85.5pt;height:2.5pt;mso-position-horizontal-relative:page;mso-position-vertical-relative:page;z-index:-376288" coordorigin="6895,7694" coordsize="1710,50">
            <v:line style="position:absolute" from="6900,7699" to="8600,7699" stroked="true" strokeweight=".5pt" strokecolor="#231f20">
              <v:stroke dashstyle="solid"/>
            </v:line>
            <v:line style="position:absolute" from="6900,7739" to="8600,7739" stroked="true" strokeweight=".5pt" strokecolor="#231f20">
              <v:stroke dashstyle="solid"/>
            </v:line>
            <w10:wrap type="none"/>
          </v:group>
        </w:pict>
      </w:r>
      <w:r>
        <w:rPr/>
        <w:pict>
          <v:group style="position:absolute;margin-left:439.75pt;margin-top:384.700012pt;width:85.5pt;height:2.5pt;mso-position-horizontal-relative:page;mso-position-vertical-relative:page;z-index:-376264" coordorigin="8795,7694" coordsize="1710,50">
            <v:line style="position:absolute" from="8800,7699" to="10500,7699" stroked="true" strokeweight=".5pt" strokecolor="#231f20">
              <v:stroke dashstyle="solid"/>
            </v:line>
            <v:line style="position:absolute" from="8800,7739" to="10500,7739" stroked="true" strokeweight=".5pt" strokecolor="#231f20">
              <v:stroke dashstyle="solid"/>
            </v:line>
            <w10:wrap type="none"/>
          </v:group>
        </w:pict>
      </w:r>
      <w:r>
        <w:rPr/>
        <w:pict>
          <v:line style="position:absolute;mso-position-horizontal-relative:page;mso-position-vertical-relative:page;z-index:-376240" from="345pt,665.549988pt" to="430pt,665.549988pt" stroked="true" strokeweight=".5pt" strokecolor="#231f20">
            <v:stroke dashstyle="solid"/>
            <w10:wrap type="none"/>
          </v:line>
        </w:pict>
      </w:r>
      <w:bookmarkStart w:name="Item 8. Financial Statements and Supplem" w:id="17"/>
      <w:bookmarkEnd w:id="17"/>
      <w:r>
        <w:rPr>
          <w:b w:val="0"/>
          <w:i w:val="0"/>
        </w:rPr>
      </w:r>
      <w:bookmarkStart w:name="Consolidated Balance Sheet " w:id="18"/>
      <w:bookmarkEnd w:id="18"/>
      <w:r>
        <w:rPr>
          <w:b w:val="0"/>
          <w:i w:val="0"/>
        </w:rPr>
      </w:r>
      <w:r>
        <w:rPr>
          <w:i w:val="0"/>
          <w:color w:val="231F20"/>
        </w:rPr>
        <w:t>Item 8.</w:t>
        <w:tab/>
      </w:r>
      <w:r>
        <w:rPr>
          <w:i/>
          <w:color w:val="231F20"/>
        </w:rPr>
        <w:t>Financial Statements and Supplementary</w:t>
      </w:r>
      <w:r>
        <w:rPr>
          <w:i/>
          <w:color w:val="231F20"/>
          <w:spacing w:val="-4"/>
        </w:rPr>
        <w:t> </w:t>
      </w:r>
      <w:r>
        <w:rPr>
          <w:i/>
          <w:color w:val="231F20"/>
        </w:rPr>
        <w:t>Data</w:t>
      </w:r>
    </w:p>
    <w:p>
      <w:pPr>
        <w:spacing w:line="254" w:lineRule="auto" w:before="145"/>
        <w:ind w:left="3566" w:right="3566" w:firstLine="0"/>
        <w:jc w:val="center"/>
        <w:rPr>
          <w:sz w:val="18"/>
        </w:rPr>
      </w:pPr>
      <w:r>
        <w:rPr>
          <w:b/>
          <w:color w:val="231F20"/>
          <w:sz w:val="18"/>
        </w:rPr>
        <w:t>Southwest Airlines Co. Consolidated Balance Sheet </w:t>
      </w:r>
      <w:r>
        <w:rPr>
          <w:color w:val="231F20"/>
          <w:sz w:val="18"/>
        </w:rPr>
        <w:t>(in millions, except share data)</w:t>
      </w:r>
    </w:p>
    <w:p>
      <w:pPr>
        <w:pStyle w:val="BodyText"/>
        <w:spacing w:before="10" w:after="1"/>
        <w:rPr>
          <w:sz w:val="8"/>
        </w:rPr>
      </w:pPr>
    </w:p>
    <w:tbl>
      <w:tblPr>
        <w:tblW w:w="0" w:type="auto"/>
        <w:jc w:val="left"/>
        <w:tblInd w:w="11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700"/>
        <w:gridCol w:w="100"/>
        <w:gridCol w:w="100"/>
        <w:gridCol w:w="1700"/>
      </w:tblGrid>
      <w:tr>
        <w:trPr>
          <w:trHeight w:val="237" w:hRule="exact"/>
        </w:trPr>
        <w:tc>
          <w:tcPr>
            <w:tcW w:w="5520" w:type="dxa"/>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2016</w:t>
            </w:r>
          </w:p>
        </w:tc>
        <w:tc>
          <w:tcPr>
            <w:tcW w:w="200" w:type="dxa"/>
            <w:gridSpan w:val="2"/>
          </w:tcPr>
          <w:p>
            <w:pPr/>
          </w:p>
        </w:tc>
        <w:tc>
          <w:tcPr>
            <w:tcW w:w="1700" w:type="dxa"/>
            <w:tcBorders>
              <w:bottom w:val="single" w:sz="8" w:space="0" w:color="231F20"/>
            </w:tcBorders>
          </w:tcPr>
          <w:p>
            <w:pPr>
              <w:pStyle w:val="TableParagraph"/>
              <w:spacing w:line="206" w:lineRule="exact" w:before="0"/>
              <w:ind w:left="122"/>
              <w:rPr>
                <w:b/>
                <w:sz w:val="18"/>
              </w:rPr>
            </w:pPr>
            <w:r>
              <w:rPr>
                <w:b/>
                <w:color w:val="231F20"/>
                <w:sz w:val="18"/>
              </w:rPr>
              <w:t>December 31, 2015</w:t>
            </w:r>
          </w:p>
        </w:tc>
      </w:tr>
      <w:tr>
        <w:trPr>
          <w:trHeight w:val="255" w:hRule="exact"/>
        </w:trPr>
        <w:tc>
          <w:tcPr>
            <w:tcW w:w="5520" w:type="dxa"/>
          </w:tcPr>
          <w:p>
            <w:pPr>
              <w:pStyle w:val="TableParagraph"/>
              <w:spacing w:before="26"/>
              <w:rPr>
                <w:b/>
                <w:sz w:val="18"/>
              </w:rPr>
            </w:pPr>
            <w:r>
              <w:rPr>
                <w:b/>
                <w:color w:val="231F20"/>
                <w:sz w:val="18"/>
              </w:rPr>
              <w:t>ASSETS</w:t>
            </w:r>
          </w:p>
        </w:tc>
        <w:tc>
          <w:tcPr>
            <w:tcW w:w="1700" w:type="dxa"/>
            <w:tcBorders>
              <w:top w:val="single" w:sz="8" w:space="0" w:color="231F20"/>
            </w:tcBorders>
          </w:tcPr>
          <w:p>
            <w:pPr/>
          </w:p>
        </w:tc>
        <w:tc>
          <w:tcPr>
            <w:tcW w:w="200" w:type="dxa"/>
            <w:gridSpan w:val="2"/>
          </w:tcPr>
          <w:p>
            <w:pPr/>
          </w:p>
        </w:tc>
        <w:tc>
          <w:tcPr>
            <w:tcW w:w="1700" w:type="dxa"/>
            <w:tcBorders>
              <w:top w:val="single" w:sz="8" w:space="0" w:color="231F20"/>
            </w:tcBorders>
          </w:tcPr>
          <w:p>
            <w:pPr/>
          </w:p>
        </w:tc>
      </w:tr>
      <w:tr>
        <w:trPr>
          <w:trHeight w:val="243" w:hRule="exact"/>
        </w:trPr>
        <w:tc>
          <w:tcPr>
            <w:tcW w:w="5520" w:type="dxa"/>
          </w:tcPr>
          <w:p>
            <w:pPr>
              <w:pStyle w:val="TableParagraph"/>
              <w:spacing w:before="15"/>
              <w:rPr>
                <w:sz w:val="18"/>
              </w:rPr>
            </w:pPr>
            <w:r>
              <w:rPr>
                <w:color w:val="231F20"/>
                <w:sz w:val="18"/>
              </w:rPr>
              <w:t>Current assets:</w:t>
            </w:r>
          </w:p>
        </w:tc>
        <w:tc>
          <w:tcPr>
            <w:tcW w:w="1700" w:type="dxa"/>
          </w:tcPr>
          <w:p>
            <w:pPr/>
          </w:p>
        </w:tc>
        <w:tc>
          <w:tcPr>
            <w:tcW w:w="200" w:type="dxa"/>
            <w:gridSpan w:val="2"/>
          </w:tcPr>
          <w:p>
            <w:pPr/>
          </w:p>
        </w:tc>
        <w:tc>
          <w:tcPr>
            <w:tcW w:w="1700" w:type="dxa"/>
          </w:tcPr>
          <w:p>
            <w:pPr/>
          </w:p>
        </w:tc>
      </w:tr>
      <w:tr>
        <w:trPr>
          <w:trHeight w:val="244" w:hRule="exact"/>
        </w:trPr>
        <w:tc>
          <w:tcPr>
            <w:tcW w:w="5520" w:type="dxa"/>
            <w:shd w:val="clear" w:color="auto" w:fill="D1D3D4"/>
          </w:tcPr>
          <w:p>
            <w:pPr>
              <w:pStyle w:val="TableParagraph"/>
              <w:spacing w:before="16"/>
              <w:ind w:left="180"/>
              <w:rPr>
                <w:sz w:val="18"/>
              </w:rPr>
            </w:pPr>
            <w:r>
              <w:rPr>
                <w:color w:val="231F20"/>
                <w:sz w:val="18"/>
              </w:rPr>
              <w:t>Cash and cash equivalents</w:t>
            </w:r>
          </w:p>
        </w:tc>
        <w:tc>
          <w:tcPr>
            <w:tcW w:w="1700" w:type="dxa"/>
            <w:shd w:val="clear" w:color="auto" w:fill="D1D3D4"/>
          </w:tcPr>
          <w:p>
            <w:pPr>
              <w:pStyle w:val="TableParagraph"/>
              <w:tabs>
                <w:tab w:pos="1234" w:val="left" w:leader="none"/>
              </w:tabs>
              <w:spacing w:before="16"/>
              <w:ind w:right="58"/>
              <w:jc w:val="right"/>
              <w:rPr>
                <w:sz w:val="18"/>
              </w:rPr>
            </w:pPr>
            <w:r>
              <w:rPr>
                <w:color w:val="231F20"/>
                <w:sz w:val="18"/>
              </w:rPr>
              <w:t>$</w:t>
              <w:tab/>
              <w:t>1,680</w:t>
            </w:r>
          </w:p>
        </w:tc>
        <w:tc>
          <w:tcPr>
            <w:tcW w:w="200" w:type="dxa"/>
            <w:gridSpan w:val="2"/>
            <w:shd w:val="clear" w:color="auto" w:fill="D1D3D4"/>
          </w:tcPr>
          <w:p>
            <w:pPr/>
          </w:p>
        </w:tc>
        <w:tc>
          <w:tcPr>
            <w:tcW w:w="1700" w:type="dxa"/>
            <w:shd w:val="clear" w:color="auto" w:fill="D1D3D4"/>
          </w:tcPr>
          <w:p>
            <w:pPr>
              <w:pStyle w:val="TableParagraph"/>
              <w:tabs>
                <w:tab w:pos="1234" w:val="left" w:leader="none"/>
              </w:tabs>
              <w:spacing w:before="16"/>
              <w:rPr>
                <w:sz w:val="18"/>
              </w:rPr>
            </w:pPr>
            <w:r>
              <w:rPr>
                <w:color w:val="231F20"/>
                <w:sz w:val="18"/>
              </w:rPr>
              <w:t>$</w:t>
              <w:tab/>
              <w:t>1,583</w:t>
            </w:r>
          </w:p>
        </w:tc>
      </w:tr>
      <w:tr>
        <w:trPr>
          <w:trHeight w:val="244" w:hRule="exact"/>
        </w:trPr>
        <w:tc>
          <w:tcPr>
            <w:tcW w:w="5520" w:type="dxa"/>
          </w:tcPr>
          <w:p>
            <w:pPr>
              <w:pStyle w:val="TableParagraph"/>
              <w:spacing w:before="16"/>
              <w:ind w:left="180"/>
              <w:rPr>
                <w:sz w:val="18"/>
              </w:rPr>
            </w:pPr>
            <w:r>
              <w:rPr>
                <w:color w:val="231F20"/>
                <w:sz w:val="18"/>
              </w:rPr>
              <w:t>Short-term investments</w:t>
            </w:r>
          </w:p>
        </w:tc>
        <w:tc>
          <w:tcPr>
            <w:tcW w:w="1700" w:type="dxa"/>
          </w:tcPr>
          <w:p>
            <w:pPr>
              <w:pStyle w:val="TableParagraph"/>
              <w:spacing w:before="16"/>
              <w:ind w:right="58"/>
              <w:jc w:val="right"/>
              <w:rPr>
                <w:sz w:val="18"/>
              </w:rPr>
            </w:pPr>
            <w:r>
              <w:rPr>
                <w:color w:val="231F20"/>
                <w:sz w:val="18"/>
              </w:rPr>
              <w:t>1,625</w:t>
            </w:r>
          </w:p>
        </w:tc>
        <w:tc>
          <w:tcPr>
            <w:tcW w:w="200" w:type="dxa"/>
            <w:gridSpan w:val="2"/>
          </w:tcPr>
          <w:p>
            <w:pPr/>
          </w:p>
        </w:tc>
        <w:tc>
          <w:tcPr>
            <w:tcW w:w="1700" w:type="dxa"/>
          </w:tcPr>
          <w:p>
            <w:pPr>
              <w:pStyle w:val="TableParagraph"/>
              <w:spacing w:before="16"/>
              <w:ind w:right="58"/>
              <w:jc w:val="right"/>
              <w:rPr>
                <w:sz w:val="18"/>
              </w:rPr>
            </w:pPr>
            <w:r>
              <w:rPr>
                <w:color w:val="231F20"/>
                <w:sz w:val="18"/>
              </w:rPr>
              <w:t>1,468</w:t>
            </w:r>
          </w:p>
        </w:tc>
      </w:tr>
      <w:tr>
        <w:trPr>
          <w:trHeight w:val="244" w:hRule="exact"/>
        </w:trPr>
        <w:tc>
          <w:tcPr>
            <w:tcW w:w="5520" w:type="dxa"/>
            <w:shd w:val="clear" w:color="auto" w:fill="D1D3D4"/>
          </w:tcPr>
          <w:p>
            <w:pPr>
              <w:pStyle w:val="TableParagraph"/>
              <w:spacing w:before="16"/>
              <w:ind w:left="180"/>
              <w:rPr>
                <w:sz w:val="18"/>
              </w:rPr>
            </w:pPr>
            <w:r>
              <w:rPr>
                <w:color w:val="231F20"/>
                <w:sz w:val="18"/>
              </w:rPr>
              <w:t>Accounts and other receivables</w:t>
            </w:r>
          </w:p>
        </w:tc>
        <w:tc>
          <w:tcPr>
            <w:tcW w:w="1700" w:type="dxa"/>
            <w:shd w:val="clear" w:color="auto" w:fill="D1D3D4"/>
          </w:tcPr>
          <w:p>
            <w:pPr>
              <w:pStyle w:val="TableParagraph"/>
              <w:spacing w:before="16"/>
              <w:ind w:right="58"/>
              <w:jc w:val="right"/>
              <w:rPr>
                <w:sz w:val="18"/>
              </w:rPr>
            </w:pPr>
            <w:r>
              <w:rPr>
                <w:color w:val="231F20"/>
                <w:sz w:val="18"/>
              </w:rPr>
              <w:t>546</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474</w:t>
            </w:r>
          </w:p>
        </w:tc>
      </w:tr>
      <w:tr>
        <w:trPr>
          <w:trHeight w:val="244" w:hRule="exact"/>
        </w:trPr>
        <w:tc>
          <w:tcPr>
            <w:tcW w:w="5520" w:type="dxa"/>
          </w:tcPr>
          <w:p>
            <w:pPr>
              <w:pStyle w:val="TableParagraph"/>
              <w:spacing w:before="16"/>
              <w:ind w:left="180"/>
              <w:rPr>
                <w:sz w:val="18"/>
              </w:rPr>
            </w:pPr>
            <w:r>
              <w:rPr>
                <w:color w:val="231F20"/>
                <w:sz w:val="18"/>
              </w:rPr>
              <w:t>Inventories of parts and supplies, at cost</w:t>
            </w:r>
          </w:p>
        </w:tc>
        <w:tc>
          <w:tcPr>
            <w:tcW w:w="1700" w:type="dxa"/>
          </w:tcPr>
          <w:p>
            <w:pPr>
              <w:pStyle w:val="TableParagraph"/>
              <w:spacing w:before="16"/>
              <w:ind w:right="58"/>
              <w:jc w:val="right"/>
              <w:rPr>
                <w:sz w:val="18"/>
              </w:rPr>
            </w:pPr>
            <w:r>
              <w:rPr>
                <w:color w:val="231F20"/>
                <w:sz w:val="18"/>
              </w:rPr>
              <w:t>337</w:t>
            </w:r>
          </w:p>
        </w:tc>
        <w:tc>
          <w:tcPr>
            <w:tcW w:w="200" w:type="dxa"/>
            <w:gridSpan w:val="2"/>
          </w:tcPr>
          <w:p>
            <w:pPr/>
          </w:p>
        </w:tc>
        <w:tc>
          <w:tcPr>
            <w:tcW w:w="1700" w:type="dxa"/>
          </w:tcPr>
          <w:p>
            <w:pPr>
              <w:pStyle w:val="TableParagraph"/>
              <w:spacing w:before="16"/>
              <w:ind w:right="58"/>
              <w:jc w:val="right"/>
              <w:rPr>
                <w:sz w:val="18"/>
              </w:rPr>
            </w:pPr>
            <w:r>
              <w:rPr>
                <w:color w:val="231F20"/>
                <w:sz w:val="18"/>
              </w:rPr>
              <w:t>311</w:t>
            </w:r>
          </w:p>
        </w:tc>
      </w:tr>
      <w:tr>
        <w:trPr>
          <w:trHeight w:val="259" w:hRule="exact"/>
        </w:trPr>
        <w:tc>
          <w:tcPr>
            <w:tcW w:w="5520" w:type="dxa"/>
            <w:shd w:val="clear" w:color="auto" w:fill="D1D3D4"/>
          </w:tcPr>
          <w:p>
            <w:pPr>
              <w:pStyle w:val="TableParagraph"/>
              <w:spacing w:before="16"/>
              <w:ind w:left="180"/>
              <w:rPr>
                <w:sz w:val="18"/>
              </w:rPr>
            </w:pPr>
            <w:r>
              <w:rPr>
                <w:color w:val="231F20"/>
                <w:sz w:val="18"/>
              </w:rPr>
              <w:t>Prepaid expenses and other current assets</w:t>
            </w: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310</w:t>
            </w:r>
          </w:p>
        </w:tc>
        <w:tc>
          <w:tcPr>
            <w:tcW w:w="200" w:type="dxa"/>
            <w:gridSpan w:val="2"/>
            <w:shd w:val="clear" w:color="auto" w:fill="D1D3D4"/>
          </w:tcPr>
          <w:p>
            <w:pP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188</w:t>
            </w:r>
          </w:p>
        </w:tc>
      </w:tr>
      <w:tr>
        <w:trPr>
          <w:trHeight w:val="249" w:hRule="exact"/>
        </w:trPr>
        <w:tc>
          <w:tcPr>
            <w:tcW w:w="5520" w:type="dxa"/>
          </w:tcPr>
          <w:p>
            <w:pPr>
              <w:pStyle w:val="TableParagraph"/>
              <w:spacing w:before="36"/>
              <w:ind w:left="360"/>
              <w:rPr>
                <w:sz w:val="18"/>
              </w:rPr>
            </w:pPr>
            <w:r>
              <w:rPr>
                <w:color w:val="231F20"/>
                <w:sz w:val="18"/>
              </w:rPr>
              <w:t>Total current assets</w:t>
            </w:r>
          </w:p>
        </w:tc>
        <w:tc>
          <w:tcPr>
            <w:tcW w:w="1700" w:type="dxa"/>
            <w:tcBorders>
              <w:top w:val="single" w:sz="4" w:space="0" w:color="231F20"/>
            </w:tcBorders>
          </w:tcPr>
          <w:p>
            <w:pPr>
              <w:pStyle w:val="TableParagraph"/>
              <w:spacing w:before="16"/>
              <w:ind w:right="58"/>
              <w:jc w:val="right"/>
              <w:rPr>
                <w:sz w:val="18"/>
              </w:rPr>
            </w:pPr>
            <w:r>
              <w:rPr>
                <w:color w:val="231F20"/>
                <w:sz w:val="18"/>
              </w:rPr>
              <w:t>4,498</w:t>
            </w:r>
          </w:p>
        </w:tc>
        <w:tc>
          <w:tcPr>
            <w:tcW w:w="200" w:type="dxa"/>
            <w:gridSpan w:val="2"/>
          </w:tcPr>
          <w:p>
            <w:pPr/>
          </w:p>
        </w:tc>
        <w:tc>
          <w:tcPr>
            <w:tcW w:w="1700" w:type="dxa"/>
            <w:tcBorders>
              <w:top w:val="single" w:sz="4" w:space="0" w:color="231F20"/>
            </w:tcBorders>
          </w:tcPr>
          <w:p>
            <w:pPr>
              <w:pStyle w:val="TableParagraph"/>
              <w:spacing w:before="16"/>
              <w:ind w:right="58"/>
              <w:jc w:val="right"/>
              <w:rPr>
                <w:sz w:val="18"/>
              </w:rPr>
            </w:pPr>
            <w:r>
              <w:rPr>
                <w:color w:val="231F20"/>
                <w:sz w:val="18"/>
              </w:rPr>
              <w:t>4,024</w:t>
            </w:r>
          </w:p>
        </w:tc>
      </w:tr>
      <w:tr>
        <w:trPr>
          <w:trHeight w:val="244" w:hRule="exact"/>
        </w:trPr>
        <w:tc>
          <w:tcPr>
            <w:tcW w:w="5520" w:type="dxa"/>
            <w:shd w:val="clear" w:color="auto" w:fill="D1D3D4"/>
          </w:tcPr>
          <w:p>
            <w:pP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rPr>
                <w:sz w:val="18"/>
              </w:rPr>
            </w:pPr>
            <w:r>
              <w:rPr>
                <w:color w:val="231F20"/>
                <w:sz w:val="18"/>
              </w:rPr>
              <w:t>Property and equipment, at cost:</w:t>
            </w:r>
          </w:p>
        </w:tc>
        <w:tc>
          <w:tcPr>
            <w:tcW w:w="1700" w:type="dxa"/>
          </w:tcPr>
          <w:p>
            <w:pPr/>
          </w:p>
        </w:tc>
        <w:tc>
          <w:tcPr>
            <w:tcW w:w="200" w:type="dxa"/>
            <w:gridSpan w:val="2"/>
          </w:tcPr>
          <w:p>
            <w:pPr/>
          </w:p>
        </w:tc>
        <w:tc>
          <w:tcPr>
            <w:tcW w:w="1700" w:type="dxa"/>
          </w:tcPr>
          <w:p>
            <w:pPr/>
          </w:p>
        </w:tc>
      </w:tr>
      <w:tr>
        <w:trPr>
          <w:trHeight w:val="244" w:hRule="exact"/>
        </w:trPr>
        <w:tc>
          <w:tcPr>
            <w:tcW w:w="5520" w:type="dxa"/>
            <w:shd w:val="clear" w:color="auto" w:fill="D1D3D4"/>
          </w:tcPr>
          <w:p>
            <w:pPr>
              <w:pStyle w:val="TableParagraph"/>
              <w:spacing w:before="16"/>
              <w:ind w:left="180"/>
              <w:rPr>
                <w:sz w:val="18"/>
              </w:rPr>
            </w:pPr>
            <w:r>
              <w:rPr>
                <w:color w:val="231F20"/>
                <w:sz w:val="18"/>
              </w:rPr>
              <w:t>Flight equipment</w:t>
            </w:r>
          </w:p>
        </w:tc>
        <w:tc>
          <w:tcPr>
            <w:tcW w:w="1700" w:type="dxa"/>
            <w:shd w:val="clear" w:color="auto" w:fill="D1D3D4"/>
          </w:tcPr>
          <w:p>
            <w:pPr>
              <w:pStyle w:val="TableParagraph"/>
              <w:spacing w:before="16"/>
              <w:ind w:right="59"/>
              <w:jc w:val="right"/>
              <w:rPr>
                <w:sz w:val="18"/>
              </w:rPr>
            </w:pPr>
            <w:r>
              <w:rPr>
                <w:color w:val="231F20"/>
                <w:sz w:val="18"/>
              </w:rPr>
              <w:t>20,275</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19,462</w:t>
            </w:r>
          </w:p>
        </w:tc>
      </w:tr>
      <w:tr>
        <w:trPr>
          <w:trHeight w:val="244" w:hRule="exact"/>
        </w:trPr>
        <w:tc>
          <w:tcPr>
            <w:tcW w:w="5520" w:type="dxa"/>
          </w:tcPr>
          <w:p>
            <w:pPr>
              <w:pStyle w:val="TableParagraph"/>
              <w:spacing w:before="16"/>
              <w:ind w:left="180"/>
              <w:rPr>
                <w:sz w:val="18"/>
              </w:rPr>
            </w:pPr>
            <w:r>
              <w:rPr>
                <w:color w:val="231F20"/>
                <w:sz w:val="18"/>
              </w:rPr>
              <w:t>Ground property and equipment</w:t>
            </w:r>
          </w:p>
        </w:tc>
        <w:tc>
          <w:tcPr>
            <w:tcW w:w="1700" w:type="dxa"/>
          </w:tcPr>
          <w:p>
            <w:pPr>
              <w:pStyle w:val="TableParagraph"/>
              <w:spacing w:before="16"/>
              <w:ind w:right="58"/>
              <w:jc w:val="right"/>
              <w:rPr>
                <w:sz w:val="18"/>
              </w:rPr>
            </w:pPr>
            <w:r>
              <w:rPr>
                <w:color w:val="231F20"/>
                <w:sz w:val="18"/>
              </w:rPr>
              <w:t>3,779</w:t>
            </w:r>
          </w:p>
        </w:tc>
        <w:tc>
          <w:tcPr>
            <w:tcW w:w="200" w:type="dxa"/>
            <w:gridSpan w:val="2"/>
          </w:tcPr>
          <w:p>
            <w:pPr/>
          </w:p>
        </w:tc>
        <w:tc>
          <w:tcPr>
            <w:tcW w:w="1700" w:type="dxa"/>
          </w:tcPr>
          <w:p>
            <w:pPr>
              <w:pStyle w:val="TableParagraph"/>
              <w:spacing w:before="16"/>
              <w:ind w:right="58"/>
              <w:jc w:val="right"/>
              <w:rPr>
                <w:sz w:val="18"/>
              </w:rPr>
            </w:pPr>
            <w:r>
              <w:rPr>
                <w:color w:val="231F20"/>
                <w:sz w:val="18"/>
              </w:rPr>
              <w:t>3,219</w:t>
            </w:r>
          </w:p>
        </w:tc>
      </w:tr>
      <w:tr>
        <w:trPr>
          <w:trHeight w:val="244" w:hRule="exact"/>
        </w:trPr>
        <w:tc>
          <w:tcPr>
            <w:tcW w:w="5520" w:type="dxa"/>
            <w:shd w:val="clear" w:color="auto" w:fill="D1D3D4"/>
          </w:tcPr>
          <w:p>
            <w:pPr>
              <w:pStyle w:val="TableParagraph"/>
              <w:spacing w:before="16"/>
              <w:ind w:left="180"/>
              <w:rPr>
                <w:sz w:val="18"/>
              </w:rPr>
            </w:pPr>
            <w:r>
              <w:rPr>
                <w:color w:val="231F20"/>
                <w:sz w:val="18"/>
              </w:rPr>
              <w:t>Deposits on flight equipment purchase contracts</w:t>
            </w:r>
          </w:p>
        </w:tc>
        <w:tc>
          <w:tcPr>
            <w:tcW w:w="1700" w:type="dxa"/>
            <w:shd w:val="clear" w:color="auto" w:fill="D1D3D4"/>
          </w:tcPr>
          <w:p>
            <w:pPr>
              <w:pStyle w:val="TableParagraph"/>
              <w:spacing w:before="16"/>
              <w:ind w:right="58"/>
              <w:jc w:val="right"/>
              <w:rPr>
                <w:sz w:val="18"/>
              </w:rPr>
            </w:pPr>
            <w:r>
              <w:rPr>
                <w:color w:val="231F20"/>
                <w:sz w:val="18"/>
              </w:rPr>
              <w:t>1,190</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1,089</w:t>
            </w:r>
          </w:p>
        </w:tc>
      </w:tr>
      <w:tr>
        <w:trPr>
          <w:trHeight w:val="259" w:hRule="exact"/>
        </w:trPr>
        <w:tc>
          <w:tcPr>
            <w:tcW w:w="5520" w:type="dxa"/>
          </w:tcPr>
          <w:p>
            <w:pPr>
              <w:pStyle w:val="TableParagraph"/>
              <w:spacing w:before="16"/>
              <w:ind w:left="180"/>
              <w:rPr>
                <w:sz w:val="18"/>
              </w:rPr>
            </w:pPr>
            <w:r>
              <w:rPr>
                <w:color w:val="231F20"/>
                <w:sz w:val="18"/>
              </w:rPr>
              <w:t>Assets constructed for others</w:t>
            </w:r>
          </w:p>
        </w:tc>
        <w:tc>
          <w:tcPr>
            <w:tcW w:w="1700" w:type="dxa"/>
            <w:tcBorders>
              <w:bottom w:val="single" w:sz="4" w:space="0" w:color="231F20"/>
            </w:tcBorders>
          </w:tcPr>
          <w:p>
            <w:pPr>
              <w:pStyle w:val="TableParagraph"/>
              <w:spacing w:before="16"/>
              <w:ind w:right="59"/>
              <w:jc w:val="right"/>
              <w:rPr>
                <w:sz w:val="18"/>
              </w:rPr>
            </w:pPr>
            <w:r>
              <w:rPr>
                <w:color w:val="231F20"/>
                <w:sz w:val="18"/>
              </w:rPr>
              <w:t>1,220</w:t>
            </w:r>
          </w:p>
        </w:tc>
        <w:tc>
          <w:tcPr>
            <w:tcW w:w="200" w:type="dxa"/>
            <w:gridSpan w:val="2"/>
          </w:tcPr>
          <w:p>
            <w:pPr/>
          </w:p>
        </w:tc>
        <w:tc>
          <w:tcPr>
            <w:tcW w:w="1700" w:type="dxa"/>
            <w:tcBorders>
              <w:bottom w:val="single" w:sz="4" w:space="0" w:color="231F20"/>
            </w:tcBorders>
          </w:tcPr>
          <w:p>
            <w:pPr>
              <w:pStyle w:val="TableParagraph"/>
              <w:spacing w:before="16"/>
              <w:ind w:right="58"/>
              <w:jc w:val="right"/>
              <w:rPr>
                <w:sz w:val="18"/>
              </w:rPr>
            </w:pPr>
            <w:r>
              <w:rPr>
                <w:color w:val="231F20"/>
                <w:sz w:val="18"/>
              </w:rPr>
              <w:t>915</w:t>
            </w:r>
          </w:p>
        </w:tc>
      </w:tr>
      <w:tr>
        <w:trPr>
          <w:trHeight w:val="249"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6"/>
              <w:ind w:right="59"/>
              <w:jc w:val="right"/>
              <w:rPr>
                <w:sz w:val="18"/>
              </w:rPr>
            </w:pPr>
            <w:r>
              <w:rPr>
                <w:color w:val="231F20"/>
                <w:sz w:val="18"/>
              </w:rPr>
              <w:t>26,464</w:t>
            </w:r>
          </w:p>
        </w:tc>
        <w:tc>
          <w:tcPr>
            <w:tcW w:w="200" w:type="dxa"/>
            <w:gridSpan w:val="2"/>
            <w:shd w:val="clear" w:color="auto" w:fill="D1D3D4"/>
          </w:tcPr>
          <w:p>
            <w:pPr/>
          </w:p>
        </w:tc>
        <w:tc>
          <w:tcPr>
            <w:tcW w:w="1700" w:type="dxa"/>
            <w:tcBorders>
              <w:top w:val="single" w:sz="4" w:space="0" w:color="231F20"/>
            </w:tcBorders>
            <w:shd w:val="clear" w:color="auto" w:fill="D1D3D4"/>
          </w:tcPr>
          <w:p>
            <w:pPr>
              <w:pStyle w:val="TableParagraph"/>
              <w:spacing w:before="16"/>
              <w:ind w:right="58"/>
              <w:jc w:val="right"/>
              <w:rPr>
                <w:sz w:val="18"/>
              </w:rPr>
            </w:pPr>
            <w:r>
              <w:rPr>
                <w:color w:val="231F20"/>
                <w:sz w:val="18"/>
              </w:rPr>
              <w:t>24,685</w:t>
            </w:r>
          </w:p>
        </w:tc>
      </w:tr>
      <w:tr>
        <w:trPr>
          <w:trHeight w:val="259" w:hRule="exact"/>
        </w:trPr>
        <w:tc>
          <w:tcPr>
            <w:tcW w:w="5520" w:type="dxa"/>
          </w:tcPr>
          <w:p>
            <w:pPr>
              <w:pStyle w:val="TableParagraph"/>
              <w:spacing w:before="16"/>
              <w:ind w:left="180"/>
              <w:rPr>
                <w:sz w:val="18"/>
              </w:rPr>
            </w:pPr>
            <w:r>
              <w:rPr>
                <w:color w:val="231F20"/>
                <w:sz w:val="18"/>
              </w:rPr>
              <w:t>Less allowance for depreciation and amortization</w:t>
            </w:r>
          </w:p>
        </w:tc>
        <w:tc>
          <w:tcPr>
            <w:tcW w:w="1700" w:type="dxa"/>
            <w:tcBorders>
              <w:bottom w:val="single" w:sz="4" w:space="0" w:color="231F20"/>
            </w:tcBorders>
          </w:tcPr>
          <w:p>
            <w:pPr>
              <w:pStyle w:val="TableParagraph"/>
              <w:spacing w:before="16"/>
              <w:ind w:right="58"/>
              <w:jc w:val="right"/>
              <w:rPr>
                <w:sz w:val="18"/>
              </w:rPr>
            </w:pPr>
            <w:r>
              <w:rPr>
                <w:color w:val="231F20"/>
                <w:sz w:val="18"/>
              </w:rPr>
              <w:t>9,420</w:t>
            </w:r>
          </w:p>
        </w:tc>
        <w:tc>
          <w:tcPr>
            <w:tcW w:w="200" w:type="dxa"/>
            <w:gridSpan w:val="2"/>
          </w:tcPr>
          <w:p>
            <w:pPr/>
          </w:p>
        </w:tc>
        <w:tc>
          <w:tcPr>
            <w:tcW w:w="1700" w:type="dxa"/>
            <w:tcBorders>
              <w:bottom w:val="single" w:sz="4" w:space="0" w:color="231F20"/>
            </w:tcBorders>
          </w:tcPr>
          <w:p>
            <w:pPr>
              <w:pStyle w:val="TableParagraph"/>
              <w:spacing w:before="16"/>
              <w:ind w:right="58"/>
              <w:jc w:val="right"/>
              <w:rPr>
                <w:sz w:val="18"/>
              </w:rPr>
            </w:pPr>
            <w:r>
              <w:rPr>
                <w:color w:val="231F20"/>
                <w:sz w:val="18"/>
              </w:rPr>
              <w:t>9,084</w:t>
            </w:r>
          </w:p>
        </w:tc>
      </w:tr>
      <w:tr>
        <w:trPr>
          <w:trHeight w:val="249" w:hRule="exact"/>
        </w:trPr>
        <w:tc>
          <w:tcPr>
            <w:tcW w:w="5520" w:type="dxa"/>
            <w:shd w:val="clear" w:color="auto" w:fill="D1D3D4"/>
          </w:tcPr>
          <w:p>
            <w:pPr/>
          </w:p>
        </w:tc>
        <w:tc>
          <w:tcPr>
            <w:tcW w:w="1700" w:type="dxa"/>
            <w:tcBorders>
              <w:top w:val="single" w:sz="4" w:space="0" w:color="231F20"/>
            </w:tcBorders>
            <w:shd w:val="clear" w:color="auto" w:fill="D1D3D4"/>
          </w:tcPr>
          <w:p>
            <w:pPr>
              <w:pStyle w:val="TableParagraph"/>
              <w:spacing w:before="16"/>
              <w:ind w:right="59"/>
              <w:jc w:val="right"/>
              <w:rPr>
                <w:sz w:val="18"/>
              </w:rPr>
            </w:pPr>
            <w:r>
              <w:rPr>
                <w:color w:val="231F20"/>
                <w:sz w:val="18"/>
              </w:rPr>
              <w:t>17,044</w:t>
            </w:r>
          </w:p>
        </w:tc>
        <w:tc>
          <w:tcPr>
            <w:tcW w:w="200" w:type="dxa"/>
            <w:gridSpan w:val="2"/>
            <w:shd w:val="clear" w:color="auto" w:fill="D1D3D4"/>
          </w:tcPr>
          <w:p>
            <w:pPr/>
          </w:p>
        </w:tc>
        <w:tc>
          <w:tcPr>
            <w:tcW w:w="1700" w:type="dxa"/>
            <w:tcBorders>
              <w:top w:val="single" w:sz="4" w:space="0" w:color="231F20"/>
            </w:tcBorders>
            <w:shd w:val="clear" w:color="auto" w:fill="D1D3D4"/>
          </w:tcPr>
          <w:p>
            <w:pPr>
              <w:pStyle w:val="TableParagraph"/>
              <w:spacing w:before="16"/>
              <w:ind w:right="58"/>
              <w:jc w:val="right"/>
              <w:rPr>
                <w:sz w:val="18"/>
              </w:rPr>
            </w:pPr>
            <w:r>
              <w:rPr>
                <w:color w:val="231F20"/>
                <w:sz w:val="18"/>
              </w:rPr>
              <w:t>15,601</w:t>
            </w:r>
          </w:p>
        </w:tc>
      </w:tr>
      <w:tr>
        <w:trPr>
          <w:trHeight w:val="244" w:hRule="exact"/>
        </w:trPr>
        <w:tc>
          <w:tcPr>
            <w:tcW w:w="5520" w:type="dxa"/>
          </w:tcPr>
          <w:p>
            <w:pPr>
              <w:pStyle w:val="TableParagraph"/>
              <w:spacing w:before="16"/>
              <w:rPr>
                <w:sz w:val="18"/>
              </w:rPr>
            </w:pPr>
            <w:r>
              <w:rPr>
                <w:color w:val="231F20"/>
                <w:sz w:val="18"/>
              </w:rPr>
              <w:t>Goodwill</w:t>
            </w:r>
          </w:p>
        </w:tc>
        <w:tc>
          <w:tcPr>
            <w:tcW w:w="1700" w:type="dxa"/>
          </w:tcPr>
          <w:p>
            <w:pPr>
              <w:pStyle w:val="TableParagraph"/>
              <w:spacing w:before="16"/>
              <w:ind w:right="59"/>
              <w:jc w:val="right"/>
              <w:rPr>
                <w:sz w:val="18"/>
              </w:rPr>
            </w:pPr>
            <w:r>
              <w:rPr>
                <w:color w:val="231F20"/>
                <w:sz w:val="18"/>
              </w:rPr>
              <w:t>970</w:t>
            </w:r>
          </w:p>
        </w:tc>
        <w:tc>
          <w:tcPr>
            <w:tcW w:w="200" w:type="dxa"/>
            <w:gridSpan w:val="2"/>
          </w:tcPr>
          <w:p>
            <w:pPr/>
          </w:p>
        </w:tc>
        <w:tc>
          <w:tcPr>
            <w:tcW w:w="1700" w:type="dxa"/>
          </w:tcPr>
          <w:p>
            <w:pPr>
              <w:pStyle w:val="TableParagraph"/>
              <w:spacing w:before="16"/>
              <w:ind w:right="58"/>
              <w:jc w:val="right"/>
              <w:rPr>
                <w:sz w:val="18"/>
              </w:rPr>
            </w:pPr>
            <w:r>
              <w:rPr>
                <w:color w:val="231F20"/>
                <w:sz w:val="18"/>
              </w:rPr>
              <w:t>970</w:t>
            </w:r>
          </w:p>
        </w:tc>
      </w:tr>
      <w:tr>
        <w:trPr>
          <w:trHeight w:val="259" w:hRule="exact"/>
        </w:trPr>
        <w:tc>
          <w:tcPr>
            <w:tcW w:w="5520" w:type="dxa"/>
            <w:shd w:val="clear" w:color="auto" w:fill="D1D3D4"/>
          </w:tcPr>
          <w:p>
            <w:pPr>
              <w:pStyle w:val="TableParagraph"/>
              <w:spacing w:before="16"/>
              <w:rPr>
                <w:sz w:val="18"/>
              </w:rPr>
            </w:pPr>
            <w:r>
              <w:rPr>
                <w:color w:val="231F20"/>
                <w:sz w:val="18"/>
              </w:rPr>
              <w:t>Other assets</w:t>
            </w:r>
          </w:p>
        </w:tc>
        <w:tc>
          <w:tcPr>
            <w:tcW w:w="1700" w:type="dxa"/>
            <w:tcBorders>
              <w:bottom w:val="single" w:sz="4" w:space="0" w:color="231F20"/>
            </w:tcBorders>
            <w:shd w:val="clear" w:color="auto" w:fill="D1D3D4"/>
          </w:tcPr>
          <w:p>
            <w:pPr>
              <w:pStyle w:val="TableParagraph"/>
              <w:spacing w:before="16"/>
              <w:ind w:right="59"/>
              <w:jc w:val="right"/>
              <w:rPr>
                <w:sz w:val="18"/>
              </w:rPr>
            </w:pPr>
            <w:r>
              <w:rPr>
                <w:color w:val="231F20"/>
                <w:sz w:val="18"/>
              </w:rPr>
              <w:t>774</w:t>
            </w:r>
          </w:p>
        </w:tc>
        <w:tc>
          <w:tcPr>
            <w:tcW w:w="200" w:type="dxa"/>
            <w:gridSpan w:val="2"/>
            <w:shd w:val="clear" w:color="auto" w:fill="D1D3D4"/>
          </w:tcPr>
          <w:p>
            <w:pP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717</w:t>
            </w:r>
          </w:p>
        </w:tc>
      </w:tr>
      <w:tr>
        <w:trPr>
          <w:trHeight w:val="296" w:hRule="exact"/>
        </w:trPr>
        <w:tc>
          <w:tcPr>
            <w:tcW w:w="5520" w:type="dxa"/>
          </w:tcPr>
          <w:p>
            <w:pPr/>
          </w:p>
        </w:tc>
        <w:tc>
          <w:tcPr>
            <w:tcW w:w="1700" w:type="dxa"/>
            <w:tcBorders>
              <w:top w:val="single" w:sz="4" w:space="0" w:color="231F20"/>
            </w:tcBorders>
          </w:tcPr>
          <w:p>
            <w:pPr>
              <w:pStyle w:val="TableParagraph"/>
              <w:tabs>
                <w:tab w:pos="1144" w:val="left" w:leader="none"/>
              </w:tabs>
              <w:spacing w:before="16"/>
              <w:ind w:right="58"/>
              <w:jc w:val="right"/>
              <w:rPr>
                <w:sz w:val="18"/>
              </w:rPr>
            </w:pPr>
            <w:r>
              <w:rPr>
                <w:color w:val="231F20"/>
                <w:sz w:val="18"/>
              </w:rPr>
              <w:t>$</w:t>
              <w:tab/>
              <w:t>23,286</w:t>
            </w:r>
          </w:p>
        </w:tc>
        <w:tc>
          <w:tcPr>
            <w:tcW w:w="200" w:type="dxa"/>
            <w:gridSpan w:val="2"/>
          </w:tcPr>
          <w:p>
            <w:pPr/>
          </w:p>
        </w:tc>
        <w:tc>
          <w:tcPr>
            <w:tcW w:w="1700" w:type="dxa"/>
            <w:tcBorders>
              <w:top w:val="single" w:sz="4" w:space="0" w:color="231F20"/>
            </w:tcBorders>
          </w:tcPr>
          <w:p>
            <w:pPr>
              <w:pStyle w:val="TableParagraph"/>
              <w:tabs>
                <w:tab w:pos="1144" w:val="left" w:leader="none"/>
              </w:tabs>
              <w:spacing w:before="16"/>
              <w:rPr>
                <w:sz w:val="18"/>
              </w:rPr>
            </w:pPr>
            <w:r>
              <w:rPr>
                <w:color w:val="231F20"/>
                <w:sz w:val="18"/>
              </w:rPr>
              <w:t>$</w:t>
              <w:tab/>
              <w:t>21,312</w:t>
            </w:r>
          </w:p>
        </w:tc>
      </w:tr>
      <w:tr>
        <w:trPr>
          <w:trHeight w:val="257" w:hRule="exact"/>
        </w:trPr>
        <w:tc>
          <w:tcPr>
            <w:tcW w:w="5520" w:type="dxa"/>
            <w:shd w:val="clear" w:color="auto" w:fill="D1D3D4"/>
          </w:tcPr>
          <w:p>
            <w:pP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rPr>
                <w:b/>
                <w:sz w:val="18"/>
              </w:rPr>
            </w:pPr>
            <w:r>
              <w:rPr>
                <w:b/>
                <w:color w:val="231F20"/>
                <w:sz w:val="18"/>
              </w:rPr>
              <w:t>LIABILITIES AND STOCKHOLDERS’ EQUITY</w:t>
            </w:r>
          </w:p>
        </w:tc>
        <w:tc>
          <w:tcPr>
            <w:tcW w:w="1700" w:type="dxa"/>
          </w:tcPr>
          <w:p>
            <w:pPr/>
          </w:p>
        </w:tc>
        <w:tc>
          <w:tcPr>
            <w:tcW w:w="200" w:type="dxa"/>
            <w:gridSpan w:val="2"/>
          </w:tcPr>
          <w:p>
            <w:pPr/>
          </w:p>
        </w:tc>
        <w:tc>
          <w:tcPr>
            <w:tcW w:w="1700" w:type="dxa"/>
          </w:tcPr>
          <w:p>
            <w:pPr/>
          </w:p>
        </w:tc>
      </w:tr>
      <w:tr>
        <w:trPr>
          <w:trHeight w:val="244" w:hRule="exact"/>
        </w:trPr>
        <w:tc>
          <w:tcPr>
            <w:tcW w:w="5520" w:type="dxa"/>
            <w:shd w:val="clear" w:color="auto" w:fill="D1D3D4"/>
          </w:tcPr>
          <w:p>
            <w:pPr>
              <w:pStyle w:val="TableParagraph"/>
              <w:spacing w:before="16"/>
              <w:rPr>
                <w:sz w:val="18"/>
              </w:rPr>
            </w:pPr>
            <w:r>
              <w:rPr>
                <w:color w:val="231F20"/>
                <w:sz w:val="18"/>
              </w:rPr>
              <w:t>Current liabilities:</w:t>
            </w: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ind w:left="180"/>
              <w:rPr>
                <w:sz w:val="18"/>
              </w:rPr>
            </w:pPr>
            <w:r>
              <w:rPr>
                <w:color w:val="231F20"/>
                <w:sz w:val="18"/>
              </w:rPr>
              <w:t>Accounts payable</w:t>
            </w:r>
          </w:p>
        </w:tc>
        <w:tc>
          <w:tcPr>
            <w:tcW w:w="1700" w:type="dxa"/>
          </w:tcPr>
          <w:p>
            <w:pPr>
              <w:pStyle w:val="TableParagraph"/>
              <w:tabs>
                <w:tab w:pos="1234" w:val="left" w:leader="none"/>
              </w:tabs>
              <w:spacing w:before="16"/>
              <w:ind w:left="-1" w:right="58"/>
              <w:jc w:val="right"/>
              <w:rPr>
                <w:sz w:val="18"/>
              </w:rPr>
            </w:pPr>
            <w:r>
              <w:rPr>
                <w:color w:val="231F20"/>
                <w:sz w:val="18"/>
              </w:rPr>
              <w:t>$</w:t>
              <w:tab/>
              <w:t>1,178</w:t>
            </w:r>
          </w:p>
        </w:tc>
        <w:tc>
          <w:tcPr>
            <w:tcW w:w="200" w:type="dxa"/>
            <w:gridSpan w:val="2"/>
          </w:tcPr>
          <w:p>
            <w:pPr/>
          </w:p>
        </w:tc>
        <w:tc>
          <w:tcPr>
            <w:tcW w:w="1700" w:type="dxa"/>
          </w:tcPr>
          <w:p>
            <w:pPr>
              <w:pStyle w:val="TableParagraph"/>
              <w:tabs>
                <w:tab w:pos="1234" w:val="left" w:leader="none"/>
              </w:tabs>
              <w:spacing w:before="16"/>
              <w:ind w:left="-1"/>
              <w:rPr>
                <w:sz w:val="18"/>
              </w:rPr>
            </w:pPr>
            <w:r>
              <w:rPr>
                <w:color w:val="231F20"/>
                <w:sz w:val="18"/>
              </w:rPr>
              <w:t>$</w:t>
              <w:tab/>
              <w:t>1,188</w:t>
            </w:r>
          </w:p>
        </w:tc>
      </w:tr>
      <w:tr>
        <w:trPr>
          <w:trHeight w:val="244" w:hRule="exact"/>
        </w:trPr>
        <w:tc>
          <w:tcPr>
            <w:tcW w:w="5520" w:type="dxa"/>
            <w:shd w:val="clear" w:color="auto" w:fill="D1D3D4"/>
          </w:tcPr>
          <w:p>
            <w:pPr>
              <w:pStyle w:val="TableParagraph"/>
              <w:spacing w:before="16"/>
              <w:ind w:left="180"/>
              <w:rPr>
                <w:sz w:val="18"/>
              </w:rPr>
            </w:pPr>
            <w:r>
              <w:rPr>
                <w:color w:val="231F20"/>
                <w:sz w:val="18"/>
              </w:rPr>
              <w:t>Accrued liabilities</w:t>
            </w:r>
          </w:p>
        </w:tc>
        <w:tc>
          <w:tcPr>
            <w:tcW w:w="1700" w:type="dxa"/>
            <w:shd w:val="clear" w:color="auto" w:fill="D1D3D4"/>
          </w:tcPr>
          <w:p>
            <w:pPr>
              <w:pStyle w:val="TableParagraph"/>
              <w:spacing w:before="16"/>
              <w:ind w:right="59"/>
              <w:jc w:val="right"/>
              <w:rPr>
                <w:sz w:val="18"/>
              </w:rPr>
            </w:pPr>
            <w:r>
              <w:rPr>
                <w:color w:val="231F20"/>
                <w:sz w:val="18"/>
              </w:rPr>
              <w:t>1,985</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2,591</w:t>
            </w:r>
          </w:p>
        </w:tc>
      </w:tr>
      <w:tr>
        <w:trPr>
          <w:trHeight w:val="244" w:hRule="exact"/>
        </w:trPr>
        <w:tc>
          <w:tcPr>
            <w:tcW w:w="5520" w:type="dxa"/>
          </w:tcPr>
          <w:p>
            <w:pPr>
              <w:pStyle w:val="TableParagraph"/>
              <w:spacing w:before="16"/>
              <w:ind w:left="180"/>
              <w:rPr>
                <w:sz w:val="18"/>
              </w:rPr>
            </w:pPr>
            <w:r>
              <w:rPr>
                <w:color w:val="231F20"/>
                <w:sz w:val="18"/>
              </w:rPr>
              <w:t>Air traffic liability</w:t>
            </w:r>
          </w:p>
        </w:tc>
        <w:tc>
          <w:tcPr>
            <w:tcW w:w="1700" w:type="dxa"/>
          </w:tcPr>
          <w:p>
            <w:pPr>
              <w:pStyle w:val="TableParagraph"/>
              <w:spacing w:before="16"/>
              <w:ind w:right="58"/>
              <w:jc w:val="right"/>
              <w:rPr>
                <w:sz w:val="18"/>
              </w:rPr>
            </w:pPr>
            <w:r>
              <w:rPr>
                <w:color w:val="231F20"/>
                <w:sz w:val="18"/>
              </w:rPr>
              <w:t>3,115</w:t>
            </w:r>
          </w:p>
        </w:tc>
        <w:tc>
          <w:tcPr>
            <w:tcW w:w="200" w:type="dxa"/>
            <w:gridSpan w:val="2"/>
          </w:tcPr>
          <w:p>
            <w:pPr/>
          </w:p>
        </w:tc>
        <w:tc>
          <w:tcPr>
            <w:tcW w:w="1700" w:type="dxa"/>
          </w:tcPr>
          <w:p>
            <w:pPr>
              <w:pStyle w:val="TableParagraph"/>
              <w:spacing w:before="16"/>
              <w:ind w:right="58"/>
              <w:jc w:val="right"/>
              <w:rPr>
                <w:sz w:val="18"/>
              </w:rPr>
            </w:pPr>
            <w:r>
              <w:rPr>
                <w:color w:val="231F20"/>
                <w:sz w:val="18"/>
              </w:rPr>
              <w:t>2,990</w:t>
            </w:r>
          </w:p>
        </w:tc>
      </w:tr>
      <w:tr>
        <w:trPr>
          <w:trHeight w:val="259" w:hRule="exact"/>
        </w:trPr>
        <w:tc>
          <w:tcPr>
            <w:tcW w:w="5520" w:type="dxa"/>
            <w:shd w:val="clear" w:color="auto" w:fill="D1D3D4"/>
          </w:tcPr>
          <w:p>
            <w:pPr>
              <w:pStyle w:val="TableParagraph"/>
              <w:spacing w:before="16"/>
              <w:ind w:left="180"/>
              <w:rPr>
                <w:sz w:val="18"/>
              </w:rPr>
            </w:pPr>
            <w:r>
              <w:rPr>
                <w:color w:val="231F20"/>
                <w:sz w:val="18"/>
              </w:rPr>
              <w:t>Current maturities of long-term debt</w:t>
            </w: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566</w:t>
            </w:r>
          </w:p>
        </w:tc>
        <w:tc>
          <w:tcPr>
            <w:tcW w:w="200" w:type="dxa"/>
            <w:gridSpan w:val="2"/>
            <w:shd w:val="clear" w:color="auto" w:fill="D1D3D4"/>
          </w:tcPr>
          <w:p>
            <w:pPr/>
          </w:p>
        </w:tc>
        <w:tc>
          <w:tcPr>
            <w:tcW w:w="1700" w:type="dxa"/>
            <w:tcBorders>
              <w:bottom w:val="single" w:sz="4" w:space="0" w:color="231F20"/>
            </w:tcBorders>
            <w:shd w:val="clear" w:color="auto" w:fill="D1D3D4"/>
          </w:tcPr>
          <w:p>
            <w:pPr>
              <w:pStyle w:val="TableParagraph"/>
              <w:spacing w:before="16"/>
              <w:ind w:right="58"/>
              <w:jc w:val="right"/>
              <w:rPr>
                <w:sz w:val="18"/>
              </w:rPr>
            </w:pPr>
            <w:r>
              <w:rPr>
                <w:color w:val="231F20"/>
                <w:sz w:val="18"/>
              </w:rPr>
              <w:t>637</w:t>
            </w:r>
          </w:p>
        </w:tc>
      </w:tr>
      <w:tr>
        <w:trPr>
          <w:trHeight w:val="249" w:hRule="exact"/>
        </w:trPr>
        <w:tc>
          <w:tcPr>
            <w:tcW w:w="5520" w:type="dxa"/>
          </w:tcPr>
          <w:p>
            <w:pPr>
              <w:pStyle w:val="TableParagraph"/>
              <w:spacing w:before="36"/>
              <w:ind w:left="360"/>
              <w:rPr>
                <w:sz w:val="18"/>
              </w:rPr>
            </w:pPr>
            <w:r>
              <w:rPr>
                <w:color w:val="231F20"/>
                <w:sz w:val="18"/>
              </w:rPr>
              <w:t>Total current liabilities</w:t>
            </w:r>
          </w:p>
        </w:tc>
        <w:tc>
          <w:tcPr>
            <w:tcW w:w="1700" w:type="dxa"/>
            <w:tcBorders>
              <w:top w:val="single" w:sz="4" w:space="0" w:color="231F20"/>
            </w:tcBorders>
          </w:tcPr>
          <w:p>
            <w:pPr>
              <w:pStyle w:val="TableParagraph"/>
              <w:spacing w:before="16"/>
              <w:ind w:right="58"/>
              <w:jc w:val="right"/>
              <w:rPr>
                <w:sz w:val="18"/>
              </w:rPr>
            </w:pPr>
            <w:r>
              <w:rPr>
                <w:color w:val="231F20"/>
                <w:sz w:val="18"/>
              </w:rPr>
              <w:t>6,844</w:t>
            </w:r>
          </w:p>
        </w:tc>
        <w:tc>
          <w:tcPr>
            <w:tcW w:w="200" w:type="dxa"/>
            <w:gridSpan w:val="2"/>
          </w:tcPr>
          <w:p>
            <w:pPr/>
          </w:p>
        </w:tc>
        <w:tc>
          <w:tcPr>
            <w:tcW w:w="1700" w:type="dxa"/>
            <w:tcBorders>
              <w:top w:val="single" w:sz="4" w:space="0" w:color="231F20"/>
            </w:tcBorders>
          </w:tcPr>
          <w:p>
            <w:pPr>
              <w:pStyle w:val="TableParagraph"/>
              <w:spacing w:before="16"/>
              <w:ind w:right="58"/>
              <w:jc w:val="right"/>
              <w:rPr>
                <w:sz w:val="18"/>
              </w:rPr>
            </w:pPr>
            <w:r>
              <w:rPr>
                <w:color w:val="231F20"/>
                <w:sz w:val="18"/>
              </w:rPr>
              <w:t>7,406</w:t>
            </w:r>
          </w:p>
        </w:tc>
      </w:tr>
      <w:tr>
        <w:trPr>
          <w:trHeight w:val="244" w:hRule="exact"/>
        </w:trPr>
        <w:tc>
          <w:tcPr>
            <w:tcW w:w="5520" w:type="dxa"/>
            <w:shd w:val="clear" w:color="auto" w:fill="D1D3D4"/>
          </w:tcPr>
          <w:p>
            <w:pPr/>
          </w:p>
        </w:tc>
        <w:tc>
          <w:tcPr>
            <w:tcW w:w="1700" w:type="dxa"/>
            <w:shd w:val="clear" w:color="auto" w:fill="D1D3D4"/>
          </w:tcPr>
          <w:p>
            <w:pPr/>
          </w:p>
        </w:tc>
        <w:tc>
          <w:tcPr>
            <w:tcW w:w="200" w:type="dxa"/>
            <w:gridSpan w:val="2"/>
            <w:shd w:val="clear" w:color="auto" w:fill="D1D3D4"/>
          </w:tcPr>
          <w:p>
            <w:pPr/>
          </w:p>
        </w:tc>
        <w:tc>
          <w:tcPr>
            <w:tcW w:w="1700" w:type="dxa"/>
            <w:shd w:val="clear" w:color="auto" w:fill="D1D3D4"/>
          </w:tcPr>
          <w:p>
            <w:pPr/>
          </w:p>
        </w:tc>
      </w:tr>
      <w:tr>
        <w:trPr>
          <w:trHeight w:val="244" w:hRule="exact"/>
        </w:trPr>
        <w:tc>
          <w:tcPr>
            <w:tcW w:w="5520" w:type="dxa"/>
          </w:tcPr>
          <w:p>
            <w:pPr>
              <w:pStyle w:val="TableParagraph"/>
              <w:spacing w:before="16"/>
              <w:rPr>
                <w:sz w:val="18"/>
              </w:rPr>
            </w:pPr>
            <w:r>
              <w:rPr>
                <w:color w:val="231F20"/>
                <w:sz w:val="18"/>
              </w:rPr>
              <w:t>Long-term debt less current maturities</w:t>
            </w:r>
          </w:p>
        </w:tc>
        <w:tc>
          <w:tcPr>
            <w:tcW w:w="1700" w:type="dxa"/>
          </w:tcPr>
          <w:p>
            <w:pPr>
              <w:pStyle w:val="TableParagraph"/>
              <w:spacing w:before="16"/>
              <w:ind w:right="58"/>
              <w:jc w:val="right"/>
              <w:rPr>
                <w:sz w:val="18"/>
              </w:rPr>
            </w:pPr>
            <w:r>
              <w:rPr>
                <w:color w:val="231F20"/>
                <w:sz w:val="18"/>
              </w:rPr>
              <w:t>2,821</w:t>
            </w:r>
          </w:p>
        </w:tc>
        <w:tc>
          <w:tcPr>
            <w:tcW w:w="200" w:type="dxa"/>
            <w:gridSpan w:val="2"/>
          </w:tcPr>
          <w:p>
            <w:pPr/>
          </w:p>
        </w:tc>
        <w:tc>
          <w:tcPr>
            <w:tcW w:w="1700" w:type="dxa"/>
          </w:tcPr>
          <w:p>
            <w:pPr>
              <w:pStyle w:val="TableParagraph"/>
              <w:spacing w:before="16"/>
              <w:ind w:right="58"/>
              <w:jc w:val="right"/>
              <w:rPr>
                <w:sz w:val="18"/>
              </w:rPr>
            </w:pPr>
            <w:r>
              <w:rPr>
                <w:color w:val="231F20"/>
                <w:sz w:val="18"/>
              </w:rPr>
              <w:t>2,541</w:t>
            </w:r>
          </w:p>
        </w:tc>
      </w:tr>
      <w:tr>
        <w:trPr>
          <w:trHeight w:val="244" w:hRule="exact"/>
        </w:trPr>
        <w:tc>
          <w:tcPr>
            <w:tcW w:w="5520" w:type="dxa"/>
            <w:shd w:val="clear" w:color="auto" w:fill="D1D3D4"/>
          </w:tcPr>
          <w:p>
            <w:pPr>
              <w:pStyle w:val="TableParagraph"/>
              <w:spacing w:before="16"/>
              <w:rPr>
                <w:sz w:val="18"/>
              </w:rPr>
            </w:pPr>
            <w:r>
              <w:rPr>
                <w:color w:val="231F20"/>
                <w:sz w:val="18"/>
              </w:rPr>
              <w:t>Deferred income taxes</w:t>
            </w:r>
          </w:p>
        </w:tc>
        <w:tc>
          <w:tcPr>
            <w:tcW w:w="1700" w:type="dxa"/>
            <w:shd w:val="clear" w:color="auto" w:fill="D1D3D4"/>
          </w:tcPr>
          <w:p>
            <w:pPr>
              <w:pStyle w:val="TableParagraph"/>
              <w:spacing w:before="16"/>
              <w:ind w:right="58"/>
              <w:jc w:val="right"/>
              <w:rPr>
                <w:sz w:val="18"/>
              </w:rPr>
            </w:pPr>
            <w:r>
              <w:rPr>
                <w:color w:val="231F20"/>
                <w:sz w:val="18"/>
              </w:rPr>
              <w:t>3,374</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2,490</w:t>
            </w:r>
          </w:p>
        </w:tc>
      </w:tr>
      <w:tr>
        <w:trPr>
          <w:trHeight w:val="244" w:hRule="exact"/>
        </w:trPr>
        <w:tc>
          <w:tcPr>
            <w:tcW w:w="5520" w:type="dxa"/>
          </w:tcPr>
          <w:p>
            <w:pPr>
              <w:pStyle w:val="TableParagraph"/>
              <w:spacing w:before="16"/>
              <w:rPr>
                <w:sz w:val="18"/>
              </w:rPr>
            </w:pPr>
            <w:r>
              <w:rPr>
                <w:color w:val="231F20"/>
                <w:sz w:val="18"/>
              </w:rPr>
              <w:t>Construction obligation</w:t>
            </w:r>
          </w:p>
        </w:tc>
        <w:tc>
          <w:tcPr>
            <w:tcW w:w="1700" w:type="dxa"/>
          </w:tcPr>
          <w:p>
            <w:pPr>
              <w:pStyle w:val="TableParagraph"/>
              <w:spacing w:before="16"/>
              <w:ind w:right="58"/>
              <w:jc w:val="right"/>
              <w:rPr>
                <w:sz w:val="18"/>
              </w:rPr>
            </w:pPr>
            <w:r>
              <w:rPr>
                <w:color w:val="231F20"/>
                <w:sz w:val="18"/>
              </w:rPr>
              <w:t>1,078</w:t>
            </w:r>
          </w:p>
        </w:tc>
        <w:tc>
          <w:tcPr>
            <w:tcW w:w="200" w:type="dxa"/>
            <w:gridSpan w:val="2"/>
          </w:tcPr>
          <w:p>
            <w:pPr/>
          </w:p>
        </w:tc>
        <w:tc>
          <w:tcPr>
            <w:tcW w:w="1700" w:type="dxa"/>
          </w:tcPr>
          <w:p>
            <w:pPr>
              <w:pStyle w:val="TableParagraph"/>
              <w:spacing w:before="16"/>
              <w:ind w:right="58"/>
              <w:jc w:val="right"/>
              <w:rPr>
                <w:sz w:val="18"/>
              </w:rPr>
            </w:pPr>
            <w:r>
              <w:rPr>
                <w:color w:val="231F20"/>
                <w:sz w:val="18"/>
              </w:rPr>
              <w:t>757</w:t>
            </w:r>
          </w:p>
        </w:tc>
      </w:tr>
      <w:tr>
        <w:trPr>
          <w:trHeight w:val="244" w:hRule="exact"/>
        </w:trPr>
        <w:tc>
          <w:tcPr>
            <w:tcW w:w="5520" w:type="dxa"/>
            <w:shd w:val="clear" w:color="auto" w:fill="D1D3D4"/>
          </w:tcPr>
          <w:p>
            <w:pPr>
              <w:pStyle w:val="TableParagraph"/>
              <w:spacing w:before="16"/>
              <w:rPr>
                <w:sz w:val="18"/>
              </w:rPr>
            </w:pPr>
            <w:r>
              <w:rPr>
                <w:color w:val="231F20"/>
                <w:sz w:val="18"/>
              </w:rPr>
              <w:t>Other noncurrent liabilities</w:t>
            </w:r>
          </w:p>
        </w:tc>
        <w:tc>
          <w:tcPr>
            <w:tcW w:w="1700" w:type="dxa"/>
            <w:shd w:val="clear" w:color="auto" w:fill="D1D3D4"/>
          </w:tcPr>
          <w:p>
            <w:pPr>
              <w:pStyle w:val="TableParagraph"/>
              <w:spacing w:before="16"/>
              <w:ind w:right="58"/>
              <w:jc w:val="right"/>
              <w:rPr>
                <w:sz w:val="18"/>
              </w:rPr>
            </w:pPr>
            <w:r>
              <w:rPr>
                <w:color w:val="231F20"/>
                <w:sz w:val="18"/>
              </w:rPr>
              <w:t>728</w:t>
            </w:r>
          </w:p>
        </w:tc>
        <w:tc>
          <w:tcPr>
            <w:tcW w:w="200" w:type="dxa"/>
            <w:gridSpan w:val="2"/>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760</w:t>
            </w:r>
          </w:p>
        </w:tc>
      </w:tr>
      <w:tr>
        <w:trPr>
          <w:trHeight w:val="450" w:hRule="exact"/>
        </w:trPr>
        <w:tc>
          <w:tcPr>
            <w:tcW w:w="5520" w:type="dxa"/>
          </w:tcPr>
          <w:p>
            <w:pPr>
              <w:pStyle w:val="TableParagraph"/>
              <w:spacing w:before="16"/>
              <w:rPr>
                <w:sz w:val="18"/>
              </w:rPr>
            </w:pPr>
            <w:r>
              <w:rPr>
                <w:color w:val="231F20"/>
                <w:sz w:val="18"/>
              </w:rPr>
              <w:t>Stockholders’ equity:</w:t>
            </w:r>
          </w:p>
          <w:p>
            <w:pPr>
              <w:pStyle w:val="TableParagraph"/>
              <w:spacing w:before="37"/>
              <w:ind w:left="180"/>
              <w:rPr>
                <w:sz w:val="18"/>
              </w:rPr>
            </w:pPr>
            <w:r>
              <w:rPr>
                <w:color w:val="231F20"/>
                <w:sz w:val="18"/>
              </w:rPr>
              <w:t>Common stock, $1.00 par value: 2,000,000,000 shares authorized;</w:t>
            </w:r>
          </w:p>
        </w:tc>
        <w:tc>
          <w:tcPr>
            <w:tcW w:w="1700" w:type="dxa"/>
          </w:tcPr>
          <w:p>
            <w:pPr/>
          </w:p>
        </w:tc>
        <w:tc>
          <w:tcPr>
            <w:tcW w:w="200" w:type="dxa"/>
            <w:gridSpan w:val="2"/>
          </w:tcPr>
          <w:p>
            <w:pPr/>
          </w:p>
        </w:tc>
        <w:tc>
          <w:tcPr>
            <w:tcW w:w="1700" w:type="dxa"/>
          </w:tcPr>
          <w:p>
            <w:pPr/>
          </w:p>
        </w:tc>
      </w:tr>
      <w:tr>
        <w:trPr>
          <w:trHeight w:val="223" w:hRule="exact"/>
        </w:trPr>
        <w:tc>
          <w:tcPr>
            <w:tcW w:w="5520" w:type="dxa"/>
            <w:shd w:val="clear" w:color="auto" w:fill="D1D3D4"/>
          </w:tcPr>
          <w:p>
            <w:pPr>
              <w:pStyle w:val="TableParagraph"/>
              <w:spacing w:line="201" w:lineRule="exact" w:before="0"/>
              <w:ind w:left="360"/>
              <w:rPr>
                <w:sz w:val="18"/>
              </w:rPr>
            </w:pPr>
            <w:r>
              <w:rPr>
                <w:color w:val="231F20"/>
                <w:sz w:val="18"/>
              </w:rPr>
              <w:t>807,611,634 shares issued in 2016 and 2015</w:t>
            </w:r>
          </w:p>
        </w:tc>
        <w:tc>
          <w:tcPr>
            <w:tcW w:w="1800" w:type="dxa"/>
            <w:gridSpan w:val="2"/>
            <w:shd w:val="clear" w:color="auto" w:fill="D1D3D4"/>
          </w:tcPr>
          <w:p>
            <w:pPr>
              <w:pStyle w:val="TableParagraph"/>
              <w:spacing w:line="201" w:lineRule="exact" w:before="0"/>
              <w:ind w:right="157"/>
              <w:jc w:val="right"/>
              <w:rPr>
                <w:sz w:val="18"/>
              </w:rPr>
            </w:pPr>
            <w:r>
              <w:rPr>
                <w:color w:val="231F20"/>
                <w:sz w:val="18"/>
              </w:rPr>
              <w:t>808</w:t>
            </w:r>
          </w:p>
        </w:tc>
        <w:tc>
          <w:tcPr>
            <w:tcW w:w="100" w:type="dxa"/>
            <w:shd w:val="clear" w:color="auto" w:fill="D1D3D4"/>
          </w:tcPr>
          <w:p>
            <w:pPr/>
          </w:p>
        </w:tc>
        <w:tc>
          <w:tcPr>
            <w:tcW w:w="1700" w:type="dxa"/>
            <w:shd w:val="clear" w:color="auto" w:fill="D1D3D4"/>
          </w:tcPr>
          <w:p>
            <w:pPr>
              <w:pStyle w:val="TableParagraph"/>
              <w:spacing w:line="201" w:lineRule="exact" w:before="0"/>
              <w:ind w:right="58"/>
              <w:jc w:val="right"/>
              <w:rPr>
                <w:sz w:val="18"/>
              </w:rPr>
            </w:pPr>
            <w:r>
              <w:rPr>
                <w:color w:val="231F20"/>
                <w:sz w:val="18"/>
              </w:rPr>
              <w:t>808</w:t>
            </w:r>
          </w:p>
        </w:tc>
      </w:tr>
      <w:tr>
        <w:trPr>
          <w:trHeight w:val="243" w:hRule="exact"/>
        </w:trPr>
        <w:tc>
          <w:tcPr>
            <w:tcW w:w="5520" w:type="dxa"/>
          </w:tcPr>
          <w:p>
            <w:pPr>
              <w:pStyle w:val="TableParagraph"/>
              <w:spacing w:before="15"/>
              <w:ind w:left="180"/>
              <w:rPr>
                <w:sz w:val="18"/>
              </w:rPr>
            </w:pPr>
            <w:r>
              <w:rPr>
                <w:color w:val="231F20"/>
                <w:sz w:val="18"/>
              </w:rPr>
              <w:t>Capital in excess of par value</w:t>
            </w:r>
          </w:p>
        </w:tc>
        <w:tc>
          <w:tcPr>
            <w:tcW w:w="1800" w:type="dxa"/>
            <w:gridSpan w:val="2"/>
          </w:tcPr>
          <w:p>
            <w:pPr>
              <w:pStyle w:val="TableParagraph"/>
              <w:spacing w:before="15"/>
              <w:ind w:right="157"/>
              <w:jc w:val="right"/>
              <w:rPr>
                <w:sz w:val="18"/>
              </w:rPr>
            </w:pPr>
            <w:r>
              <w:rPr>
                <w:color w:val="231F20"/>
                <w:sz w:val="18"/>
              </w:rPr>
              <w:t>1,410</w:t>
            </w:r>
          </w:p>
        </w:tc>
        <w:tc>
          <w:tcPr>
            <w:tcW w:w="100" w:type="dxa"/>
          </w:tcPr>
          <w:p>
            <w:pPr/>
          </w:p>
        </w:tc>
        <w:tc>
          <w:tcPr>
            <w:tcW w:w="1700" w:type="dxa"/>
          </w:tcPr>
          <w:p>
            <w:pPr>
              <w:pStyle w:val="TableParagraph"/>
              <w:spacing w:before="15"/>
              <w:ind w:right="58"/>
              <w:jc w:val="right"/>
              <w:rPr>
                <w:sz w:val="18"/>
              </w:rPr>
            </w:pPr>
            <w:r>
              <w:rPr>
                <w:color w:val="231F20"/>
                <w:sz w:val="18"/>
              </w:rPr>
              <w:t>1,374</w:t>
            </w:r>
          </w:p>
        </w:tc>
      </w:tr>
      <w:tr>
        <w:trPr>
          <w:trHeight w:val="244" w:hRule="exact"/>
        </w:trPr>
        <w:tc>
          <w:tcPr>
            <w:tcW w:w="5520" w:type="dxa"/>
            <w:shd w:val="clear" w:color="auto" w:fill="D1D3D4"/>
          </w:tcPr>
          <w:p>
            <w:pPr>
              <w:pStyle w:val="TableParagraph"/>
              <w:spacing w:before="16"/>
              <w:ind w:left="180"/>
              <w:rPr>
                <w:sz w:val="18"/>
              </w:rPr>
            </w:pPr>
            <w:r>
              <w:rPr>
                <w:color w:val="231F20"/>
                <w:sz w:val="18"/>
              </w:rPr>
              <w:t>Retained earnings</w:t>
            </w:r>
          </w:p>
        </w:tc>
        <w:tc>
          <w:tcPr>
            <w:tcW w:w="1800" w:type="dxa"/>
            <w:gridSpan w:val="2"/>
            <w:shd w:val="clear" w:color="auto" w:fill="D1D3D4"/>
          </w:tcPr>
          <w:p>
            <w:pPr>
              <w:pStyle w:val="TableParagraph"/>
              <w:spacing w:before="16"/>
              <w:ind w:left="1144"/>
              <w:rPr>
                <w:sz w:val="18"/>
              </w:rPr>
            </w:pPr>
            <w:r>
              <w:rPr>
                <w:color w:val="231F20"/>
                <w:sz w:val="18"/>
              </w:rPr>
              <w:t>11,418</w:t>
            </w:r>
          </w:p>
        </w:tc>
        <w:tc>
          <w:tcPr>
            <w:tcW w:w="100" w:type="dxa"/>
            <w:shd w:val="clear" w:color="auto" w:fill="D1D3D4"/>
          </w:tcPr>
          <w:p>
            <w:pPr/>
          </w:p>
        </w:tc>
        <w:tc>
          <w:tcPr>
            <w:tcW w:w="1700" w:type="dxa"/>
            <w:shd w:val="clear" w:color="auto" w:fill="D1D3D4"/>
          </w:tcPr>
          <w:p>
            <w:pPr>
              <w:pStyle w:val="TableParagraph"/>
              <w:spacing w:before="16"/>
              <w:ind w:right="58"/>
              <w:jc w:val="right"/>
              <w:rPr>
                <w:sz w:val="18"/>
              </w:rPr>
            </w:pPr>
            <w:r>
              <w:rPr>
                <w:color w:val="231F20"/>
                <w:sz w:val="18"/>
              </w:rPr>
              <w:t>9,409</w:t>
            </w:r>
          </w:p>
        </w:tc>
      </w:tr>
      <w:tr>
        <w:trPr>
          <w:trHeight w:val="244" w:hRule="exact"/>
        </w:trPr>
        <w:tc>
          <w:tcPr>
            <w:tcW w:w="5520" w:type="dxa"/>
          </w:tcPr>
          <w:p>
            <w:pPr>
              <w:pStyle w:val="TableParagraph"/>
              <w:spacing w:before="16"/>
              <w:ind w:left="180"/>
              <w:rPr>
                <w:sz w:val="18"/>
              </w:rPr>
            </w:pPr>
            <w:r>
              <w:rPr>
                <w:color w:val="231F20"/>
                <w:sz w:val="18"/>
              </w:rPr>
              <w:t>Accumulated other comprehensive loss</w:t>
            </w:r>
          </w:p>
        </w:tc>
        <w:tc>
          <w:tcPr>
            <w:tcW w:w="1800" w:type="dxa"/>
            <w:gridSpan w:val="2"/>
          </w:tcPr>
          <w:p>
            <w:pPr>
              <w:pStyle w:val="TableParagraph"/>
              <w:spacing w:before="16"/>
              <w:ind w:right="98"/>
              <w:jc w:val="right"/>
              <w:rPr>
                <w:sz w:val="18"/>
              </w:rPr>
            </w:pPr>
            <w:r>
              <w:rPr>
                <w:color w:val="231F20"/>
                <w:sz w:val="18"/>
              </w:rPr>
              <w:t>(323)</w:t>
            </w:r>
          </w:p>
        </w:tc>
        <w:tc>
          <w:tcPr>
            <w:tcW w:w="100" w:type="dxa"/>
          </w:tcPr>
          <w:p>
            <w:pPr/>
          </w:p>
        </w:tc>
        <w:tc>
          <w:tcPr>
            <w:tcW w:w="1700" w:type="dxa"/>
          </w:tcPr>
          <w:p>
            <w:pPr>
              <w:pStyle w:val="TableParagraph"/>
              <w:spacing w:before="16"/>
              <w:jc w:val="right"/>
              <w:rPr>
                <w:sz w:val="18"/>
              </w:rPr>
            </w:pPr>
            <w:r>
              <w:rPr>
                <w:color w:val="231F20"/>
                <w:sz w:val="18"/>
              </w:rPr>
              <w:t>(1,051)</w:t>
            </w:r>
          </w:p>
        </w:tc>
      </w:tr>
      <w:tr>
        <w:trPr>
          <w:trHeight w:val="443" w:hRule="exact"/>
        </w:trPr>
        <w:tc>
          <w:tcPr>
            <w:tcW w:w="5520" w:type="dxa"/>
            <w:shd w:val="clear" w:color="auto" w:fill="D1D3D4"/>
          </w:tcPr>
          <w:p>
            <w:pPr>
              <w:pStyle w:val="TableParagraph"/>
              <w:spacing w:line="184" w:lineRule="exact" w:before="37"/>
              <w:ind w:left="180" w:right="960"/>
              <w:rPr>
                <w:sz w:val="18"/>
              </w:rPr>
            </w:pPr>
            <w:r>
              <w:rPr>
                <w:color w:val="231F20"/>
                <w:sz w:val="18"/>
              </w:rPr>
              <w:t>Treasury stock, at cost: 192,450,855 and 160,010,017 shares in 2016 and 2015 respectively</w:t>
            </w:r>
          </w:p>
        </w:tc>
        <w:tc>
          <w:tcPr>
            <w:tcW w:w="1800" w:type="dxa"/>
            <w:gridSpan w:val="2"/>
            <w:tcBorders>
              <w:bottom w:val="single" w:sz="4" w:space="0" w:color="231F20"/>
            </w:tcBorders>
            <w:shd w:val="clear" w:color="auto" w:fill="D1D3D4"/>
          </w:tcPr>
          <w:p>
            <w:pPr>
              <w:pStyle w:val="TableParagraph"/>
              <w:spacing w:before="4"/>
              <w:rPr>
                <w:sz w:val="17"/>
              </w:rPr>
            </w:pPr>
          </w:p>
          <w:p>
            <w:pPr>
              <w:pStyle w:val="TableParagraph"/>
              <w:spacing w:before="0"/>
              <w:ind w:left="1175"/>
              <w:rPr>
                <w:sz w:val="18"/>
              </w:rPr>
            </w:pPr>
            <w:r>
              <w:rPr>
                <w:color w:val="231F20"/>
                <w:sz w:val="18"/>
              </w:rPr>
              <w:t>(4,872)</w:t>
            </w:r>
          </w:p>
        </w:tc>
        <w:tc>
          <w:tcPr>
            <w:tcW w:w="100" w:type="dxa"/>
            <w:shd w:val="clear" w:color="auto" w:fill="D1D3D4"/>
          </w:tcPr>
          <w:p>
            <w:pPr/>
          </w:p>
        </w:tc>
        <w:tc>
          <w:tcPr>
            <w:tcW w:w="1700" w:type="dxa"/>
            <w:tcBorders>
              <w:bottom w:val="single" w:sz="4" w:space="0" w:color="231F20"/>
            </w:tcBorders>
            <w:shd w:val="clear" w:color="auto" w:fill="D1D3D4"/>
          </w:tcPr>
          <w:p>
            <w:pPr>
              <w:pStyle w:val="TableParagraph"/>
              <w:spacing w:before="4"/>
              <w:rPr>
                <w:sz w:val="17"/>
              </w:rPr>
            </w:pPr>
          </w:p>
          <w:p>
            <w:pPr>
              <w:pStyle w:val="TableParagraph"/>
              <w:spacing w:before="0"/>
              <w:jc w:val="right"/>
              <w:rPr>
                <w:sz w:val="18"/>
              </w:rPr>
            </w:pPr>
            <w:r>
              <w:rPr>
                <w:color w:val="231F20"/>
                <w:sz w:val="18"/>
              </w:rPr>
              <w:t>(3,182)</w:t>
            </w:r>
          </w:p>
        </w:tc>
      </w:tr>
      <w:tr>
        <w:trPr>
          <w:trHeight w:val="264" w:hRule="exact"/>
        </w:trPr>
        <w:tc>
          <w:tcPr>
            <w:tcW w:w="5520" w:type="dxa"/>
          </w:tcPr>
          <w:p>
            <w:pPr>
              <w:pStyle w:val="TableParagraph"/>
              <w:spacing w:before="36"/>
              <w:ind w:left="360"/>
              <w:rPr>
                <w:sz w:val="18"/>
              </w:rPr>
            </w:pPr>
            <w:r>
              <w:rPr>
                <w:color w:val="231F20"/>
                <w:sz w:val="18"/>
              </w:rPr>
              <w:t>Total stockholders’ equity</w:t>
            </w:r>
          </w:p>
        </w:tc>
        <w:tc>
          <w:tcPr>
            <w:tcW w:w="1800" w:type="dxa"/>
            <w:gridSpan w:val="2"/>
            <w:tcBorders>
              <w:top w:val="single" w:sz="4" w:space="0" w:color="231F20"/>
              <w:bottom w:val="single" w:sz="4" w:space="0" w:color="231F20"/>
            </w:tcBorders>
          </w:tcPr>
          <w:p>
            <w:pPr>
              <w:pStyle w:val="TableParagraph"/>
              <w:spacing w:before="16"/>
              <w:ind w:right="157"/>
              <w:jc w:val="right"/>
              <w:rPr>
                <w:sz w:val="18"/>
              </w:rPr>
            </w:pPr>
            <w:r>
              <w:rPr>
                <w:color w:val="231F20"/>
                <w:sz w:val="18"/>
              </w:rPr>
              <w:t>8,441</w:t>
            </w:r>
          </w:p>
        </w:tc>
        <w:tc>
          <w:tcPr>
            <w:tcW w:w="100" w:type="dxa"/>
          </w:tcPr>
          <w:p>
            <w:pPr/>
          </w:p>
        </w:tc>
        <w:tc>
          <w:tcPr>
            <w:tcW w:w="1700" w:type="dxa"/>
            <w:tcBorders>
              <w:top w:val="single" w:sz="4" w:space="0" w:color="231F20"/>
              <w:bottom w:val="single" w:sz="4" w:space="0" w:color="231F20"/>
            </w:tcBorders>
          </w:tcPr>
          <w:p>
            <w:pPr>
              <w:pStyle w:val="TableParagraph"/>
              <w:spacing w:before="31"/>
              <w:ind w:right="58"/>
              <w:jc w:val="right"/>
              <w:rPr>
                <w:sz w:val="18"/>
              </w:rPr>
            </w:pPr>
            <w:r>
              <w:rPr>
                <w:color w:val="231F20"/>
                <w:sz w:val="18"/>
              </w:rPr>
              <w:t>7,358</w:t>
            </w:r>
          </w:p>
        </w:tc>
      </w:tr>
      <w:tr>
        <w:trPr>
          <w:trHeight w:val="304" w:hRule="exact"/>
        </w:trPr>
        <w:tc>
          <w:tcPr>
            <w:tcW w:w="5520" w:type="dxa"/>
            <w:shd w:val="clear" w:color="auto" w:fill="D1D3D4"/>
          </w:tcPr>
          <w:p>
            <w:pPr/>
          </w:p>
        </w:tc>
        <w:tc>
          <w:tcPr>
            <w:tcW w:w="1800" w:type="dxa"/>
            <w:gridSpan w:val="2"/>
            <w:tcBorders>
              <w:top w:val="single" w:sz="4" w:space="0" w:color="231F20"/>
              <w:bottom w:val="single" w:sz="4" w:space="0" w:color="231F20"/>
            </w:tcBorders>
            <w:shd w:val="clear" w:color="auto" w:fill="D1D3D4"/>
          </w:tcPr>
          <w:p>
            <w:pPr>
              <w:pStyle w:val="TableParagraph"/>
              <w:tabs>
                <w:tab w:pos="1144" w:val="left" w:leader="none"/>
              </w:tabs>
              <w:spacing w:before="16"/>
              <w:rPr>
                <w:sz w:val="18"/>
              </w:rPr>
            </w:pPr>
            <w:r>
              <w:rPr>
                <w:color w:val="231F20"/>
                <w:sz w:val="18"/>
              </w:rPr>
              <w:t>$</w:t>
              <w:tab/>
              <w:t>23,286</w:t>
            </w:r>
          </w:p>
        </w:tc>
        <w:tc>
          <w:tcPr>
            <w:tcW w:w="100" w:type="dxa"/>
            <w:shd w:val="clear" w:color="auto" w:fill="D1D3D4"/>
          </w:tcPr>
          <w:p>
            <w:pPr/>
          </w:p>
        </w:tc>
        <w:tc>
          <w:tcPr>
            <w:tcW w:w="1700" w:type="dxa"/>
            <w:tcBorders>
              <w:top w:val="single" w:sz="4" w:space="0" w:color="231F20"/>
              <w:bottom w:val="single" w:sz="4" w:space="0" w:color="231F20"/>
            </w:tcBorders>
            <w:shd w:val="clear" w:color="auto" w:fill="D1D3D4"/>
          </w:tcPr>
          <w:p>
            <w:pPr>
              <w:pStyle w:val="TableParagraph"/>
              <w:tabs>
                <w:tab w:pos="1144" w:val="left" w:leader="none"/>
              </w:tabs>
              <w:spacing w:before="11"/>
              <w:rPr>
                <w:sz w:val="18"/>
              </w:rPr>
            </w:pPr>
            <w:r>
              <w:rPr>
                <w:color w:val="231F20"/>
                <w:sz w:val="18"/>
              </w:rPr>
              <w:t>$</w:t>
              <w:tab/>
              <w:t>21,312</w:t>
            </w:r>
          </w:p>
        </w:tc>
      </w:tr>
      <w:tr>
        <w:trPr>
          <w:trHeight w:val="435" w:hRule="exact"/>
        </w:trPr>
        <w:tc>
          <w:tcPr>
            <w:tcW w:w="5520" w:type="dxa"/>
          </w:tcPr>
          <w:p>
            <w:pPr>
              <w:pStyle w:val="TableParagraph"/>
              <w:spacing w:before="6"/>
              <w:rPr>
                <w:sz w:val="20"/>
              </w:rPr>
            </w:pPr>
          </w:p>
          <w:p>
            <w:pPr>
              <w:pStyle w:val="TableParagraph"/>
              <w:spacing w:before="0"/>
              <w:rPr>
                <w:sz w:val="22"/>
              </w:rPr>
            </w:pPr>
            <w:r>
              <w:rPr>
                <w:color w:val="231F20"/>
                <w:sz w:val="22"/>
              </w:rPr>
              <w:t>See accompanying notes.</w:t>
            </w:r>
          </w:p>
        </w:tc>
        <w:tc>
          <w:tcPr>
            <w:tcW w:w="1800" w:type="dxa"/>
            <w:gridSpan w:val="2"/>
            <w:tcBorders>
              <w:top w:val="single" w:sz="4" w:space="0" w:color="231F20"/>
            </w:tcBorders>
          </w:tcPr>
          <w:p>
            <w:pPr/>
          </w:p>
        </w:tc>
        <w:tc>
          <w:tcPr>
            <w:tcW w:w="100" w:type="dxa"/>
          </w:tcPr>
          <w:p>
            <w:pPr/>
          </w:p>
        </w:tc>
        <w:tc>
          <w:tcPr>
            <w:tcW w:w="1700" w:type="dxa"/>
            <w:tcBorders>
              <w:top w:val="single" w:sz="4" w:space="0" w:color="231F20"/>
            </w:tcBorders>
          </w:tcPr>
          <w:p>
            <w:pPr/>
          </w:p>
        </w:tc>
      </w:tr>
    </w:tbl>
    <w:p>
      <w:pPr>
        <w:spacing w:after="0"/>
        <w:sectPr>
          <w:pgSz w:w="11880" w:h="15480"/>
          <w:pgMar w:header="0" w:footer="1240" w:top="1240" w:bottom="1420" w:left="1260" w:right="1260"/>
        </w:sectPr>
      </w:pPr>
    </w:p>
    <w:p>
      <w:pPr>
        <w:spacing w:before="72"/>
        <w:ind w:left="1225" w:right="1244" w:firstLine="0"/>
        <w:jc w:val="center"/>
        <w:rPr>
          <w:b/>
          <w:sz w:val="18"/>
        </w:rPr>
      </w:pPr>
      <w:bookmarkStart w:name="Consolidated Statement of Income " w:id="19"/>
      <w:bookmarkEnd w:id="19"/>
      <w:r>
        <w:rPr/>
      </w:r>
      <w:r>
        <w:rPr>
          <w:b/>
          <w:color w:val="231F20"/>
          <w:sz w:val="18"/>
        </w:rPr>
        <w:t>Southwest Airlines Co.</w:t>
      </w:r>
    </w:p>
    <w:p>
      <w:pPr>
        <w:spacing w:before="13"/>
        <w:ind w:left="1225" w:right="1244" w:firstLine="0"/>
        <w:jc w:val="center"/>
        <w:rPr>
          <w:b/>
          <w:sz w:val="18"/>
        </w:rPr>
      </w:pPr>
      <w:r>
        <w:rPr>
          <w:b/>
          <w:color w:val="231F20"/>
          <w:sz w:val="18"/>
        </w:rPr>
        <w:t>Consolidated Statement of Income</w:t>
      </w:r>
    </w:p>
    <w:p>
      <w:pPr>
        <w:spacing w:before="13"/>
        <w:ind w:left="1226" w:right="1244" w:firstLine="0"/>
        <w:jc w:val="center"/>
        <w:rPr>
          <w:sz w:val="18"/>
        </w:rPr>
      </w:pPr>
      <w:r>
        <w:rPr>
          <w:color w:val="231F20"/>
          <w:sz w:val="18"/>
        </w:rPr>
        <w:t>(in millions, except per share amounts)</w:t>
      </w:r>
    </w:p>
    <w:p>
      <w:pPr>
        <w:pStyle w:val="BodyText"/>
        <w:rPr>
          <w:sz w:val="20"/>
        </w:rPr>
      </w:pPr>
    </w:p>
    <w:p>
      <w:pPr>
        <w:pStyle w:val="BodyText"/>
        <w:spacing w:before="10"/>
      </w:pPr>
    </w:p>
    <w:p>
      <w:pPr>
        <w:spacing w:before="0" w:after="19"/>
        <w:ind w:left="4800" w:right="1" w:firstLine="0"/>
        <w:jc w:val="center"/>
        <w:rPr>
          <w:b/>
          <w:sz w:val="18"/>
        </w:rPr>
      </w:pPr>
      <w:r>
        <w:rPr>
          <w:b/>
          <w:color w:val="231F20"/>
          <w:sz w:val="18"/>
        </w:rPr>
        <w:t>Year ended December 31,</w:t>
      </w:r>
    </w:p>
    <w:p>
      <w:pPr>
        <w:pStyle w:val="BodyText"/>
        <w:spacing w:line="20" w:lineRule="exact"/>
        <w:ind w:left="4910"/>
        <w:rPr>
          <w:sz w:val="2"/>
        </w:rPr>
      </w:pPr>
      <w:r>
        <w:rPr>
          <w:sz w:val="2"/>
        </w:rPr>
        <w:pict>
          <v:group style="width:216pt;height:1pt;mso-position-horizontal-relative:char;mso-position-vertical-relative:line" coordorigin="0,0" coordsize="4320,20">
            <v:line style="position:absolute" from="10,10" to="4310,10" stroked="true" strokeweight="1pt" strokecolor="#231f20">
              <v:stroke dashstyle="solid"/>
            </v:line>
          </v:group>
        </w:pict>
      </w:r>
      <w:r>
        <w:rPr>
          <w:sz w:val="2"/>
        </w:rPr>
      </w:r>
    </w:p>
    <w:p>
      <w:pPr>
        <w:tabs>
          <w:tab w:pos="6299" w:val="left" w:leader="none"/>
          <w:tab w:pos="7799" w:val="left" w:leader="none"/>
        </w:tabs>
        <w:spacing w:before="52" w:after="21"/>
        <w:ind w:left="4800" w:right="0" w:firstLine="0"/>
        <w:jc w:val="center"/>
        <w:rPr>
          <w:b/>
          <w:sz w:val="18"/>
        </w:rPr>
      </w:pPr>
      <w:r>
        <w:rPr>
          <w:b/>
          <w:color w:val="231F20"/>
          <w:sz w:val="18"/>
        </w:rPr>
        <w:t>2016</w:t>
        <w:tab/>
        <w:t>2015</w:t>
        <w:tab/>
        <w:t>2014</w:t>
      </w:r>
    </w:p>
    <w:p>
      <w:pPr>
        <w:spacing w:line="20" w:lineRule="exact"/>
        <w:ind w:left="4910" w:right="0" w:firstLine="0"/>
        <w:rPr>
          <w:sz w:val="2"/>
        </w:rPr>
      </w:pPr>
      <w:r>
        <w:rPr>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r>
        <w:rPr>
          <w:spacing w:val="160"/>
          <w:sz w:val="2"/>
        </w:rPr>
        <w:t> </w:t>
      </w:r>
      <w:r>
        <w:rPr>
          <w:spacing w:val="160"/>
          <w:sz w:val="2"/>
        </w:rPr>
        <w:pict>
          <v:group style="width:66pt;height:1pt;mso-position-horizontal-relative:char;mso-position-vertical-relative:line" coordorigin="0,0" coordsize="1320,20">
            <v:line style="position:absolute" from="10,10" to="1310,10" stroked="true" strokeweight="1pt" strokecolor="#231f20">
              <v:stroke dashstyle="solid"/>
            </v:line>
          </v:group>
        </w:pict>
      </w:r>
      <w:r>
        <w:rPr>
          <w:spacing w:val="160"/>
          <w:sz w:val="2"/>
        </w:rPr>
      </w:r>
    </w:p>
    <w:p>
      <w:pPr>
        <w:pStyle w:val="BodyText"/>
        <w:spacing w:before="6"/>
        <w:rPr>
          <w:b/>
          <w:sz w:val="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20"/>
        <w:gridCol w:w="1300"/>
        <w:gridCol w:w="100"/>
        <w:gridCol w:w="100"/>
        <w:gridCol w:w="1300"/>
        <w:gridCol w:w="100"/>
        <w:gridCol w:w="100"/>
        <w:gridCol w:w="1300"/>
      </w:tblGrid>
      <w:tr>
        <w:trPr>
          <w:trHeight w:val="227" w:hRule="exact"/>
        </w:trPr>
        <w:tc>
          <w:tcPr>
            <w:tcW w:w="4820" w:type="dxa"/>
          </w:tcPr>
          <w:p>
            <w:pPr>
              <w:pStyle w:val="TableParagraph"/>
              <w:spacing w:line="206" w:lineRule="exact" w:before="0"/>
              <w:ind w:left="60"/>
              <w:rPr>
                <w:b/>
                <w:sz w:val="18"/>
              </w:rPr>
            </w:pPr>
            <w:r>
              <w:rPr>
                <w:b/>
                <w:color w:val="231F20"/>
                <w:sz w:val="18"/>
              </w:rPr>
              <w:t>OPERATING REVENUES:</w:t>
            </w:r>
          </w:p>
        </w:tc>
        <w:tc>
          <w:tcPr>
            <w:tcW w:w="4300" w:type="dxa"/>
            <w:gridSpan w:val="7"/>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Passenger</w:t>
            </w: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18,594</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ind w:right="58"/>
              <w:jc w:val="right"/>
              <w:rPr>
                <w:sz w:val="18"/>
              </w:rPr>
            </w:pPr>
            <w:r>
              <w:rPr>
                <w:color w:val="231F20"/>
                <w:sz w:val="18"/>
              </w:rPr>
              <w:t>$</w:t>
              <w:tab/>
              <w:t>18,299</w:t>
            </w:r>
          </w:p>
        </w:tc>
        <w:tc>
          <w:tcPr>
            <w:tcW w:w="200" w:type="dxa"/>
            <w:gridSpan w:val="2"/>
            <w:shd w:val="clear" w:color="auto" w:fill="D1D3D4"/>
          </w:tcPr>
          <w:p>
            <w:pPr/>
          </w:p>
        </w:tc>
        <w:tc>
          <w:tcPr>
            <w:tcW w:w="1300" w:type="dxa"/>
            <w:shd w:val="clear" w:color="auto" w:fill="D1D3D4"/>
          </w:tcPr>
          <w:p>
            <w:pPr>
              <w:pStyle w:val="TableParagraph"/>
              <w:tabs>
                <w:tab w:pos="744" w:val="left" w:leader="none"/>
              </w:tabs>
              <w:spacing w:before="22"/>
              <w:rPr>
                <w:sz w:val="18"/>
              </w:rPr>
            </w:pPr>
            <w:r>
              <w:rPr>
                <w:color w:val="231F20"/>
                <w:sz w:val="18"/>
              </w:rPr>
              <w:t>$</w:t>
              <w:tab/>
              <w:t>17,658</w:t>
            </w:r>
          </w:p>
        </w:tc>
      </w:tr>
      <w:tr>
        <w:trPr>
          <w:trHeight w:val="280" w:hRule="exact"/>
        </w:trPr>
        <w:tc>
          <w:tcPr>
            <w:tcW w:w="4820" w:type="dxa"/>
          </w:tcPr>
          <w:p>
            <w:pPr>
              <w:pStyle w:val="TableParagraph"/>
              <w:spacing w:before="22"/>
              <w:ind w:left="240"/>
              <w:rPr>
                <w:sz w:val="18"/>
              </w:rPr>
            </w:pPr>
            <w:r>
              <w:rPr>
                <w:color w:val="231F20"/>
                <w:sz w:val="18"/>
              </w:rPr>
              <w:t>Freight</w:t>
            </w:r>
          </w:p>
        </w:tc>
        <w:tc>
          <w:tcPr>
            <w:tcW w:w="1300" w:type="dxa"/>
          </w:tcPr>
          <w:p>
            <w:pPr>
              <w:pStyle w:val="TableParagraph"/>
              <w:spacing w:before="22"/>
              <w:ind w:right="58"/>
              <w:jc w:val="right"/>
              <w:rPr>
                <w:sz w:val="18"/>
              </w:rPr>
            </w:pPr>
            <w:r>
              <w:rPr>
                <w:color w:val="231F20"/>
                <w:sz w:val="18"/>
              </w:rPr>
              <w:t>171</w:t>
            </w:r>
          </w:p>
        </w:tc>
        <w:tc>
          <w:tcPr>
            <w:tcW w:w="200" w:type="dxa"/>
            <w:gridSpan w:val="2"/>
          </w:tcPr>
          <w:p>
            <w:pPr/>
          </w:p>
        </w:tc>
        <w:tc>
          <w:tcPr>
            <w:tcW w:w="1300" w:type="dxa"/>
          </w:tcPr>
          <w:p>
            <w:pPr>
              <w:pStyle w:val="TableParagraph"/>
              <w:spacing w:before="22"/>
              <w:ind w:right="58"/>
              <w:jc w:val="right"/>
              <w:rPr>
                <w:sz w:val="18"/>
              </w:rPr>
            </w:pPr>
            <w:r>
              <w:rPr>
                <w:color w:val="231F20"/>
                <w:sz w:val="18"/>
              </w:rPr>
              <w:t>179</w:t>
            </w:r>
          </w:p>
        </w:tc>
        <w:tc>
          <w:tcPr>
            <w:tcW w:w="200" w:type="dxa"/>
            <w:gridSpan w:val="2"/>
          </w:tcPr>
          <w:p>
            <w:pPr/>
          </w:p>
        </w:tc>
        <w:tc>
          <w:tcPr>
            <w:tcW w:w="1300" w:type="dxa"/>
          </w:tcPr>
          <w:p>
            <w:pPr>
              <w:pStyle w:val="TableParagraph"/>
              <w:spacing w:before="22"/>
              <w:ind w:right="58"/>
              <w:jc w:val="right"/>
              <w:rPr>
                <w:sz w:val="18"/>
              </w:rPr>
            </w:pPr>
            <w:r>
              <w:rPr>
                <w:color w:val="231F20"/>
                <w:sz w:val="18"/>
              </w:rPr>
              <w:t>175</w:t>
            </w:r>
          </w:p>
        </w:tc>
      </w:tr>
      <w:tr>
        <w:trPr>
          <w:trHeight w:val="260" w:hRule="exact"/>
        </w:trPr>
        <w:tc>
          <w:tcPr>
            <w:tcW w:w="4820" w:type="dxa"/>
            <w:shd w:val="clear" w:color="auto" w:fill="D1D3D4"/>
          </w:tcPr>
          <w:p>
            <w:pPr>
              <w:pStyle w:val="TableParagraph"/>
              <w:spacing w:before="32"/>
              <w:ind w:left="240"/>
              <w:rPr>
                <w:sz w:val="18"/>
              </w:rPr>
            </w:pPr>
            <w:r>
              <w:rPr>
                <w:color w:val="231F20"/>
                <w:sz w:val="18"/>
              </w:rPr>
              <w:t>Special revenue adjustment</w:t>
            </w:r>
          </w:p>
        </w:tc>
        <w:tc>
          <w:tcPr>
            <w:tcW w:w="1300" w:type="dxa"/>
            <w:shd w:val="clear" w:color="auto" w:fill="D1D3D4"/>
          </w:tcPr>
          <w:p>
            <w:pPr>
              <w:pStyle w:val="TableParagraph"/>
              <w:spacing w:before="32"/>
              <w:ind w:right="58"/>
              <w:jc w:val="right"/>
              <w:rPr>
                <w:sz w:val="18"/>
              </w:rPr>
            </w:pPr>
            <w:r>
              <w:rPr>
                <w:color w:val="231F20"/>
                <w:sz w:val="18"/>
              </w:rPr>
              <w:t>—</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172</w:t>
            </w:r>
          </w:p>
        </w:tc>
        <w:tc>
          <w:tcPr>
            <w:tcW w:w="200" w:type="dxa"/>
            <w:gridSpan w:val="2"/>
            <w:shd w:val="clear" w:color="auto" w:fill="D1D3D4"/>
          </w:tcPr>
          <w:p>
            <w:pPr/>
          </w:p>
        </w:tc>
        <w:tc>
          <w:tcPr>
            <w:tcW w:w="1300" w:type="dxa"/>
            <w:shd w:val="clear" w:color="auto" w:fill="D1D3D4"/>
          </w:tcPr>
          <w:p>
            <w:pPr>
              <w:pStyle w:val="TableParagraph"/>
              <w:spacing w:before="32"/>
              <w:ind w:right="58"/>
              <w:jc w:val="right"/>
              <w:rPr>
                <w:sz w:val="18"/>
              </w:rPr>
            </w:pPr>
            <w:r>
              <w:rPr>
                <w:color w:val="231F20"/>
                <w:sz w:val="18"/>
              </w:rPr>
              <w:t>—</w:t>
            </w:r>
          </w:p>
        </w:tc>
      </w:tr>
      <w:tr>
        <w:trPr>
          <w:trHeight w:val="275" w:hRule="exact"/>
        </w:trPr>
        <w:tc>
          <w:tcPr>
            <w:tcW w:w="4820" w:type="dxa"/>
          </w:tcPr>
          <w:p>
            <w:pPr>
              <w:pStyle w:val="TableParagraph"/>
              <w:spacing w:before="32"/>
              <w:ind w:left="240"/>
              <w:rPr>
                <w:sz w:val="18"/>
              </w:rPr>
            </w:pPr>
            <w:r>
              <w:rPr>
                <w:color w:val="231F20"/>
                <w:sz w:val="18"/>
              </w:rPr>
              <w:t>Other</w:t>
            </w:r>
          </w:p>
        </w:tc>
        <w:tc>
          <w:tcPr>
            <w:tcW w:w="1300" w:type="dxa"/>
            <w:tcBorders>
              <w:bottom w:val="single" w:sz="4" w:space="0" w:color="231F20"/>
            </w:tcBorders>
          </w:tcPr>
          <w:p>
            <w:pPr>
              <w:pStyle w:val="TableParagraph"/>
              <w:spacing w:before="32"/>
              <w:ind w:right="58"/>
              <w:jc w:val="right"/>
              <w:rPr>
                <w:sz w:val="18"/>
              </w:rPr>
            </w:pPr>
            <w:r>
              <w:rPr>
                <w:color w:val="231F20"/>
                <w:sz w:val="18"/>
              </w:rPr>
              <w:t>1,660</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1,170</w:t>
            </w:r>
          </w:p>
        </w:tc>
        <w:tc>
          <w:tcPr>
            <w:tcW w:w="200" w:type="dxa"/>
            <w:gridSpan w:val="2"/>
          </w:tcPr>
          <w:p>
            <w:pPr/>
          </w:p>
        </w:tc>
        <w:tc>
          <w:tcPr>
            <w:tcW w:w="1300" w:type="dxa"/>
            <w:tcBorders>
              <w:bottom w:val="single" w:sz="4" w:space="0" w:color="231F20"/>
            </w:tcBorders>
          </w:tcPr>
          <w:p>
            <w:pPr>
              <w:pStyle w:val="TableParagraph"/>
              <w:spacing w:before="32"/>
              <w:ind w:right="58"/>
              <w:jc w:val="right"/>
              <w:rPr>
                <w:sz w:val="18"/>
              </w:rPr>
            </w:pPr>
            <w:r>
              <w:rPr>
                <w:color w:val="231F20"/>
                <w:sz w:val="18"/>
              </w:rPr>
              <w:t>772</w:t>
            </w:r>
          </w:p>
        </w:tc>
      </w:tr>
      <w:tr>
        <w:trPr>
          <w:trHeight w:val="285" w:hRule="exact"/>
        </w:trPr>
        <w:tc>
          <w:tcPr>
            <w:tcW w:w="4820" w:type="dxa"/>
            <w:shd w:val="clear" w:color="auto" w:fill="D1D3D4"/>
          </w:tcPr>
          <w:p>
            <w:pPr>
              <w:pStyle w:val="TableParagraph"/>
              <w:spacing w:before="22"/>
              <w:ind w:left="420"/>
              <w:rPr>
                <w:sz w:val="18"/>
              </w:rPr>
            </w:pPr>
            <w:r>
              <w:rPr>
                <w:color w:val="231F20"/>
                <w:sz w:val="18"/>
              </w:rPr>
              <w:t>Total operating revenues</w:t>
            </w: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20,425</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19,820</w:t>
            </w:r>
          </w:p>
        </w:tc>
        <w:tc>
          <w:tcPr>
            <w:tcW w:w="200" w:type="dxa"/>
            <w:gridSpan w:val="2"/>
            <w:shd w:val="clear" w:color="auto" w:fill="D1D3D4"/>
          </w:tcPr>
          <w:p>
            <w:pPr/>
          </w:p>
        </w:tc>
        <w:tc>
          <w:tcPr>
            <w:tcW w:w="1300" w:type="dxa"/>
            <w:tcBorders>
              <w:top w:val="single" w:sz="4" w:space="0" w:color="231F20"/>
            </w:tcBorders>
            <w:shd w:val="clear" w:color="auto" w:fill="D1D3D4"/>
          </w:tcPr>
          <w:p>
            <w:pPr>
              <w:pStyle w:val="TableParagraph"/>
              <w:spacing w:before="52"/>
              <w:ind w:right="58"/>
              <w:jc w:val="right"/>
              <w:rPr>
                <w:sz w:val="18"/>
              </w:rPr>
            </w:pPr>
            <w:r>
              <w:rPr>
                <w:color w:val="231F20"/>
                <w:sz w:val="18"/>
              </w:rPr>
              <w:t>18,605</w:t>
            </w:r>
          </w:p>
        </w:tc>
      </w:tr>
      <w:tr>
        <w:trPr>
          <w:trHeight w:val="544" w:hRule="exact"/>
        </w:trPr>
        <w:tc>
          <w:tcPr>
            <w:tcW w:w="9120" w:type="dxa"/>
            <w:gridSpan w:val="8"/>
          </w:tcPr>
          <w:p>
            <w:pPr>
              <w:pStyle w:val="TableParagraph"/>
              <w:spacing w:before="1"/>
              <w:rPr>
                <w:b/>
                <w:sz w:val="27"/>
              </w:rPr>
            </w:pPr>
          </w:p>
          <w:p>
            <w:pPr>
              <w:pStyle w:val="TableParagraph"/>
              <w:tabs>
                <w:tab w:pos="9119" w:val="left" w:leader="none"/>
              </w:tabs>
              <w:spacing w:before="0"/>
              <w:rPr>
                <w:b/>
                <w:sz w:val="18"/>
              </w:rPr>
            </w:pPr>
            <w:r>
              <w:rPr>
                <w:b/>
                <w:color w:val="231F20"/>
                <w:spacing w:val="15"/>
                <w:sz w:val="18"/>
                <w:shd w:fill="D1D3D4" w:color="auto" w:val="clear"/>
              </w:rPr>
              <w:t> </w:t>
            </w:r>
            <w:r>
              <w:rPr>
                <w:b/>
                <w:color w:val="231F20"/>
                <w:sz w:val="18"/>
                <w:shd w:fill="D1D3D4" w:color="auto" w:val="clear"/>
              </w:rPr>
              <w:t>OPERATING</w:t>
            </w:r>
            <w:r>
              <w:rPr>
                <w:b/>
                <w:color w:val="231F20"/>
                <w:spacing w:val="-1"/>
                <w:sz w:val="18"/>
                <w:shd w:fill="D1D3D4" w:color="auto" w:val="clear"/>
              </w:rPr>
              <w:t> </w:t>
            </w:r>
            <w:r>
              <w:rPr>
                <w:b/>
                <w:color w:val="231F20"/>
                <w:sz w:val="18"/>
                <w:shd w:fill="D1D3D4" w:color="auto" w:val="clear"/>
              </w:rPr>
              <w:t>EXPENSES:</w:t>
              <w:tab/>
            </w:r>
          </w:p>
        </w:tc>
      </w:tr>
      <w:tr>
        <w:trPr>
          <w:trHeight w:val="276" w:hRule="exact"/>
        </w:trPr>
        <w:tc>
          <w:tcPr>
            <w:tcW w:w="4820" w:type="dxa"/>
          </w:tcPr>
          <w:p>
            <w:pPr>
              <w:pStyle w:val="TableParagraph"/>
              <w:spacing w:before="18"/>
              <w:ind w:left="240"/>
              <w:rPr>
                <w:sz w:val="18"/>
              </w:rPr>
            </w:pPr>
            <w:r>
              <w:rPr>
                <w:color w:val="231F20"/>
                <w:sz w:val="18"/>
              </w:rPr>
              <w:t>Salaries, wages, and benefits</w:t>
            </w:r>
          </w:p>
        </w:tc>
        <w:tc>
          <w:tcPr>
            <w:tcW w:w="1400" w:type="dxa"/>
            <w:gridSpan w:val="2"/>
          </w:tcPr>
          <w:p>
            <w:pPr>
              <w:pStyle w:val="TableParagraph"/>
              <w:spacing w:before="18"/>
              <w:ind w:left="834"/>
              <w:rPr>
                <w:sz w:val="18"/>
              </w:rPr>
            </w:pPr>
            <w:r>
              <w:rPr>
                <w:color w:val="231F20"/>
                <w:sz w:val="18"/>
              </w:rPr>
              <w:t>6,798</w:t>
            </w:r>
          </w:p>
        </w:tc>
        <w:tc>
          <w:tcPr>
            <w:tcW w:w="100" w:type="dxa"/>
          </w:tcPr>
          <w:p>
            <w:pPr/>
          </w:p>
        </w:tc>
        <w:tc>
          <w:tcPr>
            <w:tcW w:w="1400" w:type="dxa"/>
            <w:gridSpan w:val="2"/>
          </w:tcPr>
          <w:p>
            <w:pPr>
              <w:pStyle w:val="TableParagraph"/>
              <w:spacing w:before="18"/>
              <w:ind w:left="834"/>
              <w:rPr>
                <w:sz w:val="18"/>
              </w:rPr>
            </w:pPr>
            <w:r>
              <w:rPr>
                <w:color w:val="231F20"/>
                <w:sz w:val="18"/>
              </w:rPr>
              <w:t>6,383</w:t>
            </w:r>
          </w:p>
        </w:tc>
        <w:tc>
          <w:tcPr>
            <w:tcW w:w="100" w:type="dxa"/>
          </w:tcPr>
          <w:p>
            <w:pPr/>
          </w:p>
        </w:tc>
        <w:tc>
          <w:tcPr>
            <w:tcW w:w="1300" w:type="dxa"/>
          </w:tcPr>
          <w:p>
            <w:pPr>
              <w:pStyle w:val="TableParagraph"/>
              <w:spacing w:before="18"/>
              <w:ind w:right="58"/>
              <w:jc w:val="right"/>
              <w:rPr>
                <w:sz w:val="18"/>
              </w:rPr>
            </w:pPr>
            <w:r>
              <w:rPr>
                <w:color w:val="231F20"/>
                <w:sz w:val="18"/>
              </w:rPr>
              <w:t>5,434</w:t>
            </w:r>
          </w:p>
        </w:tc>
      </w:tr>
      <w:tr>
        <w:trPr>
          <w:trHeight w:val="280" w:hRule="exact"/>
        </w:trPr>
        <w:tc>
          <w:tcPr>
            <w:tcW w:w="4820" w:type="dxa"/>
            <w:shd w:val="clear" w:color="auto" w:fill="D1D3D4"/>
          </w:tcPr>
          <w:p>
            <w:pPr>
              <w:pStyle w:val="TableParagraph"/>
              <w:spacing w:before="22"/>
              <w:ind w:left="240"/>
              <w:rPr>
                <w:sz w:val="18"/>
              </w:rPr>
            </w:pPr>
            <w:r>
              <w:rPr>
                <w:color w:val="231F20"/>
                <w:sz w:val="18"/>
              </w:rPr>
              <w:t>Fuel and oil</w:t>
            </w:r>
          </w:p>
        </w:tc>
        <w:tc>
          <w:tcPr>
            <w:tcW w:w="1400" w:type="dxa"/>
            <w:gridSpan w:val="2"/>
            <w:shd w:val="clear" w:color="auto" w:fill="D1D3D4"/>
          </w:tcPr>
          <w:p>
            <w:pPr>
              <w:pStyle w:val="TableParagraph"/>
              <w:spacing w:before="22"/>
              <w:ind w:left="835"/>
              <w:rPr>
                <w:sz w:val="18"/>
              </w:rPr>
            </w:pPr>
            <w:r>
              <w:rPr>
                <w:color w:val="231F20"/>
                <w:sz w:val="18"/>
              </w:rPr>
              <w:t>3,647</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3,616</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5,293</w:t>
            </w:r>
          </w:p>
        </w:tc>
      </w:tr>
      <w:tr>
        <w:trPr>
          <w:trHeight w:val="280" w:hRule="exact"/>
        </w:trPr>
        <w:tc>
          <w:tcPr>
            <w:tcW w:w="4820" w:type="dxa"/>
          </w:tcPr>
          <w:p>
            <w:pPr>
              <w:pStyle w:val="TableParagraph"/>
              <w:spacing w:before="22"/>
              <w:ind w:left="240"/>
              <w:rPr>
                <w:sz w:val="18"/>
              </w:rPr>
            </w:pPr>
            <w:r>
              <w:rPr>
                <w:color w:val="231F20"/>
                <w:sz w:val="18"/>
              </w:rPr>
              <w:t>Maintenance materials and repairs</w:t>
            </w:r>
          </w:p>
        </w:tc>
        <w:tc>
          <w:tcPr>
            <w:tcW w:w="1400" w:type="dxa"/>
            <w:gridSpan w:val="2"/>
          </w:tcPr>
          <w:p>
            <w:pPr>
              <w:pStyle w:val="TableParagraph"/>
              <w:spacing w:before="22"/>
              <w:ind w:left="834"/>
              <w:rPr>
                <w:sz w:val="18"/>
              </w:rPr>
            </w:pPr>
            <w:r>
              <w:rPr>
                <w:color w:val="231F20"/>
                <w:sz w:val="18"/>
              </w:rPr>
              <w:t>1,045</w:t>
            </w:r>
          </w:p>
        </w:tc>
        <w:tc>
          <w:tcPr>
            <w:tcW w:w="100" w:type="dxa"/>
          </w:tcPr>
          <w:p>
            <w:pPr/>
          </w:p>
        </w:tc>
        <w:tc>
          <w:tcPr>
            <w:tcW w:w="1400" w:type="dxa"/>
            <w:gridSpan w:val="2"/>
          </w:tcPr>
          <w:p>
            <w:pPr>
              <w:pStyle w:val="TableParagraph"/>
              <w:spacing w:before="22"/>
              <w:ind w:left="834"/>
              <w:rPr>
                <w:sz w:val="18"/>
              </w:rPr>
            </w:pPr>
            <w:r>
              <w:rPr>
                <w:color w:val="231F20"/>
                <w:sz w:val="18"/>
              </w:rPr>
              <w:t>1,005</w:t>
            </w:r>
          </w:p>
        </w:tc>
        <w:tc>
          <w:tcPr>
            <w:tcW w:w="100" w:type="dxa"/>
          </w:tcPr>
          <w:p>
            <w:pPr/>
          </w:p>
        </w:tc>
        <w:tc>
          <w:tcPr>
            <w:tcW w:w="1300" w:type="dxa"/>
          </w:tcPr>
          <w:p>
            <w:pPr>
              <w:pStyle w:val="TableParagraph"/>
              <w:spacing w:before="22"/>
              <w:ind w:right="58"/>
              <w:jc w:val="right"/>
              <w:rPr>
                <w:sz w:val="18"/>
              </w:rPr>
            </w:pPr>
            <w:r>
              <w:rPr>
                <w:color w:val="231F20"/>
                <w:sz w:val="18"/>
              </w:rPr>
              <w:t>978</w:t>
            </w:r>
          </w:p>
        </w:tc>
      </w:tr>
      <w:tr>
        <w:trPr>
          <w:trHeight w:val="280" w:hRule="exact"/>
        </w:trPr>
        <w:tc>
          <w:tcPr>
            <w:tcW w:w="4820" w:type="dxa"/>
            <w:shd w:val="clear" w:color="auto" w:fill="D1D3D4"/>
          </w:tcPr>
          <w:p>
            <w:pPr>
              <w:pStyle w:val="TableParagraph"/>
              <w:spacing w:before="22"/>
              <w:ind w:left="240"/>
              <w:rPr>
                <w:sz w:val="18"/>
              </w:rPr>
            </w:pPr>
            <w:r>
              <w:rPr>
                <w:color w:val="231F20"/>
                <w:sz w:val="18"/>
              </w:rPr>
              <w:t>Aircraft rentals</w:t>
            </w:r>
          </w:p>
        </w:tc>
        <w:tc>
          <w:tcPr>
            <w:tcW w:w="1400" w:type="dxa"/>
            <w:gridSpan w:val="2"/>
            <w:shd w:val="clear" w:color="auto" w:fill="D1D3D4"/>
          </w:tcPr>
          <w:p>
            <w:pPr>
              <w:pStyle w:val="TableParagraph"/>
              <w:spacing w:before="22"/>
              <w:ind w:right="157"/>
              <w:jc w:val="right"/>
              <w:rPr>
                <w:sz w:val="18"/>
              </w:rPr>
            </w:pPr>
            <w:r>
              <w:rPr>
                <w:color w:val="231F20"/>
                <w:sz w:val="18"/>
              </w:rPr>
              <w:t>229</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238</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295</w:t>
            </w:r>
          </w:p>
        </w:tc>
      </w:tr>
      <w:tr>
        <w:trPr>
          <w:trHeight w:val="280" w:hRule="exact"/>
        </w:trPr>
        <w:tc>
          <w:tcPr>
            <w:tcW w:w="4820" w:type="dxa"/>
          </w:tcPr>
          <w:p>
            <w:pPr>
              <w:pStyle w:val="TableParagraph"/>
              <w:spacing w:before="22"/>
              <w:ind w:left="240"/>
              <w:rPr>
                <w:sz w:val="18"/>
              </w:rPr>
            </w:pPr>
            <w:r>
              <w:rPr>
                <w:color w:val="231F20"/>
                <w:sz w:val="18"/>
              </w:rPr>
              <w:t>Landing fees and other rentals</w:t>
            </w:r>
          </w:p>
        </w:tc>
        <w:tc>
          <w:tcPr>
            <w:tcW w:w="1400" w:type="dxa"/>
            <w:gridSpan w:val="2"/>
          </w:tcPr>
          <w:p>
            <w:pPr>
              <w:pStyle w:val="TableParagraph"/>
              <w:spacing w:before="22"/>
              <w:ind w:left="834"/>
              <w:rPr>
                <w:sz w:val="18"/>
              </w:rPr>
            </w:pPr>
            <w:r>
              <w:rPr>
                <w:color w:val="231F20"/>
                <w:sz w:val="18"/>
              </w:rPr>
              <w:t>1,211</w:t>
            </w:r>
          </w:p>
        </w:tc>
        <w:tc>
          <w:tcPr>
            <w:tcW w:w="100" w:type="dxa"/>
          </w:tcPr>
          <w:p>
            <w:pPr/>
          </w:p>
        </w:tc>
        <w:tc>
          <w:tcPr>
            <w:tcW w:w="1400" w:type="dxa"/>
            <w:gridSpan w:val="2"/>
          </w:tcPr>
          <w:p>
            <w:pPr>
              <w:pStyle w:val="TableParagraph"/>
              <w:spacing w:before="22"/>
              <w:ind w:left="834"/>
              <w:rPr>
                <w:sz w:val="18"/>
              </w:rPr>
            </w:pPr>
            <w:r>
              <w:rPr>
                <w:color w:val="231F20"/>
                <w:sz w:val="18"/>
              </w:rPr>
              <w:t>1,166</w:t>
            </w:r>
          </w:p>
        </w:tc>
        <w:tc>
          <w:tcPr>
            <w:tcW w:w="100" w:type="dxa"/>
          </w:tcPr>
          <w:p>
            <w:pPr/>
          </w:p>
        </w:tc>
        <w:tc>
          <w:tcPr>
            <w:tcW w:w="1300" w:type="dxa"/>
          </w:tcPr>
          <w:p>
            <w:pPr>
              <w:pStyle w:val="TableParagraph"/>
              <w:spacing w:before="22"/>
              <w:ind w:right="58"/>
              <w:jc w:val="right"/>
              <w:rPr>
                <w:sz w:val="18"/>
              </w:rPr>
            </w:pPr>
            <w:r>
              <w:rPr>
                <w:color w:val="231F20"/>
                <w:sz w:val="18"/>
              </w:rPr>
              <w:t>1,111</w:t>
            </w:r>
          </w:p>
        </w:tc>
      </w:tr>
      <w:tr>
        <w:trPr>
          <w:trHeight w:val="280" w:hRule="exact"/>
        </w:trPr>
        <w:tc>
          <w:tcPr>
            <w:tcW w:w="4820" w:type="dxa"/>
            <w:shd w:val="clear" w:color="auto" w:fill="D1D3D4"/>
          </w:tcPr>
          <w:p>
            <w:pPr>
              <w:pStyle w:val="TableParagraph"/>
              <w:spacing w:before="22"/>
              <w:ind w:left="240"/>
              <w:rPr>
                <w:sz w:val="18"/>
              </w:rPr>
            </w:pPr>
            <w:r>
              <w:rPr>
                <w:color w:val="231F20"/>
                <w:sz w:val="18"/>
              </w:rPr>
              <w:t>Depreciation and amortization</w:t>
            </w:r>
          </w:p>
        </w:tc>
        <w:tc>
          <w:tcPr>
            <w:tcW w:w="1400" w:type="dxa"/>
            <w:gridSpan w:val="2"/>
            <w:shd w:val="clear" w:color="auto" w:fill="D1D3D4"/>
          </w:tcPr>
          <w:p>
            <w:pPr>
              <w:pStyle w:val="TableParagraph"/>
              <w:spacing w:before="22"/>
              <w:ind w:left="834"/>
              <w:rPr>
                <w:sz w:val="18"/>
              </w:rPr>
            </w:pPr>
            <w:r>
              <w:rPr>
                <w:color w:val="231F20"/>
                <w:sz w:val="18"/>
              </w:rPr>
              <w:t>1,221</w:t>
            </w:r>
          </w:p>
        </w:tc>
        <w:tc>
          <w:tcPr>
            <w:tcW w:w="100" w:type="dxa"/>
            <w:shd w:val="clear" w:color="auto" w:fill="D1D3D4"/>
          </w:tcPr>
          <w:p>
            <w:pPr/>
          </w:p>
        </w:tc>
        <w:tc>
          <w:tcPr>
            <w:tcW w:w="1400" w:type="dxa"/>
            <w:gridSpan w:val="2"/>
            <w:shd w:val="clear" w:color="auto" w:fill="D1D3D4"/>
          </w:tcPr>
          <w:p>
            <w:pPr>
              <w:pStyle w:val="TableParagraph"/>
              <w:spacing w:before="22"/>
              <w:ind w:left="834"/>
              <w:rPr>
                <w:sz w:val="18"/>
              </w:rPr>
            </w:pPr>
            <w:r>
              <w:rPr>
                <w:color w:val="231F20"/>
                <w:sz w:val="18"/>
              </w:rPr>
              <w:t>1,015</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938</w:t>
            </w:r>
          </w:p>
        </w:tc>
      </w:tr>
      <w:tr>
        <w:trPr>
          <w:trHeight w:val="280" w:hRule="exact"/>
        </w:trPr>
        <w:tc>
          <w:tcPr>
            <w:tcW w:w="4820" w:type="dxa"/>
          </w:tcPr>
          <w:p>
            <w:pPr>
              <w:pStyle w:val="TableParagraph"/>
              <w:spacing w:before="22"/>
              <w:ind w:left="240"/>
              <w:rPr>
                <w:sz w:val="18"/>
              </w:rPr>
            </w:pPr>
            <w:r>
              <w:rPr>
                <w:color w:val="231F20"/>
                <w:sz w:val="18"/>
              </w:rPr>
              <w:t>Acquisition and integration</w:t>
            </w:r>
          </w:p>
        </w:tc>
        <w:tc>
          <w:tcPr>
            <w:tcW w:w="1400" w:type="dxa"/>
            <w:gridSpan w:val="2"/>
          </w:tcPr>
          <w:p>
            <w:pPr>
              <w:pStyle w:val="TableParagraph"/>
              <w:spacing w:before="22"/>
              <w:ind w:right="157"/>
              <w:jc w:val="right"/>
              <w:rPr>
                <w:sz w:val="18"/>
              </w:rPr>
            </w:pPr>
            <w:r>
              <w:rPr>
                <w:color w:val="231F20"/>
                <w:sz w:val="18"/>
              </w:rPr>
              <w:t>—</w:t>
            </w:r>
          </w:p>
        </w:tc>
        <w:tc>
          <w:tcPr>
            <w:tcW w:w="100" w:type="dxa"/>
          </w:tcPr>
          <w:p>
            <w:pPr/>
          </w:p>
        </w:tc>
        <w:tc>
          <w:tcPr>
            <w:tcW w:w="1400" w:type="dxa"/>
            <w:gridSpan w:val="2"/>
          </w:tcPr>
          <w:p>
            <w:pPr>
              <w:pStyle w:val="TableParagraph"/>
              <w:spacing w:before="22"/>
              <w:ind w:right="157"/>
              <w:jc w:val="right"/>
              <w:rPr>
                <w:sz w:val="18"/>
              </w:rPr>
            </w:pPr>
            <w:r>
              <w:rPr>
                <w:color w:val="231F20"/>
                <w:sz w:val="18"/>
              </w:rPr>
              <w:t>39</w:t>
            </w:r>
          </w:p>
        </w:tc>
        <w:tc>
          <w:tcPr>
            <w:tcW w:w="100" w:type="dxa"/>
          </w:tcPr>
          <w:p>
            <w:pPr/>
          </w:p>
        </w:tc>
        <w:tc>
          <w:tcPr>
            <w:tcW w:w="1300" w:type="dxa"/>
          </w:tcPr>
          <w:p>
            <w:pPr>
              <w:pStyle w:val="TableParagraph"/>
              <w:spacing w:before="22"/>
              <w:ind w:right="58"/>
              <w:jc w:val="right"/>
              <w:rPr>
                <w:sz w:val="18"/>
              </w:rPr>
            </w:pPr>
            <w:r>
              <w:rPr>
                <w:color w:val="231F20"/>
                <w:sz w:val="18"/>
              </w:rPr>
              <w:t>126</w:t>
            </w:r>
          </w:p>
        </w:tc>
      </w:tr>
      <w:tr>
        <w:trPr>
          <w:trHeight w:val="295" w:hRule="exact"/>
        </w:trPr>
        <w:tc>
          <w:tcPr>
            <w:tcW w:w="4820" w:type="dxa"/>
            <w:shd w:val="clear" w:color="auto" w:fill="D1D3D4"/>
          </w:tcPr>
          <w:p>
            <w:pPr>
              <w:pStyle w:val="TableParagraph"/>
              <w:spacing w:before="22"/>
              <w:ind w:left="240"/>
              <w:rPr>
                <w:sz w:val="18"/>
              </w:rPr>
            </w:pPr>
            <w:r>
              <w:rPr>
                <w:color w:val="231F20"/>
                <w:sz w:val="18"/>
              </w:rPr>
              <w:t>Other operating expenses</w:t>
            </w: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2,514</w:t>
            </w:r>
          </w:p>
        </w:tc>
        <w:tc>
          <w:tcPr>
            <w:tcW w:w="100" w:type="dxa"/>
            <w:shd w:val="clear" w:color="auto" w:fill="D1D3D4"/>
          </w:tcPr>
          <w:p>
            <w:pPr/>
          </w:p>
        </w:tc>
        <w:tc>
          <w:tcPr>
            <w:tcW w:w="1400" w:type="dxa"/>
            <w:gridSpan w:val="2"/>
            <w:tcBorders>
              <w:bottom w:val="single" w:sz="4" w:space="0" w:color="231F20"/>
            </w:tcBorders>
            <w:shd w:val="clear" w:color="auto" w:fill="D1D3D4"/>
          </w:tcPr>
          <w:p>
            <w:pPr>
              <w:pStyle w:val="TableParagraph"/>
              <w:spacing w:before="22"/>
              <w:ind w:left="834"/>
              <w:rPr>
                <w:sz w:val="18"/>
              </w:rPr>
            </w:pPr>
            <w:r>
              <w:rPr>
                <w:color w:val="231F20"/>
                <w:sz w:val="18"/>
              </w:rPr>
              <w:t>2,242</w:t>
            </w:r>
          </w:p>
        </w:tc>
        <w:tc>
          <w:tcPr>
            <w:tcW w:w="100" w:type="dxa"/>
            <w:shd w:val="clear" w:color="auto" w:fill="D1D3D4"/>
          </w:tcPr>
          <w:p>
            <w:pPr/>
          </w:p>
        </w:tc>
        <w:tc>
          <w:tcPr>
            <w:tcW w:w="1300" w:type="dxa"/>
            <w:tcBorders>
              <w:bottom w:val="single" w:sz="4" w:space="0" w:color="231F20"/>
            </w:tcBorders>
            <w:shd w:val="clear" w:color="auto" w:fill="D1D3D4"/>
          </w:tcPr>
          <w:p>
            <w:pPr>
              <w:pStyle w:val="TableParagraph"/>
              <w:spacing w:before="22"/>
              <w:ind w:right="58"/>
              <w:jc w:val="right"/>
              <w:rPr>
                <w:sz w:val="18"/>
              </w:rPr>
            </w:pPr>
            <w:r>
              <w:rPr>
                <w:color w:val="231F20"/>
                <w:sz w:val="18"/>
              </w:rPr>
              <w:t>2,205</w:t>
            </w:r>
          </w:p>
        </w:tc>
      </w:tr>
      <w:tr>
        <w:trPr>
          <w:trHeight w:val="285" w:hRule="exact"/>
        </w:trPr>
        <w:tc>
          <w:tcPr>
            <w:tcW w:w="4820" w:type="dxa"/>
          </w:tcPr>
          <w:p>
            <w:pPr>
              <w:pStyle w:val="TableParagraph"/>
              <w:spacing w:before="42"/>
              <w:ind w:left="420"/>
              <w:rPr>
                <w:sz w:val="18"/>
              </w:rPr>
            </w:pPr>
            <w:r>
              <w:rPr>
                <w:color w:val="231F20"/>
                <w:sz w:val="18"/>
              </w:rPr>
              <w:t>Total operating expenses</w:t>
            </w:r>
          </w:p>
        </w:tc>
        <w:tc>
          <w:tcPr>
            <w:tcW w:w="1400" w:type="dxa"/>
            <w:gridSpan w:val="2"/>
            <w:tcBorders>
              <w:top w:val="single" w:sz="4" w:space="0" w:color="231F20"/>
            </w:tcBorders>
          </w:tcPr>
          <w:p>
            <w:pPr>
              <w:pStyle w:val="TableParagraph"/>
              <w:spacing w:before="22"/>
              <w:ind w:left="744"/>
              <w:rPr>
                <w:sz w:val="18"/>
              </w:rPr>
            </w:pPr>
            <w:r>
              <w:rPr>
                <w:color w:val="231F20"/>
                <w:sz w:val="18"/>
              </w:rPr>
              <w:t>16,665</w:t>
            </w:r>
          </w:p>
        </w:tc>
        <w:tc>
          <w:tcPr>
            <w:tcW w:w="100" w:type="dxa"/>
          </w:tcPr>
          <w:p>
            <w:pPr/>
          </w:p>
        </w:tc>
        <w:tc>
          <w:tcPr>
            <w:tcW w:w="1400" w:type="dxa"/>
            <w:gridSpan w:val="2"/>
            <w:tcBorders>
              <w:top w:val="single" w:sz="4" w:space="0" w:color="231F20"/>
            </w:tcBorders>
          </w:tcPr>
          <w:p>
            <w:pPr>
              <w:pStyle w:val="TableParagraph"/>
              <w:spacing w:before="22"/>
              <w:ind w:left="744"/>
              <w:rPr>
                <w:sz w:val="18"/>
              </w:rPr>
            </w:pPr>
            <w:r>
              <w:rPr>
                <w:color w:val="231F20"/>
                <w:sz w:val="18"/>
              </w:rPr>
              <w:t>15,704</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16,380</w:t>
            </w:r>
          </w:p>
        </w:tc>
      </w:tr>
      <w:tr>
        <w:trPr>
          <w:trHeight w:val="275" w:hRule="exact"/>
        </w:trPr>
        <w:tc>
          <w:tcPr>
            <w:tcW w:w="482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400" w:type="dxa"/>
            <w:gridSpan w:val="2"/>
            <w:tcBorders>
              <w:bottom w:val="single" w:sz="4" w:space="0" w:color="231F20"/>
            </w:tcBorders>
            <w:shd w:val="clear" w:color="auto" w:fill="D1D3D4"/>
          </w:tcPr>
          <w:p>
            <w:pPr/>
          </w:p>
        </w:tc>
        <w:tc>
          <w:tcPr>
            <w:tcW w:w="100" w:type="dxa"/>
            <w:shd w:val="clear" w:color="auto" w:fill="D1D3D4"/>
          </w:tcPr>
          <w:p>
            <w:pPr/>
          </w:p>
        </w:tc>
        <w:tc>
          <w:tcPr>
            <w:tcW w:w="1300" w:type="dxa"/>
            <w:tcBorders>
              <w:bottom w:val="single" w:sz="4" w:space="0" w:color="231F20"/>
            </w:tcBorders>
            <w:shd w:val="clear" w:color="auto" w:fill="D1D3D4"/>
          </w:tcPr>
          <w:p>
            <w:pPr/>
          </w:p>
        </w:tc>
      </w:tr>
      <w:tr>
        <w:trPr>
          <w:trHeight w:val="285" w:hRule="exact"/>
        </w:trPr>
        <w:tc>
          <w:tcPr>
            <w:tcW w:w="4820" w:type="dxa"/>
          </w:tcPr>
          <w:p>
            <w:pPr>
              <w:pStyle w:val="TableParagraph"/>
              <w:spacing w:before="42"/>
              <w:ind w:left="60"/>
              <w:rPr>
                <w:b/>
                <w:sz w:val="18"/>
              </w:rPr>
            </w:pPr>
            <w:r>
              <w:rPr>
                <w:b/>
                <w:color w:val="231F20"/>
                <w:sz w:val="18"/>
              </w:rPr>
              <w:t>OPERATING INCOME</w:t>
            </w:r>
          </w:p>
        </w:tc>
        <w:tc>
          <w:tcPr>
            <w:tcW w:w="1400" w:type="dxa"/>
            <w:gridSpan w:val="2"/>
            <w:tcBorders>
              <w:top w:val="single" w:sz="4" w:space="0" w:color="231F20"/>
            </w:tcBorders>
          </w:tcPr>
          <w:p>
            <w:pPr>
              <w:pStyle w:val="TableParagraph"/>
              <w:spacing w:before="22"/>
              <w:ind w:left="835"/>
              <w:rPr>
                <w:sz w:val="18"/>
              </w:rPr>
            </w:pPr>
            <w:r>
              <w:rPr>
                <w:color w:val="231F20"/>
                <w:sz w:val="18"/>
              </w:rPr>
              <w:t>3,760</w:t>
            </w:r>
          </w:p>
        </w:tc>
        <w:tc>
          <w:tcPr>
            <w:tcW w:w="100" w:type="dxa"/>
          </w:tcPr>
          <w:p>
            <w:pPr/>
          </w:p>
        </w:tc>
        <w:tc>
          <w:tcPr>
            <w:tcW w:w="1400" w:type="dxa"/>
            <w:gridSpan w:val="2"/>
            <w:tcBorders>
              <w:top w:val="single" w:sz="4" w:space="0" w:color="231F20"/>
            </w:tcBorders>
          </w:tcPr>
          <w:p>
            <w:pPr>
              <w:pStyle w:val="TableParagraph"/>
              <w:spacing w:before="22"/>
              <w:ind w:left="835"/>
              <w:rPr>
                <w:sz w:val="18"/>
              </w:rPr>
            </w:pPr>
            <w:r>
              <w:rPr>
                <w:color w:val="231F20"/>
                <w:sz w:val="18"/>
              </w:rPr>
              <w:t>4,116</w:t>
            </w:r>
          </w:p>
        </w:tc>
        <w:tc>
          <w:tcPr>
            <w:tcW w:w="100" w:type="dxa"/>
          </w:tcPr>
          <w:p>
            <w:pPr/>
          </w:p>
        </w:tc>
        <w:tc>
          <w:tcPr>
            <w:tcW w:w="1300" w:type="dxa"/>
            <w:tcBorders>
              <w:top w:val="single" w:sz="4" w:space="0" w:color="231F20"/>
            </w:tcBorders>
          </w:tcPr>
          <w:p>
            <w:pPr>
              <w:pStyle w:val="TableParagraph"/>
              <w:spacing w:before="22"/>
              <w:ind w:right="58"/>
              <w:jc w:val="right"/>
              <w:rPr>
                <w:sz w:val="18"/>
              </w:rPr>
            </w:pPr>
            <w:r>
              <w:rPr>
                <w:color w:val="231F20"/>
                <w:sz w:val="18"/>
              </w:rPr>
              <w:t>2,225</w:t>
            </w:r>
          </w:p>
        </w:tc>
      </w:tr>
      <w:tr>
        <w:trPr>
          <w:trHeight w:val="280" w:hRule="exact"/>
        </w:trPr>
        <w:tc>
          <w:tcPr>
            <w:tcW w:w="482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400" w:type="dxa"/>
            <w:gridSpan w:val="2"/>
            <w:shd w:val="clear" w:color="auto" w:fill="D1D3D4"/>
          </w:tcPr>
          <w:p>
            <w:pPr/>
          </w:p>
        </w:tc>
        <w:tc>
          <w:tcPr>
            <w:tcW w:w="100" w:type="dxa"/>
            <w:shd w:val="clear" w:color="auto" w:fill="D1D3D4"/>
          </w:tcPr>
          <w:p>
            <w:pPr/>
          </w:p>
        </w:tc>
        <w:tc>
          <w:tcPr>
            <w:tcW w:w="1300" w:type="dxa"/>
            <w:shd w:val="clear" w:color="auto" w:fill="D1D3D4"/>
          </w:tcPr>
          <w:p>
            <w:pPr/>
          </w:p>
        </w:tc>
      </w:tr>
      <w:tr>
        <w:trPr>
          <w:trHeight w:val="280" w:hRule="exact"/>
        </w:trPr>
        <w:tc>
          <w:tcPr>
            <w:tcW w:w="4820" w:type="dxa"/>
          </w:tcPr>
          <w:p>
            <w:pPr>
              <w:pStyle w:val="TableParagraph"/>
              <w:spacing w:before="22"/>
              <w:ind w:left="60"/>
              <w:rPr>
                <w:b/>
                <w:sz w:val="18"/>
              </w:rPr>
            </w:pPr>
            <w:r>
              <w:rPr>
                <w:b/>
                <w:color w:val="231F20"/>
                <w:sz w:val="18"/>
              </w:rPr>
              <w:t>OTHER EXPENSES (INCOME):</w:t>
            </w:r>
          </w:p>
        </w:tc>
        <w:tc>
          <w:tcPr>
            <w:tcW w:w="1400" w:type="dxa"/>
            <w:gridSpan w:val="2"/>
          </w:tcPr>
          <w:p>
            <w:pPr/>
          </w:p>
        </w:tc>
        <w:tc>
          <w:tcPr>
            <w:tcW w:w="100" w:type="dxa"/>
          </w:tcPr>
          <w:p>
            <w:pPr/>
          </w:p>
        </w:tc>
        <w:tc>
          <w:tcPr>
            <w:tcW w:w="1400" w:type="dxa"/>
            <w:gridSpan w:val="2"/>
          </w:tcPr>
          <w:p>
            <w:pPr/>
          </w:p>
        </w:tc>
        <w:tc>
          <w:tcPr>
            <w:tcW w:w="100" w:type="dxa"/>
          </w:tcPr>
          <w:p>
            <w:pPr/>
          </w:p>
        </w:tc>
        <w:tc>
          <w:tcPr>
            <w:tcW w:w="1300" w:type="dxa"/>
          </w:tcPr>
          <w:p>
            <w:pP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expense</w:t>
            </w:r>
          </w:p>
        </w:tc>
        <w:tc>
          <w:tcPr>
            <w:tcW w:w="1400" w:type="dxa"/>
            <w:gridSpan w:val="2"/>
            <w:shd w:val="clear" w:color="auto" w:fill="D1D3D4"/>
          </w:tcPr>
          <w:p>
            <w:pPr>
              <w:pStyle w:val="TableParagraph"/>
              <w:spacing w:before="22"/>
              <w:ind w:right="157"/>
              <w:jc w:val="right"/>
              <w:rPr>
                <w:sz w:val="18"/>
              </w:rPr>
            </w:pPr>
            <w:r>
              <w:rPr>
                <w:color w:val="231F20"/>
                <w:sz w:val="18"/>
              </w:rPr>
              <w:t>122</w:t>
            </w:r>
          </w:p>
        </w:tc>
        <w:tc>
          <w:tcPr>
            <w:tcW w:w="100" w:type="dxa"/>
            <w:shd w:val="clear" w:color="auto" w:fill="D1D3D4"/>
          </w:tcPr>
          <w:p>
            <w:pPr/>
          </w:p>
        </w:tc>
        <w:tc>
          <w:tcPr>
            <w:tcW w:w="1400" w:type="dxa"/>
            <w:gridSpan w:val="2"/>
            <w:shd w:val="clear" w:color="auto" w:fill="D1D3D4"/>
          </w:tcPr>
          <w:p>
            <w:pPr>
              <w:pStyle w:val="TableParagraph"/>
              <w:spacing w:before="22"/>
              <w:ind w:right="157"/>
              <w:jc w:val="right"/>
              <w:rPr>
                <w:sz w:val="18"/>
              </w:rPr>
            </w:pPr>
            <w:r>
              <w:rPr>
                <w:color w:val="231F20"/>
                <w:sz w:val="18"/>
              </w:rPr>
              <w:t>121</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130</w:t>
            </w:r>
          </w:p>
        </w:tc>
      </w:tr>
      <w:tr>
        <w:trPr>
          <w:trHeight w:val="280" w:hRule="exact"/>
        </w:trPr>
        <w:tc>
          <w:tcPr>
            <w:tcW w:w="4820" w:type="dxa"/>
          </w:tcPr>
          <w:p>
            <w:pPr>
              <w:pStyle w:val="TableParagraph"/>
              <w:spacing w:before="22"/>
              <w:ind w:left="240"/>
              <w:rPr>
                <w:sz w:val="18"/>
              </w:rPr>
            </w:pPr>
            <w:r>
              <w:rPr>
                <w:color w:val="231F20"/>
                <w:sz w:val="18"/>
              </w:rPr>
              <w:t>Capitalized interest</w:t>
            </w:r>
          </w:p>
        </w:tc>
        <w:tc>
          <w:tcPr>
            <w:tcW w:w="1400" w:type="dxa"/>
            <w:gridSpan w:val="2"/>
          </w:tcPr>
          <w:p>
            <w:pPr>
              <w:pStyle w:val="TableParagraph"/>
              <w:spacing w:before="22"/>
              <w:ind w:right="98"/>
              <w:jc w:val="right"/>
              <w:rPr>
                <w:sz w:val="18"/>
              </w:rPr>
            </w:pPr>
            <w:r>
              <w:rPr>
                <w:color w:val="231F20"/>
                <w:sz w:val="18"/>
              </w:rPr>
              <w:t>(47)</w:t>
            </w:r>
          </w:p>
        </w:tc>
        <w:tc>
          <w:tcPr>
            <w:tcW w:w="100" w:type="dxa"/>
          </w:tcPr>
          <w:p>
            <w:pPr/>
          </w:p>
        </w:tc>
        <w:tc>
          <w:tcPr>
            <w:tcW w:w="1400" w:type="dxa"/>
            <w:gridSpan w:val="2"/>
          </w:tcPr>
          <w:p>
            <w:pPr>
              <w:pStyle w:val="TableParagraph"/>
              <w:spacing w:before="22"/>
              <w:ind w:right="98"/>
              <w:jc w:val="right"/>
              <w:rPr>
                <w:sz w:val="18"/>
              </w:rPr>
            </w:pPr>
            <w:r>
              <w:rPr>
                <w:color w:val="231F20"/>
                <w:sz w:val="18"/>
              </w:rPr>
              <w:t>(31)</w:t>
            </w:r>
          </w:p>
        </w:tc>
        <w:tc>
          <w:tcPr>
            <w:tcW w:w="100" w:type="dxa"/>
          </w:tcPr>
          <w:p>
            <w:pPr/>
          </w:p>
        </w:tc>
        <w:tc>
          <w:tcPr>
            <w:tcW w:w="1300" w:type="dxa"/>
          </w:tcPr>
          <w:p>
            <w:pPr>
              <w:pStyle w:val="TableParagraph"/>
              <w:spacing w:before="22"/>
              <w:jc w:val="right"/>
              <w:rPr>
                <w:sz w:val="18"/>
              </w:rPr>
            </w:pPr>
            <w:r>
              <w:rPr>
                <w:color w:val="231F20"/>
                <w:sz w:val="18"/>
              </w:rPr>
              <w:t>(23)</w:t>
            </w:r>
          </w:p>
        </w:tc>
      </w:tr>
      <w:tr>
        <w:trPr>
          <w:trHeight w:val="280" w:hRule="exact"/>
        </w:trPr>
        <w:tc>
          <w:tcPr>
            <w:tcW w:w="4820" w:type="dxa"/>
            <w:shd w:val="clear" w:color="auto" w:fill="D1D3D4"/>
          </w:tcPr>
          <w:p>
            <w:pPr>
              <w:pStyle w:val="TableParagraph"/>
              <w:spacing w:before="22"/>
              <w:ind w:left="240"/>
              <w:rPr>
                <w:sz w:val="18"/>
              </w:rPr>
            </w:pPr>
            <w:r>
              <w:rPr>
                <w:color w:val="231F20"/>
                <w:sz w:val="18"/>
              </w:rPr>
              <w:t>Interest income</w:t>
            </w:r>
          </w:p>
        </w:tc>
        <w:tc>
          <w:tcPr>
            <w:tcW w:w="1400" w:type="dxa"/>
            <w:gridSpan w:val="2"/>
            <w:shd w:val="clear" w:color="auto" w:fill="D1D3D4"/>
          </w:tcPr>
          <w:p>
            <w:pPr>
              <w:pStyle w:val="TableParagraph"/>
              <w:spacing w:before="22"/>
              <w:ind w:right="98"/>
              <w:jc w:val="right"/>
              <w:rPr>
                <w:sz w:val="18"/>
              </w:rPr>
            </w:pPr>
            <w:r>
              <w:rPr>
                <w:color w:val="231F20"/>
                <w:sz w:val="18"/>
              </w:rPr>
              <w:t>(24)</w:t>
            </w:r>
          </w:p>
        </w:tc>
        <w:tc>
          <w:tcPr>
            <w:tcW w:w="100" w:type="dxa"/>
            <w:shd w:val="clear" w:color="auto" w:fill="D1D3D4"/>
          </w:tcPr>
          <w:p>
            <w:pPr/>
          </w:p>
        </w:tc>
        <w:tc>
          <w:tcPr>
            <w:tcW w:w="1400" w:type="dxa"/>
            <w:gridSpan w:val="2"/>
            <w:shd w:val="clear" w:color="auto" w:fill="D1D3D4"/>
          </w:tcPr>
          <w:p>
            <w:pPr>
              <w:pStyle w:val="TableParagraph"/>
              <w:spacing w:before="22"/>
              <w:ind w:right="98"/>
              <w:jc w:val="right"/>
              <w:rPr>
                <w:sz w:val="18"/>
              </w:rPr>
            </w:pPr>
            <w:r>
              <w:rPr>
                <w:color w:val="231F20"/>
                <w:sz w:val="18"/>
              </w:rPr>
              <w:t>(9)</w:t>
            </w:r>
          </w:p>
        </w:tc>
        <w:tc>
          <w:tcPr>
            <w:tcW w:w="100" w:type="dxa"/>
            <w:shd w:val="clear" w:color="auto" w:fill="D1D3D4"/>
          </w:tcPr>
          <w:p>
            <w:pPr/>
          </w:p>
        </w:tc>
        <w:tc>
          <w:tcPr>
            <w:tcW w:w="1300" w:type="dxa"/>
            <w:shd w:val="clear" w:color="auto" w:fill="D1D3D4"/>
          </w:tcPr>
          <w:p>
            <w:pPr>
              <w:pStyle w:val="TableParagraph"/>
              <w:spacing w:before="22"/>
              <w:jc w:val="right"/>
              <w:rPr>
                <w:sz w:val="18"/>
              </w:rPr>
            </w:pPr>
            <w:r>
              <w:rPr>
                <w:color w:val="231F20"/>
                <w:sz w:val="18"/>
              </w:rPr>
              <w:t>(7)</w:t>
            </w:r>
          </w:p>
        </w:tc>
      </w:tr>
      <w:tr>
        <w:trPr>
          <w:trHeight w:val="295" w:hRule="exact"/>
        </w:trPr>
        <w:tc>
          <w:tcPr>
            <w:tcW w:w="4820" w:type="dxa"/>
          </w:tcPr>
          <w:p>
            <w:pPr>
              <w:pStyle w:val="TableParagraph"/>
              <w:spacing w:before="22"/>
              <w:ind w:left="240"/>
              <w:rPr>
                <w:sz w:val="18"/>
              </w:rPr>
            </w:pPr>
            <w:r>
              <w:rPr>
                <w:color w:val="231F20"/>
                <w:sz w:val="18"/>
              </w:rPr>
              <w:t>Other (gains) losses, net</w:t>
            </w: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162</w:t>
            </w:r>
          </w:p>
        </w:tc>
        <w:tc>
          <w:tcPr>
            <w:tcW w:w="100" w:type="dxa"/>
          </w:tcPr>
          <w:p>
            <w:pPr/>
          </w:p>
        </w:tc>
        <w:tc>
          <w:tcPr>
            <w:tcW w:w="1400" w:type="dxa"/>
            <w:gridSpan w:val="2"/>
            <w:tcBorders>
              <w:bottom w:val="single" w:sz="4" w:space="0" w:color="231F20"/>
            </w:tcBorders>
          </w:tcPr>
          <w:p>
            <w:pPr>
              <w:pStyle w:val="TableParagraph"/>
              <w:spacing w:before="22"/>
              <w:ind w:right="157"/>
              <w:jc w:val="right"/>
              <w:rPr>
                <w:sz w:val="18"/>
              </w:rPr>
            </w:pPr>
            <w:r>
              <w:rPr>
                <w:color w:val="231F20"/>
                <w:sz w:val="18"/>
              </w:rPr>
              <w:t>556</w:t>
            </w:r>
          </w:p>
        </w:tc>
        <w:tc>
          <w:tcPr>
            <w:tcW w:w="100" w:type="dxa"/>
          </w:tcPr>
          <w:p>
            <w:pPr/>
          </w:p>
        </w:tc>
        <w:tc>
          <w:tcPr>
            <w:tcW w:w="1300" w:type="dxa"/>
            <w:tcBorders>
              <w:bottom w:val="single" w:sz="4" w:space="0" w:color="231F20"/>
            </w:tcBorders>
          </w:tcPr>
          <w:p>
            <w:pPr>
              <w:pStyle w:val="TableParagraph"/>
              <w:spacing w:before="22"/>
              <w:ind w:right="59"/>
              <w:jc w:val="right"/>
              <w:rPr>
                <w:sz w:val="18"/>
              </w:rPr>
            </w:pPr>
            <w:r>
              <w:rPr>
                <w:color w:val="231F20"/>
                <w:sz w:val="18"/>
              </w:rPr>
              <w:t>309</w:t>
            </w:r>
          </w:p>
        </w:tc>
      </w:tr>
      <w:tr>
        <w:trPr>
          <w:trHeight w:val="293" w:hRule="exact"/>
        </w:trPr>
        <w:tc>
          <w:tcPr>
            <w:tcW w:w="4820" w:type="dxa"/>
            <w:shd w:val="clear" w:color="auto" w:fill="D1D3D4"/>
          </w:tcPr>
          <w:p>
            <w:pPr>
              <w:pStyle w:val="TableParagraph"/>
              <w:spacing w:before="22"/>
              <w:ind w:left="420"/>
              <w:rPr>
                <w:sz w:val="18"/>
              </w:rPr>
            </w:pPr>
            <w:r>
              <w:rPr>
                <w:color w:val="231F20"/>
                <w:sz w:val="18"/>
              </w:rPr>
              <w:t>Total other expenses (income)</w:t>
            </w: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213</w:t>
            </w:r>
          </w:p>
        </w:tc>
        <w:tc>
          <w:tcPr>
            <w:tcW w:w="100" w:type="dxa"/>
            <w:shd w:val="clear" w:color="auto" w:fill="D1D3D4"/>
          </w:tcPr>
          <w:p>
            <w:pPr/>
          </w:p>
        </w:tc>
        <w:tc>
          <w:tcPr>
            <w:tcW w:w="1400" w:type="dxa"/>
            <w:gridSpan w:val="2"/>
            <w:tcBorders>
              <w:top w:val="single" w:sz="4" w:space="0" w:color="231F20"/>
            </w:tcBorders>
            <w:shd w:val="clear" w:color="auto" w:fill="D1D3D4"/>
          </w:tcPr>
          <w:p>
            <w:pPr>
              <w:pStyle w:val="TableParagraph"/>
              <w:spacing w:before="22"/>
              <w:ind w:right="157"/>
              <w:jc w:val="right"/>
              <w:rPr>
                <w:sz w:val="18"/>
              </w:rPr>
            </w:pPr>
            <w:r>
              <w:rPr>
                <w:color w:val="231F20"/>
                <w:sz w:val="18"/>
              </w:rPr>
              <w:t>637</w:t>
            </w:r>
          </w:p>
        </w:tc>
        <w:tc>
          <w:tcPr>
            <w:tcW w:w="100" w:type="dxa"/>
            <w:shd w:val="clear" w:color="auto" w:fill="D1D3D4"/>
          </w:tcPr>
          <w:p>
            <w:pPr/>
          </w:p>
        </w:tc>
        <w:tc>
          <w:tcPr>
            <w:tcW w:w="1300" w:type="dxa"/>
            <w:tcBorders>
              <w:top w:val="single" w:sz="4" w:space="0" w:color="231F20"/>
            </w:tcBorders>
            <w:shd w:val="clear" w:color="auto" w:fill="D1D3D4"/>
          </w:tcPr>
          <w:p>
            <w:pPr>
              <w:pStyle w:val="TableParagraph"/>
              <w:spacing w:before="22"/>
              <w:ind w:right="58"/>
              <w:jc w:val="right"/>
              <w:rPr>
                <w:sz w:val="18"/>
              </w:rPr>
            </w:pPr>
            <w:r>
              <w:rPr>
                <w:color w:val="231F20"/>
                <w:sz w:val="18"/>
              </w:rPr>
              <w:t>409</w:t>
            </w:r>
          </w:p>
        </w:tc>
      </w:tr>
      <w:tr>
        <w:trPr>
          <w:trHeight w:val="273" w:hRule="exact"/>
        </w:trPr>
        <w:tc>
          <w:tcPr>
            <w:tcW w:w="4820" w:type="dxa"/>
          </w:tcPr>
          <w:p>
            <w:pPr/>
          </w:p>
        </w:tc>
        <w:tc>
          <w:tcPr>
            <w:tcW w:w="1400" w:type="dxa"/>
            <w:gridSpan w:val="2"/>
          </w:tcPr>
          <w:p>
            <w:pPr>
              <w:pStyle w:val="TableParagraph"/>
              <w:spacing w:before="8"/>
              <w:rPr>
                <w:b/>
                <w:sz w:val="23"/>
              </w:rPr>
            </w:pPr>
          </w:p>
        </w:tc>
        <w:tc>
          <w:tcPr>
            <w:tcW w:w="100" w:type="dxa"/>
          </w:tcPr>
          <w:p>
            <w:pPr/>
          </w:p>
        </w:tc>
        <w:tc>
          <w:tcPr>
            <w:tcW w:w="1400" w:type="dxa"/>
            <w:gridSpan w:val="2"/>
          </w:tcPr>
          <w:p>
            <w:pPr>
              <w:pStyle w:val="TableParagraph"/>
              <w:spacing w:before="8"/>
              <w:rPr>
                <w:b/>
                <w:sz w:val="23"/>
              </w:rPr>
            </w:pPr>
          </w:p>
        </w:tc>
        <w:tc>
          <w:tcPr>
            <w:tcW w:w="100" w:type="dxa"/>
          </w:tcPr>
          <w:p>
            <w:pPr/>
          </w:p>
        </w:tc>
        <w:tc>
          <w:tcPr>
            <w:tcW w:w="1300" w:type="dxa"/>
          </w:tcPr>
          <w:p>
            <w:pPr>
              <w:pStyle w:val="TableParagraph"/>
              <w:spacing w:before="8"/>
              <w:rPr>
                <w:b/>
                <w:sz w:val="23"/>
              </w:rPr>
            </w:pPr>
          </w:p>
        </w:tc>
      </w:tr>
      <w:tr>
        <w:trPr>
          <w:trHeight w:val="280" w:hRule="exact"/>
        </w:trPr>
        <w:tc>
          <w:tcPr>
            <w:tcW w:w="4820" w:type="dxa"/>
            <w:shd w:val="clear" w:color="auto" w:fill="D1D3D4"/>
          </w:tcPr>
          <w:p>
            <w:pPr>
              <w:pStyle w:val="TableParagraph"/>
              <w:spacing w:before="22"/>
              <w:ind w:left="60"/>
              <w:rPr>
                <w:b/>
                <w:sz w:val="18"/>
              </w:rPr>
            </w:pPr>
            <w:r>
              <w:rPr>
                <w:b/>
                <w:color w:val="231F20"/>
                <w:sz w:val="18"/>
              </w:rPr>
              <w:t>INCOME BEFORE INCOME TAXES</w:t>
            </w:r>
          </w:p>
        </w:tc>
        <w:tc>
          <w:tcPr>
            <w:tcW w:w="1400" w:type="dxa"/>
            <w:gridSpan w:val="2"/>
            <w:shd w:val="clear" w:color="auto" w:fill="D1D3D4"/>
          </w:tcPr>
          <w:p>
            <w:pPr>
              <w:pStyle w:val="TableParagraph"/>
              <w:spacing w:before="22"/>
              <w:ind w:left="835"/>
              <w:rPr>
                <w:sz w:val="18"/>
              </w:rPr>
            </w:pPr>
            <w:r>
              <w:rPr>
                <w:color w:val="231F20"/>
                <w:sz w:val="18"/>
              </w:rPr>
              <w:t>3,547</w:t>
            </w:r>
          </w:p>
        </w:tc>
        <w:tc>
          <w:tcPr>
            <w:tcW w:w="100" w:type="dxa"/>
            <w:shd w:val="clear" w:color="auto" w:fill="D1D3D4"/>
          </w:tcPr>
          <w:p>
            <w:pPr/>
          </w:p>
        </w:tc>
        <w:tc>
          <w:tcPr>
            <w:tcW w:w="1400" w:type="dxa"/>
            <w:gridSpan w:val="2"/>
            <w:shd w:val="clear" w:color="auto" w:fill="D1D3D4"/>
          </w:tcPr>
          <w:p>
            <w:pPr>
              <w:pStyle w:val="TableParagraph"/>
              <w:spacing w:before="22"/>
              <w:ind w:left="835"/>
              <w:rPr>
                <w:sz w:val="18"/>
              </w:rPr>
            </w:pPr>
            <w:r>
              <w:rPr>
                <w:color w:val="231F20"/>
                <w:sz w:val="18"/>
              </w:rPr>
              <w:t>3,479</w:t>
            </w:r>
          </w:p>
        </w:tc>
        <w:tc>
          <w:tcPr>
            <w:tcW w:w="100" w:type="dxa"/>
            <w:shd w:val="clear" w:color="auto" w:fill="D1D3D4"/>
          </w:tcPr>
          <w:p>
            <w:pPr/>
          </w:p>
        </w:tc>
        <w:tc>
          <w:tcPr>
            <w:tcW w:w="1300" w:type="dxa"/>
            <w:shd w:val="clear" w:color="auto" w:fill="D1D3D4"/>
          </w:tcPr>
          <w:p>
            <w:pPr>
              <w:pStyle w:val="TableParagraph"/>
              <w:spacing w:before="22"/>
              <w:ind w:right="58"/>
              <w:jc w:val="right"/>
              <w:rPr>
                <w:sz w:val="18"/>
              </w:rPr>
            </w:pPr>
            <w:r>
              <w:rPr>
                <w:color w:val="231F20"/>
                <w:sz w:val="18"/>
              </w:rPr>
              <w:t>1,816</w:t>
            </w:r>
          </w:p>
        </w:tc>
      </w:tr>
      <w:tr>
        <w:trPr>
          <w:trHeight w:val="295" w:hRule="exact"/>
        </w:trPr>
        <w:tc>
          <w:tcPr>
            <w:tcW w:w="4820" w:type="dxa"/>
          </w:tcPr>
          <w:p>
            <w:pPr>
              <w:pStyle w:val="TableParagraph"/>
              <w:spacing w:before="22"/>
              <w:ind w:left="60"/>
              <w:rPr>
                <w:b/>
                <w:sz w:val="18"/>
              </w:rPr>
            </w:pPr>
            <w:r>
              <w:rPr>
                <w:b/>
                <w:color w:val="231F20"/>
                <w:sz w:val="18"/>
              </w:rPr>
              <w:t>PROVISION FOR INCOME TAXES</w:t>
            </w:r>
          </w:p>
        </w:tc>
        <w:tc>
          <w:tcPr>
            <w:tcW w:w="1400" w:type="dxa"/>
            <w:gridSpan w:val="2"/>
            <w:tcBorders>
              <w:bottom w:val="single" w:sz="4" w:space="0" w:color="231F20"/>
            </w:tcBorders>
          </w:tcPr>
          <w:p>
            <w:pPr>
              <w:pStyle w:val="TableParagraph"/>
              <w:spacing w:before="22"/>
              <w:ind w:left="835"/>
              <w:rPr>
                <w:sz w:val="18"/>
              </w:rPr>
            </w:pPr>
            <w:r>
              <w:rPr>
                <w:color w:val="231F20"/>
                <w:sz w:val="18"/>
              </w:rPr>
              <w:t>1,303</w:t>
            </w:r>
          </w:p>
        </w:tc>
        <w:tc>
          <w:tcPr>
            <w:tcW w:w="100" w:type="dxa"/>
          </w:tcPr>
          <w:p>
            <w:pPr/>
          </w:p>
        </w:tc>
        <w:tc>
          <w:tcPr>
            <w:tcW w:w="1400" w:type="dxa"/>
            <w:gridSpan w:val="2"/>
            <w:tcBorders>
              <w:bottom w:val="single" w:sz="4" w:space="0" w:color="231F20"/>
            </w:tcBorders>
          </w:tcPr>
          <w:p>
            <w:pPr>
              <w:pStyle w:val="TableParagraph"/>
              <w:spacing w:before="22"/>
              <w:ind w:left="835"/>
              <w:rPr>
                <w:sz w:val="18"/>
              </w:rPr>
            </w:pPr>
            <w:r>
              <w:rPr>
                <w:color w:val="231F20"/>
                <w:sz w:val="18"/>
              </w:rPr>
              <w:t>1,298</w:t>
            </w:r>
          </w:p>
        </w:tc>
        <w:tc>
          <w:tcPr>
            <w:tcW w:w="100" w:type="dxa"/>
          </w:tcPr>
          <w:p>
            <w:pPr/>
          </w:p>
        </w:tc>
        <w:tc>
          <w:tcPr>
            <w:tcW w:w="1300" w:type="dxa"/>
            <w:tcBorders>
              <w:bottom w:val="single" w:sz="4" w:space="0" w:color="231F20"/>
            </w:tcBorders>
          </w:tcPr>
          <w:p>
            <w:pPr>
              <w:pStyle w:val="TableParagraph"/>
              <w:spacing w:before="22"/>
              <w:ind w:right="58"/>
              <w:jc w:val="right"/>
              <w:rPr>
                <w:sz w:val="18"/>
              </w:rPr>
            </w:pPr>
            <w:r>
              <w:rPr>
                <w:color w:val="231F20"/>
                <w:sz w:val="18"/>
              </w:rPr>
              <w:t>680</w:t>
            </w:r>
          </w:p>
        </w:tc>
      </w:tr>
      <w:tr>
        <w:trPr>
          <w:trHeight w:val="340" w:hRule="exact"/>
        </w:trPr>
        <w:tc>
          <w:tcPr>
            <w:tcW w:w="4820" w:type="dxa"/>
            <w:shd w:val="clear" w:color="auto" w:fill="D1D3D4"/>
          </w:tcPr>
          <w:p>
            <w:pPr>
              <w:pStyle w:val="TableParagraph"/>
              <w:spacing w:before="52"/>
              <w:ind w:left="60"/>
              <w:rPr>
                <w:b/>
                <w:sz w:val="18"/>
              </w:rPr>
            </w:pPr>
            <w:r>
              <w:rPr>
                <w:b/>
                <w:color w:val="231F20"/>
                <w:sz w:val="18"/>
              </w:rPr>
              <w:t>NET INCOME</w:t>
            </w: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2,244</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834" w:val="left" w:leader="none"/>
              </w:tabs>
              <w:spacing w:before="52"/>
              <w:ind w:left="-1"/>
              <w:rPr>
                <w:sz w:val="18"/>
              </w:rPr>
            </w:pPr>
            <w:r>
              <w:rPr>
                <w:color w:val="231F20"/>
                <w:sz w:val="18"/>
              </w:rPr>
              <w:t>$</w:t>
              <w:tab/>
              <w:t>2,181</w:t>
            </w:r>
          </w:p>
        </w:tc>
        <w:tc>
          <w:tcPr>
            <w:tcW w:w="100" w:type="dxa"/>
            <w:shd w:val="clear" w:color="auto" w:fill="D1D3D4"/>
          </w:tcPr>
          <w:p>
            <w:pPr/>
          </w:p>
        </w:tc>
        <w:tc>
          <w:tcPr>
            <w:tcW w:w="1300" w:type="dxa"/>
            <w:tcBorders>
              <w:top w:val="single" w:sz="4" w:space="0" w:color="231F20"/>
              <w:bottom w:val="single" w:sz="4" w:space="0" w:color="231F20"/>
            </w:tcBorders>
            <w:shd w:val="clear" w:color="auto" w:fill="D1D3D4"/>
          </w:tcPr>
          <w:p>
            <w:pPr>
              <w:pStyle w:val="TableParagraph"/>
              <w:tabs>
                <w:tab w:pos="834" w:val="left" w:leader="none"/>
              </w:tabs>
              <w:spacing w:before="47"/>
              <w:ind w:left="-1"/>
              <w:rPr>
                <w:sz w:val="18"/>
              </w:rPr>
            </w:pPr>
            <w:r>
              <w:rPr>
                <w:color w:val="231F20"/>
                <w:sz w:val="18"/>
              </w:rPr>
              <w:t>$</w:t>
              <w:tab/>
              <w:t>1,136</w:t>
            </w:r>
          </w:p>
        </w:tc>
      </w:tr>
      <w:tr>
        <w:trPr>
          <w:trHeight w:val="340" w:hRule="exact"/>
        </w:trPr>
        <w:tc>
          <w:tcPr>
            <w:tcW w:w="4820" w:type="dxa"/>
          </w:tcPr>
          <w:p>
            <w:pPr>
              <w:pStyle w:val="TableParagraph"/>
              <w:spacing w:before="82"/>
              <w:ind w:left="60"/>
              <w:rPr>
                <w:b/>
                <w:sz w:val="18"/>
              </w:rPr>
            </w:pPr>
            <w:r>
              <w:rPr>
                <w:b/>
                <w:color w:val="231F20"/>
                <w:sz w:val="18"/>
              </w:rPr>
              <w:t>NET INCOME PER SHARE, BASIC</w:t>
            </w: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3.58</w:t>
            </w:r>
          </w:p>
        </w:tc>
        <w:tc>
          <w:tcPr>
            <w:tcW w:w="100" w:type="dxa"/>
          </w:tcPr>
          <w:p>
            <w:pPr/>
          </w:p>
        </w:tc>
        <w:tc>
          <w:tcPr>
            <w:tcW w:w="1400" w:type="dxa"/>
            <w:gridSpan w:val="2"/>
            <w:tcBorders>
              <w:top w:val="single" w:sz="4" w:space="0" w:color="231F20"/>
              <w:bottom w:val="single" w:sz="4" w:space="0" w:color="231F20"/>
            </w:tcBorders>
          </w:tcPr>
          <w:p>
            <w:pPr>
              <w:pStyle w:val="TableParagraph"/>
              <w:tabs>
                <w:tab w:pos="924" w:val="left" w:leader="none"/>
              </w:tabs>
              <w:spacing w:before="22"/>
              <w:ind w:left="-1"/>
              <w:rPr>
                <w:sz w:val="18"/>
              </w:rPr>
            </w:pPr>
            <w:r>
              <w:rPr>
                <w:color w:val="231F20"/>
                <w:sz w:val="18"/>
              </w:rPr>
              <w:t>$</w:t>
              <w:tab/>
              <w:t>3.30</w:t>
            </w:r>
          </w:p>
        </w:tc>
        <w:tc>
          <w:tcPr>
            <w:tcW w:w="100" w:type="dxa"/>
          </w:tcPr>
          <w:p>
            <w:pPr/>
          </w:p>
        </w:tc>
        <w:tc>
          <w:tcPr>
            <w:tcW w:w="1300" w:type="dxa"/>
            <w:tcBorders>
              <w:top w:val="single" w:sz="4" w:space="0" w:color="231F20"/>
              <w:bottom w:val="double" w:sz="7" w:space="0" w:color="231F20"/>
            </w:tcBorders>
          </w:tcPr>
          <w:p>
            <w:pPr>
              <w:pStyle w:val="TableParagraph"/>
              <w:tabs>
                <w:tab w:pos="924" w:val="left" w:leader="none"/>
              </w:tabs>
              <w:spacing w:before="22"/>
              <w:ind w:left="-1"/>
              <w:rPr>
                <w:sz w:val="18"/>
              </w:rPr>
            </w:pPr>
            <w:r>
              <w:rPr>
                <w:color w:val="231F20"/>
                <w:sz w:val="18"/>
              </w:rPr>
              <w:t>$</w:t>
              <w:tab/>
              <w:t>1.65</w:t>
            </w:r>
          </w:p>
        </w:tc>
      </w:tr>
      <w:tr>
        <w:trPr>
          <w:trHeight w:val="340" w:hRule="exact"/>
        </w:trPr>
        <w:tc>
          <w:tcPr>
            <w:tcW w:w="4820" w:type="dxa"/>
            <w:shd w:val="clear" w:color="auto" w:fill="D1D3D4"/>
          </w:tcPr>
          <w:p>
            <w:pPr>
              <w:pStyle w:val="TableParagraph"/>
              <w:spacing w:before="22"/>
              <w:ind w:left="60"/>
              <w:rPr>
                <w:b/>
                <w:sz w:val="18"/>
              </w:rPr>
            </w:pPr>
            <w:r>
              <w:rPr>
                <w:b/>
                <w:color w:val="231F20"/>
                <w:sz w:val="18"/>
              </w:rPr>
              <w:t>NET INCOME PER SHARE, DILUTED</w:t>
            </w: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3.55</w:t>
            </w:r>
          </w:p>
        </w:tc>
        <w:tc>
          <w:tcPr>
            <w:tcW w:w="100" w:type="dxa"/>
            <w:shd w:val="clear" w:color="auto" w:fill="D1D3D4"/>
          </w:tcPr>
          <w:p>
            <w:pPr/>
          </w:p>
        </w:tc>
        <w:tc>
          <w:tcPr>
            <w:tcW w:w="1400" w:type="dxa"/>
            <w:gridSpan w:val="2"/>
            <w:tcBorders>
              <w:top w:val="single" w:sz="4" w:space="0" w:color="231F20"/>
              <w:bottom w:val="single" w:sz="4" w:space="0" w:color="231F20"/>
            </w:tcBorders>
            <w:shd w:val="clear" w:color="auto" w:fill="D1D3D4"/>
          </w:tcPr>
          <w:p>
            <w:pPr>
              <w:pStyle w:val="TableParagraph"/>
              <w:tabs>
                <w:tab w:pos="924" w:val="left" w:leader="none"/>
              </w:tabs>
              <w:spacing w:before="22"/>
              <w:ind w:left="-1"/>
              <w:rPr>
                <w:sz w:val="18"/>
              </w:rPr>
            </w:pPr>
            <w:r>
              <w:rPr>
                <w:color w:val="231F20"/>
                <w:sz w:val="18"/>
              </w:rPr>
              <w:t>$</w:t>
              <w:tab/>
              <w:t>3.27</w:t>
            </w:r>
          </w:p>
        </w:tc>
        <w:tc>
          <w:tcPr>
            <w:tcW w:w="100" w:type="dxa"/>
            <w:shd w:val="clear" w:color="auto" w:fill="D1D3D4"/>
          </w:tcPr>
          <w:p>
            <w:pPr/>
          </w:p>
        </w:tc>
        <w:tc>
          <w:tcPr>
            <w:tcW w:w="1300" w:type="dxa"/>
            <w:tcBorders>
              <w:top w:val="double" w:sz="7" w:space="0" w:color="231F20"/>
              <w:bottom w:val="single" w:sz="4" w:space="0" w:color="231F20"/>
            </w:tcBorders>
            <w:shd w:val="clear" w:color="auto" w:fill="D1D3D4"/>
          </w:tcPr>
          <w:p>
            <w:pPr>
              <w:pStyle w:val="TableParagraph"/>
              <w:tabs>
                <w:tab w:pos="924" w:val="left" w:leader="none"/>
              </w:tabs>
              <w:spacing w:line="204" w:lineRule="exact" w:before="0"/>
              <w:ind w:left="-1"/>
              <w:rPr>
                <w:sz w:val="18"/>
              </w:rPr>
            </w:pPr>
            <w:r>
              <w:rPr>
                <w:color w:val="231F20"/>
                <w:sz w:val="18"/>
              </w:rPr>
              <w:t>$</w:t>
              <w:tab/>
              <w:t>1.64</w:t>
            </w:r>
          </w:p>
        </w:tc>
      </w:tr>
      <w:tr>
        <w:trPr>
          <w:trHeight w:val="234" w:hRule="exact"/>
        </w:trPr>
        <w:tc>
          <w:tcPr>
            <w:tcW w:w="4820" w:type="dxa"/>
          </w:tcPr>
          <w:p>
            <w:pPr>
              <w:pStyle w:val="TableParagraph"/>
              <w:spacing w:before="82"/>
              <w:ind w:left="60"/>
              <w:rPr>
                <w:b/>
                <w:sz w:val="18"/>
              </w:rPr>
            </w:pPr>
            <w:r>
              <w:rPr>
                <w:b/>
                <w:color w:val="231F20"/>
                <w:sz w:val="18"/>
              </w:rPr>
              <w:t>Cash dividends declared per common share</w:t>
            </w: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.3750</w:t>
            </w:r>
          </w:p>
        </w:tc>
        <w:tc>
          <w:tcPr>
            <w:tcW w:w="100" w:type="dxa"/>
          </w:tcPr>
          <w:p>
            <w:pPr/>
          </w:p>
        </w:tc>
        <w:tc>
          <w:tcPr>
            <w:tcW w:w="1400" w:type="dxa"/>
            <w:gridSpan w:val="2"/>
            <w:tcBorders>
              <w:top w:val="single" w:sz="4" w:space="0" w:color="231F20"/>
            </w:tcBorders>
          </w:tcPr>
          <w:p>
            <w:pPr>
              <w:pStyle w:val="TableParagraph"/>
              <w:tabs>
                <w:tab w:pos="834" w:val="left" w:leader="none"/>
              </w:tabs>
              <w:spacing w:before="22"/>
              <w:ind w:left="-1"/>
              <w:rPr>
                <w:sz w:val="18"/>
              </w:rPr>
            </w:pPr>
            <w:r>
              <w:rPr>
                <w:color w:val="231F20"/>
                <w:sz w:val="18"/>
              </w:rPr>
              <w:t>$</w:t>
              <w:tab/>
              <w:t>.2850</w:t>
            </w:r>
          </w:p>
        </w:tc>
        <w:tc>
          <w:tcPr>
            <w:tcW w:w="100" w:type="dxa"/>
          </w:tcPr>
          <w:p>
            <w:pPr/>
          </w:p>
        </w:tc>
        <w:tc>
          <w:tcPr>
            <w:tcW w:w="1300" w:type="dxa"/>
            <w:tcBorders>
              <w:top w:val="single" w:sz="4" w:space="0" w:color="231F20"/>
            </w:tcBorders>
          </w:tcPr>
          <w:p>
            <w:pPr>
              <w:pStyle w:val="TableParagraph"/>
              <w:tabs>
                <w:tab w:pos="834" w:val="left" w:leader="none"/>
              </w:tabs>
              <w:spacing w:before="22"/>
              <w:ind w:left="-1"/>
              <w:rPr>
                <w:sz w:val="18"/>
              </w:rPr>
            </w:pPr>
            <w:r>
              <w:rPr>
                <w:color w:val="231F20"/>
                <w:sz w:val="18"/>
              </w:rPr>
              <w:t>$</w:t>
              <w:tab/>
              <w:t>.2200</w:t>
            </w:r>
          </w:p>
        </w:tc>
      </w:tr>
    </w:tbl>
    <w:p>
      <w:pPr>
        <w:pStyle w:val="BodyText"/>
        <w:spacing w:before="4"/>
        <w:rPr>
          <w:b/>
          <w:sz w:val="19"/>
        </w:rPr>
      </w:pPr>
    </w:p>
    <w:p>
      <w:pPr>
        <w:spacing w:before="1"/>
        <w:ind w:left="819" w:right="0" w:firstLine="0"/>
        <w:jc w:val="left"/>
        <w:rPr>
          <w:sz w:val="18"/>
        </w:rPr>
      </w:pPr>
      <w:r>
        <w:rPr/>
        <w:pict>
          <v:line style="position:absolute;mso-position-horizontal-relative:page;mso-position-vertical-relative:paragraph;z-index:-376120" from="310pt,-115.79776pt" to="375pt,-115.79776pt" stroked="true" strokeweight=".5pt" strokecolor="#231f20">
            <v:stroke dashstyle="solid"/>
            <w10:wrap type="none"/>
          </v:line>
        </w:pict>
      </w:r>
      <w:r>
        <w:rPr/>
        <w:pict>
          <v:line style="position:absolute;mso-position-horizontal-relative:page;mso-position-vertical-relative:paragraph;z-index:-376096" from="385pt,-115.79776pt" to="450pt,-115.79776pt" stroked="true" strokeweight=".5pt" strokecolor="#231f20">
            <v:stroke dashstyle="solid"/>
            <w10:wrap type="none"/>
          </v:line>
        </w:pict>
      </w:r>
      <w:r>
        <w:rPr/>
        <w:pict>
          <v:line style="position:absolute;mso-position-horizontal-relative:page;mso-position-vertical-relative:paragraph;z-index:-376072" from="460pt,-115.79776pt" to="525pt,-115.79776pt" stroked="true" strokeweight=".5pt" strokecolor="#231f20">
            <v:stroke dashstyle="solid"/>
            <w10:wrap type="none"/>
          </v:line>
        </w:pict>
      </w:r>
      <w:r>
        <w:rPr/>
        <w:pict>
          <v:line style="position:absolute;mso-position-horizontal-relative:page;mso-position-vertical-relative:paragraph;z-index:-376048" from="310pt,-58.797764pt" to="375pt,-58.797764pt" stroked="true" strokeweight=".5pt" strokecolor="#231f20">
            <v:stroke dashstyle="solid"/>
            <w10:wrap type="none"/>
          </v:line>
        </w:pict>
      </w:r>
      <w:r>
        <w:rPr/>
        <w:pict>
          <v:line style="position:absolute;mso-position-horizontal-relative:page;mso-position-vertical-relative:paragraph;z-index:-376024" from="385pt,-58.797764pt" to="450pt,-58.797764pt" stroked="true" strokeweight=".5pt" strokecolor="#231f20">
            <v:stroke dashstyle="solid"/>
            <w10:wrap type="none"/>
          </v:line>
        </w:pict>
      </w:r>
      <w:r>
        <w:rPr/>
        <w:pict>
          <v:line style="position:absolute;mso-position-horizontal-relative:page;mso-position-vertical-relative:paragraph;z-index:-376000" from="310pt,-41.797764pt" to="375pt,-41.797764pt" stroked="true" strokeweight=".5pt" strokecolor="#231f20">
            <v:stroke dashstyle="solid"/>
            <w10:wrap type="none"/>
          </v:line>
        </w:pict>
      </w:r>
      <w:r>
        <w:rPr/>
        <w:pict>
          <v:line style="position:absolute;mso-position-horizontal-relative:page;mso-position-vertical-relative:paragraph;z-index:-375976" from="385pt,-41.797764pt" to="450pt,-41.797764pt" stroked="true" strokeweight=".5pt" strokecolor="#231f20">
            <v:stroke dashstyle="solid"/>
            <w10:wrap type="none"/>
          </v:line>
        </w:pict>
      </w:r>
      <w:r>
        <w:rPr/>
        <w:pict>
          <v:line style="position:absolute;mso-position-horizontal-relative:page;mso-position-vertical-relative:paragraph;z-index:-375952" from="310pt,-24.797764pt" to="375pt,-24.797764pt" stroked="true" strokeweight=".5pt" strokecolor="#231f20">
            <v:stroke dashstyle="solid"/>
            <w10:wrap type="none"/>
          </v:line>
        </w:pict>
      </w:r>
      <w:r>
        <w:rPr/>
        <w:pict>
          <v:line style="position:absolute;mso-position-horizontal-relative:page;mso-position-vertical-relative:paragraph;z-index:-375928" from="385pt,-24.797764pt" to="450pt,-24.797764pt" stroked="true" strokeweight=".5pt" strokecolor="#231f20">
            <v:stroke dashstyle="solid"/>
            <w10:wrap type="none"/>
          </v:line>
        </w:pict>
      </w:r>
      <w:r>
        <w:rPr>
          <w:color w:val="231F20"/>
          <w:sz w:val="18"/>
        </w:rPr>
        <w:t>See accompanying notes.</w:t>
      </w:r>
    </w:p>
    <w:p>
      <w:pPr>
        <w:spacing w:after="0"/>
        <w:jc w:val="left"/>
        <w:rPr>
          <w:sz w:val="18"/>
        </w:rPr>
        <w:sectPr>
          <w:pgSz w:w="11880" w:h="15480"/>
          <w:pgMar w:header="0" w:footer="1240" w:top="1240" w:bottom="1420" w:left="1280" w:right="1260"/>
        </w:sectPr>
      </w:pPr>
    </w:p>
    <w:p>
      <w:pPr>
        <w:spacing w:before="72"/>
        <w:ind w:left="1225" w:right="1244" w:firstLine="0"/>
        <w:jc w:val="center"/>
        <w:rPr>
          <w:b/>
          <w:sz w:val="18"/>
        </w:rPr>
      </w:pPr>
      <w:bookmarkStart w:name="Consolidated Statement of Comprehensive " w:id="20"/>
      <w:bookmarkEnd w:id="20"/>
      <w:r>
        <w:rPr/>
      </w:r>
      <w:r>
        <w:rPr>
          <w:b/>
          <w:color w:val="231F20"/>
          <w:sz w:val="18"/>
        </w:rPr>
        <w:t>Southwest Airlines Co.</w:t>
      </w:r>
    </w:p>
    <w:p>
      <w:pPr>
        <w:spacing w:before="13"/>
        <w:ind w:left="1226" w:right="1244" w:firstLine="0"/>
        <w:jc w:val="center"/>
        <w:rPr>
          <w:b/>
          <w:sz w:val="18"/>
        </w:rPr>
      </w:pPr>
      <w:r>
        <w:rPr>
          <w:b/>
          <w:color w:val="231F20"/>
          <w:sz w:val="18"/>
        </w:rPr>
        <w:t>Consolidated Statement of Comprehensive Income</w:t>
      </w:r>
    </w:p>
    <w:p>
      <w:pPr>
        <w:spacing w:before="13"/>
        <w:ind w:left="1226" w:right="1244" w:firstLine="0"/>
        <w:jc w:val="center"/>
        <w:rPr>
          <w:sz w:val="18"/>
        </w:rPr>
      </w:pPr>
      <w:r>
        <w:rPr>
          <w:color w:val="231F20"/>
          <w:sz w:val="18"/>
        </w:rPr>
        <w:t>(in millions)</w:t>
      </w:r>
    </w:p>
    <w:p>
      <w:pPr>
        <w:pStyle w:val="BodyText"/>
        <w:rPr>
          <w:sz w:val="20"/>
        </w:rPr>
      </w:pPr>
    </w:p>
    <w:p>
      <w:pPr>
        <w:pStyle w:val="BodyText"/>
        <w:spacing w:before="10"/>
      </w:pPr>
    </w:p>
    <w:p>
      <w:pPr>
        <w:spacing w:before="0" w:after="31"/>
        <w:ind w:left="5930" w:right="0" w:firstLine="0"/>
        <w:jc w:val="left"/>
        <w:rPr>
          <w:b/>
          <w:sz w:val="18"/>
        </w:rPr>
      </w:pPr>
      <w:r>
        <w:rPr>
          <w:b/>
          <w:color w:val="231F20"/>
          <w:sz w:val="18"/>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0"/>
        <w:gridCol w:w="907"/>
        <w:gridCol w:w="503"/>
        <w:gridCol w:w="1068"/>
        <w:gridCol w:w="938"/>
        <w:gridCol w:w="662"/>
        <w:gridCol w:w="522"/>
      </w:tblGrid>
      <w:tr>
        <w:trPr>
          <w:trHeight w:val="300" w:hRule="exact"/>
        </w:trPr>
        <w:tc>
          <w:tcPr>
            <w:tcW w:w="4520" w:type="dxa"/>
          </w:tcPr>
          <w:p>
            <w:pPr/>
          </w:p>
        </w:tc>
        <w:tc>
          <w:tcPr>
            <w:tcW w:w="907" w:type="dxa"/>
            <w:tcBorders>
              <w:top w:val="single" w:sz="8" w:space="0" w:color="231F20"/>
              <w:bottom w:val="single" w:sz="8" w:space="0" w:color="231F20"/>
            </w:tcBorders>
          </w:tcPr>
          <w:p>
            <w:pPr>
              <w:pStyle w:val="TableParagraph"/>
              <w:spacing w:before="52"/>
              <w:ind w:left="520"/>
              <w:rPr>
                <w:b/>
                <w:sz w:val="18"/>
              </w:rPr>
            </w:pPr>
            <w:r>
              <w:rPr>
                <w:b/>
                <w:color w:val="231F20"/>
                <w:sz w:val="18"/>
              </w:rPr>
              <w:t>2016</w:t>
            </w:r>
          </w:p>
        </w:tc>
        <w:tc>
          <w:tcPr>
            <w:tcW w:w="503" w:type="dxa"/>
            <w:tcBorders>
              <w:top w:val="single" w:sz="8" w:space="0" w:color="231F20"/>
              <w:bottom w:val="single" w:sz="8" w:space="0" w:color="231F20"/>
            </w:tcBorders>
          </w:tcPr>
          <w:p>
            <w:pPr/>
          </w:p>
        </w:tc>
        <w:tc>
          <w:tcPr>
            <w:tcW w:w="1068" w:type="dxa"/>
            <w:tcBorders>
              <w:top w:val="single" w:sz="8" w:space="0" w:color="231F20"/>
              <w:bottom w:val="single" w:sz="8" w:space="0" w:color="231F20"/>
            </w:tcBorders>
          </w:tcPr>
          <w:p>
            <w:pPr>
              <w:pStyle w:val="TableParagraph"/>
              <w:spacing w:before="52"/>
              <w:ind w:left="650"/>
              <w:rPr>
                <w:b/>
                <w:sz w:val="18"/>
              </w:rPr>
            </w:pPr>
            <w:r>
              <w:rPr>
                <w:b/>
                <w:color w:val="231F20"/>
                <w:sz w:val="18"/>
              </w:rPr>
              <w:t>2015</w:t>
            </w:r>
          </w:p>
        </w:tc>
        <w:tc>
          <w:tcPr>
            <w:tcW w:w="938" w:type="dxa"/>
            <w:tcBorders>
              <w:top w:val="single" w:sz="8" w:space="0" w:color="231F20"/>
              <w:bottom w:val="single" w:sz="8" w:space="0" w:color="231F20"/>
            </w:tcBorders>
          </w:tcPr>
          <w:p>
            <w:pPr/>
          </w:p>
        </w:tc>
        <w:tc>
          <w:tcPr>
            <w:tcW w:w="662" w:type="dxa"/>
            <w:tcBorders>
              <w:top w:val="single" w:sz="8" w:space="0" w:color="231F20"/>
              <w:bottom w:val="single" w:sz="8" w:space="0" w:color="231F20"/>
            </w:tcBorders>
          </w:tcPr>
          <w:p>
            <w:pPr>
              <w:pStyle w:val="TableParagraph"/>
              <w:spacing w:before="52"/>
              <w:ind w:left="244"/>
              <w:rPr>
                <w:b/>
                <w:sz w:val="18"/>
              </w:rPr>
            </w:pPr>
            <w:r>
              <w:rPr>
                <w:b/>
                <w:color w:val="231F20"/>
                <w:sz w:val="18"/>
              </w:rPr>
              <w:t>2014</w:t>
            </w:r>
          </w:p>
        </w:tc>
        <w:tc>
          <w:tcPr>
            <w:tcW w:w="522" w:type="dxa"/>
            <w:tcBorders>
              <w:top w:val="single" w:sz="8" w:space="0" w:color="231F20"/>
              <w:bottom w:val="single" w:sz="8" w:space="0" w:color="231F20"/>
            </w:tcBorders>
          </w:tcPr>
          <w:p>
            <w:pPr/>
          </w:p>
        </w:tc>
      </w:tr>
      <w:tr>
        <w:trPr>
          <w:trHeight w:val="290" w:hRule="exact"/>
        </w:trPr>
        <w:tc>
          <w:tcPr>
            <w:tcW w:w="4520" w:type="dxa"/>
            <w:shd w:val="clear" w:color="auto" w:fill="D1D3D4"/>
          </w:tcPr>
          <w:p>
            <w:pPr>
              <w:pStyle w:val="TableParagraph"/>
              <w:spacing w:before="32"/>
              <w:ind w:left="60"/>
              <w:rPr>
                <w:b/>
                <w:sz w:val="18"/>
              </w:rPr>
            </w:pPr>
            <w:r>
              <w:rPr>
                <w:b/>
                <w:color w:val="231F20"/>
                <w:sz w:val="18"/>
              </w:rPr>
              <w:t>NET INCOME</w:t>
            </w:r>
          </w:p>
        </w:tc>
        <w:tc>
          <w:tcPr>
            <w:tcW w:w="907" w:type="dxa"/>
            <w:tcBorders>
              <w:top w:val="single" w:sz="8" w:space="0" w:color="231F20"/>
            </w:tcBorders>
            <w:shd w:val="clear" w:color="auto" w:fill="D1D3D4"/>
          </w:tcPr>
          <w:p>
            <w:pPr>
              <w:pStyle w:val="TableParagraph"/>
              <w:spacing w:before="22"/>
              <w:rPr>
                <w:sz w:val="18"/>
              </w:rPr>
            </w:pPr>
            <w:r>
              <w:rPr>
                <w:color w:val="231F20"/>
                <w:sz w:val="18"/>
              </w:rPr>
              <w:t>$</w:t>
            </w:r>
          </w:p>
        </w:tc>
        <w:tc>
          <w:tcPr>
            <w:tcW w:w="503" w:type="dxa"/>
            <w:tcBorders>
              <w:top w:val="single" w:sz="8" w:space="0" w:color="231F20"/>
            </w:tcBorders>
            <w:shd w:val="clear" w:color="auto" w:fill="D1D3D4"/>
          </w:tcPr>
          <w:p>
            <w:pPr>
              <w:pStyle w:val="TableParagraph"/>
              <w:spacing w:before="22"/>
              <w:ind w:left="27"/>
              <w:rPr>
                <w:sz w:val="18"/>
              </w:rPr>
            </w:pPr>
            <w:r>
              <w:rPr>
                <w:color w:val="231F20"/>
                <w:sz w:val="18"/>
              </w:rPr>
              <w:t>2,244</w:t>
            </w:r>
          </w:p>
        </w:tc>
        <w:tc>
          <w:tcPr>
            <w:tcW w:w="1068" w:type="dxa"/>
            <w:tcBorders>
              <w:top w:val="single" w:sz="8" w:space="0" w:color="231F20"/>
            </w:tcBorders>
            <w:shd w:val="clear" w:color="auto" w:fill="D1D3D4"/>
          </w:tcPr>
          <w:p>
            <w:pPr>
              <w:pStyle w:val="TableParagraph"/>
              <w:spacing w:before="22"/>
              <w:ind w:left="70"/>
              <w:rPr>
                <w:sz w:val="18"/>
              </w:rPr>
            </w:pPr>
            <w:r>
              <w:rPr>
                <w:color w:val="231F20"/>
                <w:sz w:val="18"/>
              </w:rPr>
              <w:t>$</w:t>
            </w:r>
          </w:p>
        </w:tc>
        <w:tc>
          <w:tcPr>
            <w:tcW w:w="938" w:type="dxa"/>
            <w:tcBorders>
              <w:top w:val="single" w:sz="8" w:space="0" w:color="231F20"/>
            </w:tcBorders>
            <w:shd w:val="clear" w:color="auto" w:fill="D1D3D4"/>
          </w:tcPr>
          <w:p>
            <w:pPr>
              <w:pStyle w:val="TableParagraph"/>
              <w:spacing w:before="22"/>
              <w:ind w:left="57"/>
              <w:rPr>
                <w:sz w:val="18"/>
              </w:rPr>
            </w:pPr>
            <w:r>
              <w:rPr>
                <w:color w:val="231F20"/>
                <w:sz w:val="18"/>
              </w:rPr>
              <w:t>2,181   $</w:t>
            </w:r>
          </w:p>
        </w:tc>
        <w:tc>
          <w:tcPr>
            <w:tcW w:w="662" w:type="dxa"/>
            <w:tcBorders>
              <w:top w:val="single" w:sz="8" w:space="0" w:color="231F20"/>
            </w:tcBorders>
            <w:shd w:val="clear" w:color="auto" w:fill="D1D3D4"/>
          </w:tcPr>
          <w:p>
            <w:pPr/>
          </w:p>
        </w:tc>
        <w:tc>
          <w:tcPr>
            <w:tcW w:w="522" w:type="dxa"/>
            <w:tcBorders>
              <w:top w:val="single" w:sz="8" w:space="0" w:color="231F20"/>
            </w:tcBorders>
            <w:shd w:val="clear" w:color="auto" w:fill="D1D3D4"/>
          </w:tcPr>
          <w:p>
            <w:pPr>
              <w:pStyle w:val="TableParagraph"/>
              <w:spacing w:before="22"/>
              <w:ind w:left="57"/>
              <w:rPr>
                <w:sz w:val="18"/>
              </w:rPr>
            </w:pPr>
            <w:r>
              <w:rPr>
                <w:color w:val="231F20"/>
                <w:sz w:val="18"/>
              </w:rPr>
              <w:t>1,136</w:t>
            </w:r>
          </w:p>
        </w:tc>
      </w:tr>
    </w:tbl>
    <w:p>
      <w:pPr>
        <w:spacing w:after="0"/>
        <w:rPr>
          <w:sz w:val="18"/>
        </w:rPr>
        <w:sectPr>
          <w:pgSz w:w="11880" w:h="15480"/>
          <w:pgMar w:header="0" w:footer="1240" w:top="1240" w:bottom="1420" w:left="1280" w:right="1260"/>
        </w:sectPr>
      </w:pPr>
    </w:p>
    <w:p>
      <w:pPr>
        <w:spacing w:line="254" w:lineRule="auto" w:before="22"/>
        <w:ind w:left="520" w:right="102" w:hanging="180"/>
        <w:jc w:val="left"/>
        <w:rPr>
          <w:sz w:val="18"/>
        </w:rPr>
      </w:pPr>
      <w:r>
        <w:rPr>
          <w:color w:val="231F20"/>
          <w:sz w:val="18"/>
        </w:rPr>
        <w:t>Unrealized gain (loss) on fuel derivative instruments, net of deferred taxes of $432, ($181), and ($430)</w:t>
      </w:r>
    </w:p>
    <w:p>
      <w:pPr>
        <w:spacing w:line="254" w:lineRule="auto" w:before="61"/>
        <w:ind w:left="520" w:right="-18" w:hanging="180"/>
        <w:jc w:val="left"/>
        <w:rPr>
          <w:sz w:val="18"/>
        </w:rPr>
      </w:pPr>
      <w:r>
        <w:rPr/>
        <w:pict>
          <v:rect style="position:absolute;margin-left:69pt;margin-top:1.951733pt;width:456pt;height:25pt;mso-position-horizontal-relative:page;mso-position-vertical-relative:paragraph;z-index:-375880" filled="true" fillcolor="#d1d3d4" stroked="false">
            <v:fill type="solid"/>
            <w10:wrap type="none"/>
          </v:rect>
        </w:pict>
      </w:r>
      <w:r>
        <w:rPr>
          <w:color w:val="231F20"/>
          <w:sz w:val="18"/>
        </w:rPr>
        <w:t>Unrealized gain on interest rate derivative instruments,</w:t>
      </w:r>
      <w:r>
        <w:rPr>
          <w:color w:val="231F20"/>
          <w:w w:val="100"/>
          <w:sz w:val="18"/>
        </w:rPr>
        <w:t> </w:t>
      </w:r>
      <w:r>
        <w:rPr>
          <w:color w:val="231F20"/>
          <w:sz w:val="18"/>
        </w:rPr>
        <w:t>net of deferred taxes of $5, $6, and $5</w:t>
      </w:r>
    </w:p>
    <w:p>
      <w:pPr>
        <w:spacing w:before="61"/>
        <w:ind w:left="340" w:right="0" w:firstLine="0"/>
        <w:jc w:val="left"/>
        <w:rPr>
          <w:sz w:val="18"/>
        </w:rPr>
      </w:pPr>
      <w:r>
        <w:rPr>
          <w:color w:val="231F20"/>
          <w:sz w:val="18"/>
        </w:rPr>
        <w:t>Unrealized loss on defined benefit plan items, net of</w:t>
      </w:r>
    </w:p>
    <w:p>
      <w:pPr>
        <w:tabs>
          <w:tab w:pos="1759" w:val="left" w:leader="none"/>
          <w:tab w:pos="3359" w:val="left" w:leader="none"/>
        </w:tabs>
        <w:spacing w:before="132"/>
        <w:ind w:left="219" w:right="0" w:firstLine="0"/>
        <w:jc w:val="center"/>
        <w:rPr>
          <w:sz w:val="18"/>
        </w:rPr>
      </w:pPr>
      <w:r>
        <w:rPr/>
        <w:br w:type="column"/>
      </w:r>
      <w:r>
        <w:rPr>
          <w:color w:val="231F20"/>
          <w:sz w:val="18"/>
        </w:rPr>
        <w:t>735</w:t>
        <w:tab/>
        <w:t>(308)</w:t>
        <w:tab/>
        <w:t>(727)</w:t>
      </w:r>
    </w:p>
    <w:p>
      <w:pPr>
        <w:pStyle w:val="BodyText"/>
        <w:spacing w:before="5"/>
        <w:rPr>
          <w:sz w:val="25"/>
        </w:rPr>
      </w:pPr>
    </w:p>
    <w:p>
      <w:pPr>
        <w:tabs>
          <w:tab w:pos="1939" w:val="left" w:leader="none"/>
          <w:tab w:pos="3539" w:val="left" w:leader="none"/>
        </w:tabs>
        <w:spacing w:before="0"/>
        <w:ind w:left="340" w:right="0" w:firstLine="0"/>
        <w:jc w:val="center"/>
        <w:rPr>
          <w:sz w:val="18"/>
        </w:rPr>
      </w:pPr>
      <w:r>
        <w:rPr>
          <w:color w:val="231F20"/>
          <w:sz w:val="18"/>
        </w:rPr>
        <w:t>7</w:t>
        <w:tab/>
        <w:t>9</w:t>
        <w:tab/>
        <w:t>8</w:t>
      </w:r>
    </w:p>
    <w:p>
      <w:pPr>
        <w:pStyle w:val="BodyText"/>
        <w:spacing w:before="4"/>
        <w:rPr>
          <w:sz w:val="25"/>
        </w:rPr>
      </w:pPr>
    </w:p>
    <w:p>
      <w:pPr>
        <w:tabs>
          <w:tab w:pos="1849" w:val="left" w:leader="none"/>
          <w:tab w:pos="3449" w:val="left" w:leader="none"/>
        </w:tabs>
        <w:spacing w:before="1"/>
        <w:ind w:left="249" w:right="0" w:firstLine="0"/>
        <w:jc w:val="center"/>
        <w:rPr>
          <w:sz w:val="18"/>
        </w:rPr>
      </w:pPr>
      <w:r>
        <w:rPr/>
        <w:pict>
          <v:shape style="position:absolute;margin-left:69pt;margin-top:5.861272pt;width:456pt;height:60.85pt;mso-position-horizontal-relative:page;mso-position-vertical-relative:paragraph;z-index:32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0"/>
                    <w:gridCol w:w="1400"/>
                    <w:gridCol w:w="1770"/>
                    <w:gridCol w:w="1430"/>
                  </w:tblGrid>
                  <w:tr>
                    <w:trPr>
                      <w:trHeight w:val="252" w:hRule="exact"/>
                    </w:trPr>
                    <w:tc>
                      <w:tcPr>
                        <w:tcW w:w="4520" w:type="dxa"/>
                      </w:tcPr>
                      <w:p>
                        <w:pPr>
                          <w:pStyle w:val="TableParagraph"/>
                          <w:spacing w:line="201" w:lineRule="exact" w:before="0"/>
                          <w:ind w:left="420"/>
                          <w:rPr>
                            <w:sz w:val="18"/>
                          </w:rPr>
                        </w:pPr>
                        <w:r>
                          <w:rPr>
                            <w:color w:val="231F20"/>
                            <w:sz w:val="18"/>
                          </w:rPr>
                          <w:t>deferred taxes of ($13), ($7), and ($8)</w:t>
                        </w:r>
                      </w:p>
                    </w:tc>
                    <w:tc>
                      <w:tcPr>
                        <w:tcW w:w="4600" w:type="dxa"/>
                        <w:gridSpan w:val="3"/>
                      </w:tcPr>
                      <w:p>
                        <w:pPr/>
                      </w:p>
                    </w:tc>
                  </w:tr>
                  <w:tr>
                    <w:trPr>
                      <w:trHeight w:val="275" w:hRule="exact"/>
                    </w:trPr>
                    <w:tc>
                      <w:tcPr>
                        <w:tcW w:w="4520" w:type="dxa"/>
                        <w:shd w:val="clear" w:color="auto" w:fill="D1D3D4"/>
                      </w:tcPr>
                      <w:p>
                        <w:pPr>
                          <w:pStyle w:val="TableParagraph"/>
                          <w:spacing w:before="32"/>
                          <w:ind w:left="240"/>
                          <w:rPr>
                            <w:sz w:val="18"/>
                          </w:rPr>
                        </w:pPr>
                        <w:r>
                          <w:rPr>
                            <w:color w:val="231F20"/>
                            <w:sz w:val="18"/>
                          </w:rPr>
                          <w:t>Other, net of deferred taxes of $5, $-, and $-</w:t>
                        </w:r>
                      </w:p>
                    </w:tc>
                    <w:tc>
                      <w:tcPr>
                        <w:tcW w:w="1400" w:type="dxa"/>
                        <w:tcBorders>
                          <w:bottom w:val="single" w:sz="4" w:space="0" w:color="231F20"/>
                        </w:tcBorders>
                        <w:shd w:val="clear" w:color="auto" w:fill="D1D3D4"/>
                      </w:tcPr>
                      <w:p>
                        <w:pPr>
                          <w:pStyle w:val="TableParagraph"/>
                          <w:spacing w:before="32"/>
                          <w:ind w:right="58"/>
                          <w:jc w:val="right"/>
                          <w:rPr>
                            <w:sz w:val="18"/>
                          </w:rPr>
                        </w:pPr>
                        <w:r>
                          <w:rPr>
                            <w:color w:val="231F20"/>
                            <w:sz w:val="18"/>
                          </w:rPr>
                          <w:t>9</w:t>
                        </w:r>
                      </w:p>
                    </w:tc>
                    <w:tc>
                      <w:tcPr>
                        <w:tcW w:w="1770" w:type="dxa"/>
                        <w:tcBorders>
                          <w:bottom w:val="single" w:sz="4" w:space="0" w:color="231F20"/>
                        </w:tcBorders>
                        <w:shd w:val="clear" w:color="auto" w:fill="D1D3D4"/>
                      </w:tcPr>
                      <w:p>
                        <w:pPr>
                          <w:pStyle w:val="TableParagraph"/>
                          <w:spacing w:before="32"/>
                          <w:ind w:right="168"/>
                          <w:jc w:val="right"/>
                          <w:rPr>
                            <w:sz w:val="18"/>
                          </w:rPr>
                        </w:pPr>
                        <w:r>
                          <w:rPr>
                            <w:color w:val="231F20"/>
                            <w:sz w:val="18"/>
                          </w:rPr>
                          <w:t>(2)</w:t>
                        </w:r>
                      </w:p>
                    </w:tc>
                    <w:tc>
                      <w:tcPr>
                        <w:tcW w:w="1430" w:type="dxa"/>
                        <w:tcBorders>
                          <w:bottom w:val="single" w:sz="4" w:space="0" w:color="231F20"/>
                        </w:tcBorders>
                        <w:shd w:val="clear" w:color="auto" w:fill="D1D3D4"/>
                      </w:tcPr>
                      <w:p>
                        <w:pPr>
                          <w:pStyle w:val="TableParagraph"/>
                          <w:spacing w:before="32"/>
                          <w:ind w:right="58"/>
                          <w:jc w:val="right"/>
                          <w:rPr>
                            <w:sz w:val="18"/>
                          </w:rPr>
                        </w:pPr>
                        <w:r>
                          <w:rPr>
                            <w:color w:val="231F20"/>
                            <w:sz w:val="18"/>
                          </w:rPr>
                          <w:t>—</w:t>
                        </w:r>
                      </w:p>
                    </w:tc>
                  </w:tr>
                  <w:tr>
                    <w:trPr>
                      <w:trHeight w:val="320" w:hRule="exact"/>
                    </w:trPr>
                    <w:tc>
                      <w:tcPr>
                        <w:tcW w:w="4520" w:type="dxa"/>
                      </w:tcPr>
                      <w:p>
                        <w:pPr>
                          <w:pStyle w:val="TableParagraph"/>
                          <w:spacing w:before="92"/>
                          <w:ind w:left="60"/>
                          <w:rPr>
                            <w:b/>
                            <w:sz w:val="18"/>
                          </w:rPr>
                        </w:pPr>
                        <w:r>
                          <w:rPr>
                            <w:b/>
                            <w:color w:val="231F20"/>
                            <w:sz w:val="18"/>
                          </w:rPr>
                          <w:t>OTHER COMPREHENSIVE INCOME (LOSS)</w:t>
                        </w:r>
                      </w:p>
                    </w:tc>
                    <w:tc>
                      <w:tcPr>
                        <w:tcW w:w="1400" w:type="dxa"/>
                        <w:tcBorders>
                          <w:top w:val="single" w:sz="4" w:space="0" w:color="231F20"/>
                          <w:bottom w:val="single" w:sz="4" w:space="0" w:color="231F20"/>
                        </w:tcBorders>
                      </w:tcPr>
                      <w:p>
                        <w:pPr>
                          <w:pStyle w:val="TableParagraph"/>
                          <w:tabs>
                            <w:tab w:pos="1069" w:val="left" w:leader="none"/>
                          </w:tabs>
                          <w:spacing w:before="72"/>
                          <w:ind w:right="58"/>
                          <w:jc w:val="right"/>
                          <w:rPr>
                            <w:sz w:val="18"/>
                          </w:rPr>
                        </w:pPr>
                        <w:r>
                          <w:rPr>
                            <w:color w:val="231F20"/>
                            <w:sz w:val="18"/>
                          </w:rPr>
                          <w:t>$</w:t>
                          <w:tab/>
                          <w:t>728</w:t>
                        </w:r>
                      </w:p>
                    </w:tc>
                    <w:tc>
                      <w:tcPr>
                        <w:tcW w:w="1770" w:type="dxa"/>
                        <w:tcBorders>
                          <w:top w:val="single" w:sz="4" w:space="0" w:color="231F20"/>
                          <w:bottom w:val="single" w:sz="4" w:space="0" w:color="231F20"/>
                        </w:tcBorders>
                      </w:tcPr>
                      <w:p>
                        <w:pPr>
                          <w:pStyle w:val="TableParagraph"/>
                          <w:tabs>
                            <w:tab w:pos="1129" w:val="left" w:leader="none"/>
                          </w:tabs>
                          <w:spacing w:before="72"/>
                          <w:jc w:val="right"/>
                          <w:rPr>
                            <w:sz w:val="18"/>
                          </w:rPr>
                        </w:pPr>
                        <w:r>
                          <w:rPr>
                            <w:color w:val="231F20"/>
                            <w:sz w:val="18"/>
                          </w:rPr>
                          <w:t>$</w:t>
                          <w:tab/>
                          <w:t>(313)</w:t>
                        </w:r>
                        <w:r>
                          <w:rPr>
                            <w:color w:val="231F20"/>
                            <w:spacing w:val="35"/>
                            <w:sz w:val="18"/>
                          </w:rPr>
                          <w:t> </w:t>
                        </w:r>
                        <w:r>
                          <w:rPr>
                            <w:color w:val="231F20"/>
                            <w:sz w:val="18"/>
                          </w:rPr>
                          <w:t>$</w:t>
                        </w:r>
                      </w:p>
                    </w:tc>
                    <w:tc>
                      <w:tcPr>
                        <w:tcW w:w="1430" w:type="dxa"/>
                        <w:tcBorders>
                          <w:top w:val="single" w:sz="4" w:space="0" w:color="231F20"/>
                        </w:tcBorders>
                      </w:tcPr>
                      <w:p>
                        <w:pPr>
                          <w:pStyle w:val="TableParagraph"/>
                          <w:spacing w:before="87"/>
                          <w:jc w:val="right"/>
                          <w:rPr>
                            <w:sz w:val="18"/>
                          </w:rPr>
                        </w:pPr>
                        <w:r>
                          <w:rPr>
                            <w:color w:val="231F20"/>
                            <w:sz w:val="18"/>
                          </w:rPr>
                          <w:t>(735)</w:t>
                        </w:r>
                      </w:p>
                    </w:tc>
                  </w:tr>
                  <w:tr>
                    <w:trPr>
                      <w:trHeight w:val="360" w:hRule="exact"/>
                    </w:trPr>
                    <w:tc>
                      <w:tcPr>
                        <w:tcW w:w="4520" w:type="dxa"/>
                        <w:shd w:val="clear" w:color="auto" w:fill="D1D3D4"/>
                      </w:tcPr>
                      <w:p>
                        <w:pPr>
                          <w:pStyle w:val="TableParagraph"/>
                          <w:spacing w:before="77"/>
                          <w:ind w:left="60"/>
                          <w:rPr>
                            <w:b/>
                            <w:sz w:val="18"/>
                          </w:rPr>
                        </w:pPr>
                        <w:r>
                          <w:rPr>
                            <w:b/>
                            <w:color w:val="231F20"/>
                            <w:sz w:val="18"/>
                          </w:rPr>
                          <w:t>COMPREHENSIVE INCOME</w:t>
                        </w:r>
                      </w:p>
                    </w:tc>
                    <w:tc>
                      <w:tcPr>
                        <w:tcW w:w="1400" w:type="dxa"/>
                        <w:tcBorders>
                          <w:top w:val="single" w:sz="4" w:space="0" w:color="231F20"/>
                          <w:bottom w:val="single" w:sz="4" w:space="0" w:color="231F20"/>
                        </w:tcBorders>
                        <w:shd w:val="clear" w:color="auto" w:fill="D1D3D4"/>
                      </w:tcPr>
                      <w:p>
                        <w:pPr>
                          <w:pStyle w:val="TableParagraph"/>
                          <w:tabs>
                            <w:tab w:pos="934" w:val="left" w:leader="none"/>
                          </w:tabs>
                          <w:spacing w:before="72"/>
                          <w:ind w:right="58"/>
                          <w:jc w:val="right"/>
                          <w:rPr>
                            <w:sz w:val="18"/>
                          </w:rPr>
                        </w:pPr>
                        <w:r>
                          <w:rPr>
                            <w:color w:val="231F20"/>
                            <w:sz w:val="18"/>
                          </w:rPr>
                          <w:t>$</w:t>
                          <w:tab/>
                          <w:t>2,972</w:t>
                        </w:r>
                      </w:p>
                    </w:tc>
                    <w:tc>
                      <w:tcPr>
                        <w:tcW w:w="1770" w:type="dxa"/>
                        <w:tcBorders>
                          <w:top w:val="single" w:sz="4" w:space="0" w:color="231F20"/>
                        </w:tcBorders>
                        <w:shd w:val="clear" w:color="auto" w:fill="D1D3D4"/>
                      </w:tcPr>
                      <w:p>
                        <w:pPr>
                          <w:pStyle w:val="TableParagraph"/>
                          <w:tabs>
                            <w:tab w:pos="1054" w:val="left" w:leader="none"/>
                          </w:tabs>
                          <w:spacing w:before="72"/>
                          <w:jc w:val="right"/>
                          <w:rPr>
                            <w:sz w:val="18"/>
                          </w:rPr>
                        </w:pPr>
                        <w:r>
                          <w:rPr>
                            <w:color w:val="231F20"/>
                            <w:sz w:val="18"/>
                          </w:rPr>
                          <w:t>$</w:t>
                          <w:tab/>
                          <w:t>1,868  </w:t>
                        </w:r>
                        <w:r>
                          <w:rPr>
                            <w:color w:val="231F20"/>
                            <w:spacing w:val="5"/>
                            <w:sz w:val="18"/>
                          </w:rPr>
                          <w:t> </w:t>
                        </w:r>
                        <w:r>
                          <w:rPr>
                            <w:color w:val="231F20"/>
                            <w:sz w:val="18"/>
                          </w:rPr>
                          <w:t>$</w:t>
                        </w:r>
                      </w:p>
                    </w:tc>
                    <w:tc>
                      <w:tcPr>
                        <w:tcW w:w="1430" w:type="dxa"/>
                        <w:tcBorders>
                          <w:bottom w:val="single" w:sz="4" w:space="0" w:color="231F20"/>
                        </w:tcBorders>
                        <w:shd w:val="clear" w:color="auto" w:fill="D1D3D4"/>
                      </w:tcPr>
                      <w:p>
                        <w:pPr>
                          <w:pStyle w:val="TableParagraph"/>
                          <w:spacing w:before="77"/>
                          <w:ind w:right="59"/>
                          <w:jc w:val="right"/>
                          <w:rPr>
                            <w:sz w:val="18"/>
                          </w:rPr>
                        </w:pPr>
                        <w:r>
                          <w:rPr>
                            <w:color w:val="231F20"/>
                            <w:sz w:val="18"/>
                          </w:rPr>
                          <w:t>401</w:t>
                        </w:r>
                      </w:p>
                    </w:tc>
                  </w:tr>
                </w:tbl>
                <w:p>
                  <w:pPr>
                    <w:pStyle w:val="BodyText"/>
                  </w:pPr>
                </w:p>
              </w:txbxContent>
            </v:textbox>
            <w10:wrap type="none"/>
          </v:shape>
        </w:pict>
      </w:r>
      <w:r>
        <w:rPr>
          <w:color w:val="231F20"/>
          <w:sz w:val="18"/>
        </w:rPr>
        <w:t>(23)</w:t>
        <w:tab/>
        <w:t>(12)</w:t>
        <w:tab/>
        <w:t>(16)</w:t>
      </w:r>
    </w:p>
    <w:p>
      <w:pPr>
        <w:spacing w:after="0"/>
        <w:jc w:val="center"/>
        <w:rPr>
          <w:sz w:val="18"/>
        </w:rPr>
        <w:sectPr>
          <w:type w:val="continuous"/>
          <w:pgSz w:w="11880" w:h="15480"/>
          <w:pgMar w:top="1260" w:bottom="280" w:left="1280" w:right="1260"/>
          <w:cols w:num="2" w:equalWidth="0">
            <w:col w:w="4296" w:space="1054"/>
            <w:col w:w="3990"/>
          </w:cols>
        </w:sectPr>
      </w:pPr>
    </w:p>
    <w:p>
      <w:pPr>
        <w:pStyle w:val="BodyText"/>
        <w:rPr>
          <w:sz w:val="20"/>
        </w:rPr>
      </w:pPr>
    </w:p>
    <w:p>
      <w:pPr>
        <w:pStyle w:val="BodyText"/>
        <w:rPr>
          <w:sz w:val="20"/>
        </w:rPr>
      </w:pPr>
    </w:p>
    <w:p>
      <w:pPr>
        <w:pStyle w:val="BodyText"/>
        <w:spacing w:before="3"/>
        <w:rPr>
          <w:sz w:val="25"/>
        </w:rPr>
      </w:pPr>
    </w:p>
    <w:p>
      <w:pPr>
        <w:pStyle w:val="BodyText"/>
        <w:ind w:left="100"/>
        <w:rPr>
          <w:sz w:val="20"/>
        </w:rPr>
      </w:pPr>
      <w:r>
        <w:rPr>
          <w:sz w:val="20"/>
        </w:rPr>
        <w:pict>
          <v:group style="width:456.25pt;height:18.5pt;mso-position-horizontal-relative:char;mso-position-vertical-relative:line" coordorigin="0,0" coordsize="9125,370">
            <v:rect style="position:absolute;left:0;top:50;width:9120;height:260" filled="true" fillcolor="#d1d3d4" stroked="false">
              <v:fill type="solid"/>
            </v:rect>
            <v:line style="position:absolute" from="7600,5" to="9120,5" stroked="true" strokeweight=".5pt" strokecolor="#231f20">
              <v:stroke dashstyle="solid"/>
            </v:line>
            <v:line style="position:absolute" from="4520,325" to="5920,325" stroked="true" strokeweight=".5pt" strokecolor="#231f20">
              <v:stroke dashstyle="solid"/>
            </v:line>
            <v:line style="position:absolute" from="6000,325" to="7520,325" stroked="true" strokeweight=".5pt" strokecolor="#231f20">
              <v:stroke dashstyle="solid"/>
            </v:line>
            <v:line style="position:absolute" from="6000,365" to="7520,365" stroked="true" strokeweight=".5pt" strokecolor="#231f20">
              <v:stroke dashstyle="solid"/>
            </v:line>
            <v:line style="position:absolute" from="7600,325" to="9120,325" stroked="true" strokeweight=".5pt" strokecolor="#231f20">
              <v:stroke dashstyle="solid"/>
            </v:line>
          </v:group>
        </w:pict>
      </w:r>
      <w:r>
        <w:rPr>
          <w:sz w:val="20"/>
        </w:rPr>
      </w:r>
    </w:p>
    <w:p>
      <w:pPr>
        <w:pStyle w:val="BodyText"/>
        <w:spacing w:before="7"/>
        <w:rPr>
          <w:sz w:val="7"/>
        </w:rPr>
      </w:pPr>
    </w:p>
    <w:p>
      <w:pPr>
        <w:spacing w:before="94"/>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spacing w:before="72"/>
        <w:ind w:left="94" w:right="95" w:firstLine="0"/>
        <w:jc w:val="center"/>
        <w:rPr>
          <w:b/>
          <w:sz w:val="18"/>
        </w:rPr>
      </w:pPr>
      <w:bookmarkStart w:name="Consolidated Statement of Stockholders' " w:id="21"/>
      <w:bookmarkEnd w:id="21"/>
      <w:r>
        <w:rPr/>
      </w:r>
      <w:r>
        <w:rPr>
          <w:b/>
          <w:color w:val="231F20"/>
          <w:sz w:val="18"/>
        </w:rPr>
        <w:t>Southwest Airlines Co.</w:t>
      </w:r>
    </w:p>
    <w:p>
      <w:pPr>
        <w:spacing w:before="13"/>
        <w:ind w:left="95" w:right="95" w:firstLine="0"/>
        <w:jc w:val="center"/>
        <w:rPr>
          <w:b/>
          <w:sz w:val="18"/>
        </w:rPr>
      </w:pPr>
      <w:r>
        <w:rPr>
          <w:b/>
          <w:color w:val="231F20"/>
          <w:sz w:val="18"/>
        </w:rPr>
        <w:t>Consolidated Statement of Stockholders’ Equity</w:t>
      </w:r>
    </w:p>
    <w:p>
      <w:pPr>
        <w:spacing w:before="13"/>
        <w:ind w:left="95" w:right="95" w:firstLine="0"/>
        <w:jc w:val="center"/>
        <w:rPr>
          <w:sz w:val="18"/>
        </w:rPr>
      </w:pPr>
      <w:r>
        <w:rPr>
          <w:color w:val="231F20"/>
          <w:sz w:val="18"/>
        </w:rPr>
        <w:t>(in millions, except per share amounts)</w:t>
      </w:r>
    </w:p>
    <w:p>
      <w:pPr>
        <w:pStyle w:val="BodyText"/>
        <w:rPr>
          <w:sz w:val="20"/>
        </w:rPr>
      </w:pPr>
    </w:p>
    <w:p>
      <w:pPr>
        <w:pStyle w:val="BodyText"/>
        <w:rPr>
          <w:sz w:val="21"/>
        </w:rPr>
      </w:pPr>
    </w:p>
    <w:p>
      <w:pPr>
        <w:spacing w:before="0" w:after="35"/>
        <w:ind w:left="4930" w:right="0" w:firstLine="0"/>
        <w:jc w:val="left"/>
        <w:rPr>
          <w:b/>
          <w:sz w:val="16"/>
        </w:rPr>
      </w:pPr>
      <w:r>
        <w:rPr>
          <w:b/>
          <w:color w:val="231F20"/>
          <w:sz w:val="16"/>
        </w:rPr>
        <w:t>Year ended December 31, 2016, 2015, and 2014</w:t>
      </w: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99"/>
        <w:gridCol w:w="920"/>
        <w:gridCol w:w="880"/>
        <w:gridCol w:w="1991"/>
        <w:gridCol w:w="830"/>
      </w:tblGrid>
      <w:tr>
        <w:trPr>
          <w:trHeight w:val="770" w:hRule="exact"/>
        </w:trPr>
        <w:tc>
          <w:tcPr>
            <w:tcW w:w="4499" w:type="dxa"/>
          </w:tcPr>
          <w:p>
            <w:pPr>
              <w:pStyle w:val="TableParagraph"/>
              <w:spacing w:before="0"/>
              <w:rPr>
                <w:b/>
                <w:sz w:val="18"/>
              </w:rPr>
            </w:pPr>
          </w:p>
          <w:p>
            <w:pPr>
              <w:pStyle w:val="TableParagraph"/>
              <w:spacing w:before="3"/>
              <w:rPr>
                <w:b/>
                <w:sz w:val="17"/>
              </w:rPr>
            </w:pPr>
          </w:p>
          <w:p>
            <w:pPr>
              <w:pStyle w:val="TableParagraph"/>
              <w:spacing w:line="180" w:lineRule="exact" w:before="0"/>
              <w:ind w:left="3918" w:right="54" w:hanging="125"/>
              <w:rPr>
                <w:b/>
                <w:sz w:val="16"/>
              </w:rPr>
            </w:pPr>
            <w:r>
              <w:rPr>
                <w:b/>
                <w:color w:val="231F20"/>
                <w:sz w:val="16"/>
              </w:rPr>
              <w:t>Common Stock</w:t>
            </w:r>
          </w:p>
        </w:tc>
        <w:tc>
          <w:tcPr>
            <w:tcW w:w="920" w:type="dxa"/>
            <w:tcBorders>
              <w:top w:val="single" w:sz="8" w:space="0" w:color="231F20"/>
            </w:tcBorders>
          </w:tcPr>
          <w:p>
            <w:pPr>
              <w:pStyle w:val="TableParagraph"/>
              <w:spacing w:before="9"/>
              <w:rPr>
                <w:b/>
                <w:sz w:val="18"/>
              </w:rPr>
            </w:pPr>
          </w:p>
          <w:p>
            <w:pPr>
              <w:pStyle w:val="TableParagraph"/>
              <w:spacing w:line="180" w:lineRule="exact" w:before="0"/>
              <w:ind w:left="158" w:right="98" w:hanging="18"/>
              <w:jc w:val="both"/>
              <w:rPr>
                <w:b/>
                <w:sz w:val="16"/>
              </w:rPr>
            </w:pPr>
            <w:r>
              <w:rPr>
                <w:b/>
                <w:color w:val="231F20"/>
                <w:sz w:val="16"/>
              </w:rPr>
              <w:t>Capital in excess of par value</w:t>
            </w:r>
          </w:p>
        </w:tc>
        <w:tc>
          <w:tcPr>
            <w:tcW w:w="880" w:type="dxa"/>
            <w:tcBorders>
              <w:top w:val="single" w:sz="8" w:space="0" w:color="231F20"/>
            </w:tcBorders>
          </w:tcPr>
          <w:p>
            <w:pPr>
              <w:pStyle w:val="TableParagraph"/>
              <w:spacing w:before="0"/>
              <w:rPr>
                <w:b/>
                <w:sz w:val="18"/>
              </w:rPr>
            </w:pPr>
          </w:p>
          <w:p>
            <w:pPr>
              <w:pStyle w:val="TableParagraph"/>
              <w:spacing w:before="5"/>
              <w:rPr>
                <w:b/>
                <w:sz w:val="16"/>
              </w:rPr>
            </w:pPr>
          </w:p>
          <w:p>
            <w:pPr>
              <w:pStyle w:val="TableParagraph"/>
              <w:spacing w:line="180" w:lineRule="exact" w:before="0"/>
              <w:ind w:left="147" w:right="113" w:hanging="14"/>
              <w:rPr>
                <w:b/>
                <w:sz w:val="16"/>
              </w:rPr>
            </w:pPr>
            <w:r>
              <w:rPr>
                <w:b/>
                <w:color w:val="231F20"/>
                <w:sz w:val="16"/>
              </w:rPr>
              <w:t>Retained earnings</w:t>
            </w:r>
          </w:p>
        </w:tc>
        <w:tc>
          <w:tcPr>
            <w:tcW w:w="1991" w:type="dxa"/>
            <w:tcBorders>
              <w:top w:val="single" w:sz="8" w:space="0" w:color="231F20"/>
            </w:tcBorders>
          </w:tcPr>
          <w:p>
            <w:pPr>
              <w:pStyle w:val="TableParagraph"/>
              <w:spacing w:line="180" w:lineRule="exact" w:before="36"/>
              <w:ind w:left="368" w:right="967" w:hanging="271"/>
              <w:rPr>
                <w:b/>
                <w:sz w:val="16"/>
              </w:rPr>
            </w:pPr>
            <w:r>
              <w:rPr>
                <w:b/>
                <w:color w:val="231F20"/>
                <w:sz w:val="16"/>
              </w:rPr>
              <w:t>Accumulated other</w:t>
            </w:r>
          </w:p>
          <w:p>
            <w:pPr>
              <w:pStyle w:val="TableParagraph"/>
              <w:tabs>
                <w:tab w:pos="1362" w:val="left" w:leader="none"/>
              </w:tabs>
              <w:spacing w:line="180" w:lineRule="exact" w:before="0"/>
              <w:ind w:left="109" w:right="132" w:hanging="69"/>
              <w:rPr>
                <w:b/>
                <w:sz w:val="16"/>
              </w:rPr>
            </w:pPr>
            <w:r>
              <w:rPr>
                <w:b/>
                <w:color w:val="231F20"/>
                <w:sz w:val="16"/>
              </w:rPr>
              <w:t>comprehensive Treasury income</w:t>
            </w:r>
            <w:r>
              <w:rPr>
                <w:b/>
                <w:color w:val="231F20"/>
                <w:spacing w:val="-1"/>
                <w:sz w:val="16"/>
              </w:rPr>
              <w:t> </w:t>
            </w:r>
            <w:r>
              <w:rPr>
                <w:b/>
                <w:color w:val="231F20"/>
                <w:sz w:val="16"/>
              </w:rPr>
              <w:t>(loss)</w:t>
              <w:tab/>
              <w:t>stock</w:t>
            </w:r>
          </w:p>
        </w:tc>
        <w:tc>
          <w:tcPr>
            <w:tcW w:w="830" w:type="dxa"/>
            <w:tcBorders>
              <w:top w:val="single" w:sz="8" w:space="0" w:color="231F20"/>
            </w:tcBorders>
          </w:tcPr>
          <w:p>
            <w:pPr>
              <w:pStyle w:val="TableParagraph"/>
              <w:spacing w:before="0"/>
              <w:rPr>
                <w:b/>
                <w:sz w:val="18"/>
              </w:rPr>
            </w:pPr>
          </w:p>
          <w:p>
            <w:pPr>
              <w:pStyle w:val="TableParagraph"/>
              <w:spacing w:before="0"/>
              <w:rPr>
                <w:b/>
                <w:sz w:val="18"/>
              </w:rPr>
            </w:pPr>
          </w:p>
          <w:p>
            <w:pPr>
              <w:pStyle w:val="TableParagraph"/>
              <w:spacing w:before="156"/>
              <w:ind w:left="258"/>
              <w:rPr>
                <w:b/>
                <w:sz w:val="16"/>
              </w:rPr>
            </w:pPr>
            <w:r>
              <w:rPr>
                <w:b/>
                <w:color w:val="231F20"/>
                <w:sz w:val="16"/>
              </w:rPr>
              <w:t>Total</w:t>
            </w:r>
          </w:p>
        </w:tc>
      </w:tr>
      <w:tr>
        <w:trPr>
          <w:trHeight w:val="280" w:hRule="exact"/>
        </w:trPr>
        <w:tc>
          <w:tcPr>
            <w:tcW w:w="4499" w:type="dxa"/>
            <w:shd w:val="clear" w:color="auto" w:fill="D1D3D4"/>
          </w:tcPr>
          <w:p>
            <w:pPr>
              <w:pStyle w:val="TableParagraph"/>
              <w:tabs>
                <w:tab w:pos="3658" w:val="left" w:leader="none"/>
                <w:tab w:pos="4108" w:val="left" w:leader="none"/>
              </w:tabs>
              <w:spacing w:before="52"/>
              <w:ind w:right="58"/>
              <w:jc w:val="right"/>
              <w:rPr>
                <w:sz w:val="18"/>
              </w:rPr>
            </w:pPr>
            <w:r>
              <w:rPr>
                <w:color w:val="231F20"/>
                <w:sz w:val="18"/>
              </w:rPr>
              <w:t>Balance at December 31, 2013</w:t>
              <w:tab/>
              <w:t>$</w:t>
              <w:tab/>
              <w:t>808</w:t>
            </w:r>
          </w:p>
        </w:tc>
        <w:tc>
          <w:tcPr>
            <w:tcW w:w="920" w:type="dxa"/>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1,231</w:t>
            </w:r>
          </w:p>
        </w:tc>
        <w:tc>
          <w:tcPr>
            <w:tcW w:w="880" w:type="dxa"/>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6,431</w:t>
            </w:r>
          </w:p>
        </w:tc>
        <w:tc>
          <w:tcPr>
            <w:tcW w:w="1991" w:type="dxa"/>
            <w:shd w:val="clear" w:color="auto" w:fill="D1D3D4"/>
          </w:tcPr>
          <w:p>
            <w:pPr>
              <w:pStyle w:val="TableParagraph"/>
              <w:tabs>
                <w:tab w:pos="810" w:val="left" w:leader="none"/>
              </w:tabs>
              <w:spacing w:before="52"/>
              <w:ind w:right="48"/>
              <w:jc w:val="right"/>
              <w:rPr>
                <w:sz w:val="18"/>
              </w:rPr>
            </w:pPr>
            <w:r>
              <w:rPr>
                <w:color w:val="231F20"/>
                <w:sz w:val="18"/>
              </w:rPr>
              <w:t>$</w:t>
              <w:tab/>
              <w:t>(3)  $  </w:t>
            </w:r>
            <w:r>
              <w:rPr>
                <w:color w:val="231F20"/>
                <w:spacing w:val="40"/>
                <w:sz w:val="18"/>
              </w:rPr>
              <w:t> </w:t>
            </w:r>
            <w:r>
              <w:rPr>
                <w:color w:val="231F20"/>
                <w:sz w:val="18"/>
              </w:rPr>
              <w:t>(1,131)</w:t>
            </w:r>
          </w:p>
        </w:tc>
        <w:tc>
          <w:tcPr>
            <w:tcW w:w="830" w:type="dxa"/>
            <w:shd w:val="clear" w:color="auto" w:fill="D1D3D4"/>
          </w:tcPr>
          <w:p>
            <w:pPr>
              <w:pStyle w:val="TableParagraph"/>
              <w:tabs>
                <w:tab w:pos="314" w:val="left" w:leader="none"/>
              </w:tabs>
              <w:spacing w:before="52"/>
              <w:ind w:right="59"/>
              <w:jc w:val="right"/>
              <w:rPr>
                <w:sz w:val="18"/>
              </w:rPr>
            </w:pPr>
            <w:r>
              <w:rPr>
                <w:color w:val="231F20"/>
                <w:sz w:val="18"/>
              </w:rPr>
              <w:t>$</w:t>
              <w:tab/>
            </w:r>
            <w:r>
              <w:rPr>
                <w:color w:val="231F20"/>
                <w:spacing w:val="-1"/>
                <w:sz w:val="18"/>
              </w:rPr>
              <w:t>7,336</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Repurchase of common stock</w:t>
              <w:tab/>
              <w:t>—</w:t>
            </w:r>
          </w:p>
        </w:tc>
        <w:tc>
          <w:tcPr>
            <w:tcW w:w="920" w:type="dxa"/>
          </w:tcPr>
          <w:p>
            <w:pPr>
              <w:pStyle w:val="TableParagraph"/>
              <w:spacing w:before="52"/>
              <w:ind w:right="97"/>
              <w:jc w:val="right"/>
              <w:rPr>
                <w:sz w:val="18"/>
              </w:rPr>
            </w:pPr>
            <w:r>
              <w:rPr>
                <w:color w:val="231F20"/>
                <w:sz w:val="18"/>
              </w:rPr>
              <w:t>—</w:t>
            </w:r>
          </w:p>
        </w:tc>
        <w:tc>
          <w:tcPr>
            <w:tcW w:w="880" w:type="dxa"/>
          </w:tcPr>
          <w:p>
            <w:pPr>
              <w:pStyle w:val="TableParagraph"/>
              <w:spacing w:before="52"/>
              <w:ind w:right="97"/>
              <w:jc w:val="right"/>
              <w:rPr>
                <w:sz w:val="18"/>
              </w:rPr>
            </w:pPr>
            <w:r>
              <w:rPr>
                <w:color w:val="231F20"/>
                <w:sz w:val="18"/>
              </w:rPr>
              <w:t>—</w:t>
            </w:r>
          </w:p>
        </w:tc>
        <w:tc>
          <w:tcPr>
            <w:tcW w:w="1991" w:type="dxa"/>
          </w:tcPr>
          <w:p>
            <w:pPr>
              <w:pStyle w:val="TableParagraph"/>
              <w:tabs>
                <w:tab w:pos="729" w:val="left" w:leader="none"/>
              </w:tabs>
              <w:spacing w:before="52"/>
              <w:ind w:right="48"/>
              <w:jc w:val="right"/>
              <w:rPr>
                <w:sz w:val="18"/>
              </w:rPr>
            </w:pPr>
            <w:r>
              <w:rPr>
                <w:color w:val="231F20"/>
                <w:sz w:val="18"/>
              </w:rPr>
              <w:t>—</w:t>
              <w:tab/>
              <w:t>(955)</w:t>
            </w:r>
          </w:p>
        </w:tc>
        <w:tc>
          <w:tcPr>
            <w:tcW w:w="830" w:type="dxa"/>
          </w:tcPr>
          <w:p>
            <w:pPr>
              <w:pStyle w:val="TableParagraph"/>
              <w:spacing w:before="52"/>
              <w:jc w:val="right"/>
              <w:rPr>
                <w:sz w:val="18"/>
              </w:rPr>
            </w:pPr>
            <w:r>
              <w:rPr>
                <w:color w:val="231F20"/>
                <w:sz w:val="18"/>
              </w:rPr>
              <w:t>(955)</w:t>
            </w:r>
          </w:p>
        </w:tc>
      </w:tr>
      <w:tr>
        <w:trPr>
          <w:trHeight w:val="500" w:hRule="exact"/>
        </w:trPr>
        <w:tc>
          <w:tcPr>
            <w:tcW w:w="4499" w:type="dxa"/>
            <w:shd w:val="clear" w:color="auto" w:fill="D1D3D4"/>
          </w:tcPr>
          <w:p>
            <w:pPr>
              <w:pStyle w:val="TableParagraph"/>
              <w:spacing w:before="52"/>
              <w:ind w:left="420"/>
              <w:rPr>
                <w:sz w:val="18"/>
              </w:rPr>
            </w:pPr>
            <w:r>
              <w:rPr>
                <w:color w:val="231F20"/>
                <w:sz w:val="18"/>
              </w:rPr>
              <w:t>Issuance of common and treasury stock</w:t>
            </w:r>
          </w:p>
          <w:p>
            <w:pPr>
              <w:pStyle w:val="TableParagraph"/>
              <w:tabs>
                <w:tab w:pos="4258" w:val="left" w:leader="none"/>
              </w:tabs>
              <w:spacing w:before="13"/>
              <w:ind w:left="420"/>
              <w:rPr>
                <w:sz w:val="18"/>
              </w:rPr>
            </w:pPr>
            <w:r>
              <w:rPr>
                <w:color w:val="231F20"/>
                <w:sz w:val="18"/>
              </w:rPr>
              <w:t>pursuant to Employee</w:t>
            </w:r>
            <w:r>
              <w:rPr>
                <w:color w:val="231F20"/>
                <w:spacing w:val="-1"/>
                <w:sz w:val="18"/>
              </w:rPr>
              <w:t> </w:t>
            </w:r>
            <w:r>
              <w:rPr>
                <w:color w:val="231F20"/>
                <w:sz w:val="18"/>
              </w:rPr>
              <w:t>stock plans</w:t>
              <w:tab/>
              <w:t>—</w:t>
            </w:r>
          </w:p>
        </w:tc>
        <w:tc>
          <w:tcPr>
            <w:tcW w:w="92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40</w:t>
            </w:r>
          </w:p>
        </w:tc>
        <w:tc>
          <w:tcPr>
            <w:tcW w:w="88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shd w:val="clear" w:color="auto" w:fill="D1D3D4"/>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60</w:t>
            </w:r>
          </w:p>
        </w:tc>
        <w:tc>
          <w:tcPr>
            <w:tcW w:w="830" w:type="dxa"/>
            <w:shd w:val="clear" w:color="auto" w:fill="D1D3D4"/>
          </w:tcPr>
          <w:p>
            <w:pPr>
              <w:pStyle w:val="TableParagraph"/>
              <w:spacing w:before="7"/>
              <w:rPr>
                <w:b/>
                <w:sz w:val="23"/>
              </w:rPr>
            </w:pPr>
          </w:p>
          <w:p>
            <w:pPr>
              <w:pStyle w:val="TableParagraph"/>
              <w:spacing w:before="0"/>
              <w:ind w:right="59"/>
              <w:jc w:val="right"/>
              <w:rPr>
                <w:sz w:val="18"/>
              </w:rPr>
            </w:pPr>
            <w:r>
              <w:rPr>
                <w:color w:val="231F20"/>
                <w:sz w:val="18"/>
              </w:rPr>
              <w:t>100</w:t>
            </w:r>
          </w:p>
        </w:tc>
      </w:tr>
      <w:tr>
        <w:trPr>
          <w:trHeight w:val="500" w:hRule="exact"/>
        </w:trPr>
        <w:tc>
          <w:tcPr>
            <w:tcW w:w="4499" w:type="dxa"/>
          </w:tcPr>
          <w:p>
            <w:pPr>
              <w:pStyle w:val="TableParagraph"/>
              <w:spacing w:before="52"/>
              <w:ind w:left="420"/>
              <w:rPr>
                <w:sz w:val="18"/>
              </w:rPr>
            </w:pPr>
            <w:r>
              <w:rPr>
                <w:color w:val="231F20"/>
                <w:sz w:val="18"/>
              </w:rPr>
              <w:t>Net tax benefit (expense) of options</w:t>
            </w:r>
          </w:p>
          <w:p>
            <w:pPr>
              <w:pStyle w:val="TableParagraph"/>
              <w:tabs>
                <w:tab w:pos="4258" w:val="left" w:leader="none"/>
              </w:tabs>
              <w:spacing w:before="13"/>
              <w:ind w:left="420"/>
              <w:rPr>
                <w:sz w:val="18"/>
              </w:rPr>
            </w:pPr>
            <w:r>
              <w:rPr>
                <w:color w:val="231F20"/>
                <w:sz w:val="18"/>
              </w:rPr>
              <w:t>exercised</w:t>
              <w:tab/>
              <w:t>—</w:t>
            </w:r>
          </w:p>
        </w:tc>
        <w:tc>
          <w:tcPr>
            <w:tcW w:w="920" w:type="dxa"/>
          </w:tcPr>
          <w:p>
            <w:pPr>
              <w:pStyle w:val="TableParagraph"/>
              <w:spacing w:before="7"/>
              <w:rPr>
                <w:b/>
                <w:sz w:val="23"/>
              </w:rPr>
            </w:pPr>
          </w:p>
          <w:p>
            <w:pPr>
              <w:pStyle w:val="TableParagraph"/>
              <w:spacing w:before="0"/>
              <w:ind w:right="97"/>
              <w:jc w:val="right"/>
              <w:rPr>
                <w:sz w:val="18"/>
              </w:rPr>
            </w:pPr>
            <w:r>
              <w:rPr>
                <w:color w:val="231F20"/>
                <w:sz w:val="18"/>
              </w:rPr>
              <w:t>23</w:t>
            </w:r>
          </w:p>
        </w:tc>
        <w:tc>
          <w:tcPr>
            <w:tcW w:w="880" w:type="dxa"/>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w:t>
            </w:r>
          </w:p>
        </w:tc>
        <w:tc>
          <w:tcPr>
            <w:tcW w:w="830" w:type="dxa"/>
          </w:tcPr>
          <w:p>
            <w:pPr>
              <w:pStyle w:val="TableParagraph"/>
              <w:spacing w:before="7"/>
              <w:rPr>
                <w:b/>
                <w:sz w:val="23"/>
              </w:rPr>
            </w:pPr>
          </w:p>
          <w:p>
            <w:pPr>
              <w:pStyle w:val="TableParagraph"/>
              <w:spacing w:before="0"/>
              <w:ind w:right="59"/>
              <w:jc w:val="right"/>
              <w:rPr>
                <w:sz w:val="18"/>
              </w:rPr>
            </w:pPr>
            <w:r>
              <w:rPr>
                <w:color w:val="231F20"/>
                <w:sz w:val="18"/>
              </w:rPr>
              <w:t>23</w:t>
            </w:r>
          </w:p>
        </w:tc>
      </w:tr>
      <w:tr>
        <w:trPr>
          <w:trHeight w:val="280"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Share-based compensation</w:t>
              <w:tab/>
            </w:r>
            <w:r>
              <w:rPr>
                <w:color w:val="231F20"/>
                <w:spacing w:val="-1"/>
                <w:sz w:val="18"/>
              </w:rPr>
              <w:t>—</w:t>
            </w:r>
          </w:p>
        </w:tc>
        <w:tc>
          <w:tcPr>
            <w:tcW w:w="920" w:type="dxa"/>
            <w:shd w:val="clear" w:color="auto" w:fill="D1D3D4"/>
          </w:tcPr>
          <w:p>
            <w:pPr>
              <w:pStyle w:val="TableParagraph"/>
              <w:spacing w:before="52"/>
              <w:ind w:right="97"/>
              <w:jc w:val="right"/>
              <w:rPr>
                <w:sz w:val="18"/>
              </w:rPr>
            </w:pPr>
            <w:r>
              <w:rPr>
                <w:color w:val="231F20"/>
                <w:sz w:val="18"/>
              </w:rPr>
              <w:t>21</w:t>
            </w:r>
          </w:p>
        </w:tc>
        <w:tc>
          <w:tcPr>
            <w:tcW w:w="880" w:type="dxa"/>
            <w:shd w:val="clear" w:color="auto" w:fill="D1D3D4"/>
          </w:tcPr>
          <w:p>
            <w:pPr>
              <w:pStyle w:val="TableParagraph"/>
              <w:spacing w:before="52"/>
              <w:ind w:right="97"/>
              <w:jc w:val="right"/>
              <w:rPr>
                <w:sz w:val="18"/>
              </w:rPr>
            </w:pPr>
            <w:r>
              <w:rPr>
                <w:color w:val="231F20"/>
                <w:sz w:val="18"/>
              </w:rPr>
              <w:t>—</w:t>
            </w:r>
          </w:p>
        </w:tc>
        <w:tc>
          <w:tcPr>
            <w:tcW w:w="1991" w:type="dxa"/>
            <w:shd w:val="clear" w:color="auto" w:fill="D1D3D4"/>
          </w:tcPr>
          <w:p>
            <w:pPr>
              <w:pStyle w:val="TableParagraph"/>
              <w:tabs>
                <w:tab w:pos="879" w:val="left" w:leader="none"/>
              </w:tabs>
              <w:spacing w:before="52"/>
              <w:ind w:right="107"/>
              <w:jc w:val="right"/>
              <w:rPr>
                <w:sz w:val="18"/>
              </w:rPr>
            </w:pPr>
            <w:r>
              <w:rPr>
                <w:color w:val="231F20"/>
                <w:sz w:val="18"/>
              </w:rPr>
              <w:t>—</w:t>
              <w:tab/>
              <w:t>—</w:t>
            </w:r>
          </w:p>
        </w:tc>
        <w:tc>
          <w:tcPr>
            <w:tcW w:w="830" w:type="dxa"/>
            <w:shd w:val="clear" w:color="auto" w:fill="D1D3D4"/>
          </w:tcPr>
          <w:p>
            <w:pPr>
              <w:pStyle w:val="TableParagraph"/>
              <w:spacing w:before="52"/>
              <w:ind w:right="58"/>
              <w:jc w:val="right"/>
              <w:rPr>
                <w:sz w:val="18"/>
              </w:rPr>
            </w:pPr>
            <w:r>
              <w:rPr>
                <w:color w:val="231F20"/>
                <w:sz w:val="18"/>
              </w:rPr>
              <w:t>21</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Cash dividends, $.2200</w:t>
            </w:r>
            <w:r>
              <w:rPr>
                <w:color w:val="231F20"/>
                <w:spacing w:val="-1"/>
                <w:sz w:val="18"/>
              </w:rPr>
              <w:t> </w:t>
            </w:r>
            <w:r>
              <w:rPr>
                <w:color w:val="231F20"/>
                <w:sz w:val="18"/>
              </w:rPr>
              <w:t>per share</w:t>
              <w:tab/>
              <w:t>—</w:t>
            </w:r>
          </w:p>
        </w:tc>
        <w:tc>
          <w:tcPr>
            <w:tcW w:w="920" w:type="dxa"/>
          </w:tcPr>
          <w:p>
            <w:pPr>
              <w:pStyle w:val="TableParagraph"/>
              <w:spacing w:before="52"/>
              <w:ind w:right="97"/>
              <w:jc w:val="right"/>
              <w:rPr>
                <w:sz w:val="18"/>
              </w:rPr>
            </w:pPr>
            <w:r>
              <w:rPr>
                <w:color w:val="231F20"/>
                <w:sz w:val="18"/>
              </w:rPr>
              <w:t>—</w:t>
            </w:r>
          </w:p>
        </w:tc>
        <w:tc>
          <w:tcPr>
            <w:tcW w:w="880" w:type="dxa"/>
          </w:tcPr>
          <w:p>
            <w:pPr>
              <w:pStyle w:val="TableParagraph"/>
              <w:spacing w:before="52"/>
              <w:ind w:right="38"/>
              <w:jc w:val="right"/>
              <w:rPr>
                <w:sz w:val="18"/>
              </w:rPr>
            </w:pPr>
            <w:r>
              <w:rPr>
                <w:color w:val="231F20"/>
                <w:sz w:val="18"/>
              </w:rPr>
              <w:t>(151)</w:t>
            </w:r>
          </w:p>
        </w:tc>
        <w:tc>
          <w:tcPr>
            <w:tcW w:w="1991" w:type="dxa"/>
          </w:tcPr>
          <w:p>
            <w:pPr>
              <w:pStyle w:val="TableParagraph"/>
              <w:tabs>
                <w:tab w:pos="879" w:val="left" w:leader="none"/>
              </w:tabs>
              <w:spacing w:before="52"/>
              <w:ind w:right="107"/>
              <w:jc w:val="right"/>
              <w:rPr>
                <w:sz w:val="18"/>
              </w:rPr>
            </w:pPr>
            <w:r>
              <w:rPr>
                <w:color w:val="231F20"/>
                <w:sz w:val="18"/>
              </w:rPr>
              <w:t>—</w:t>
              <w:tab/>
              <w:t>—</w:t>
            </w:r>
          </w:p>
        </w:tc>
        <w:tc>
          <w:tcPr>
            <w:tcW w:w="830" w:type="dxa"/>
          </w:tcPr>
          <w:p>
            <w:pPr>
              <w:pStyle w:val="TableParagraph"/>
              <w:spacing w:before="52"/>
              <w:jc w:val="right"/>
              <w:rPr>
                <w:sz w:val="18"/>
              </w:rPr>
            </w:pPr>
            <w:r>
              <w:rPr>
                <w:color w:val="231F20"/>
                <w:sz w:val="18"/>
              </w:rPr>
              <w:t>(151)</w:t>
            </w:r>
          </w:p>
        </w:tc>
      </w:tr>
      <w:tr>
        <w:trPr>
          <w:trHeight w:val="295"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Comprehensive income</w:t>
              <w:tab/>
              <w:t>—</w:t>
            </w:r>
          </w:p>
        </w:tc>
        <w:tc>
          <w:tcPr>
            <w:tcW w:w="920" w:type="dxa"/>
            <w:tcBorders>
              <w:bottom w:val="single" w:sz="4" w:space="0" w:color="231F20"/>
            </w:tcBorders>
            <w:shd w:val="clear" w:color="auto" w:fill="D1D3D4"/>
          </w:tcPr>
          <w:p>
            <w:pPr>
              <w:pStyle w:val="TableParagraph"/>
              <w:spacing w:before="52"/>
              <w:ind w:right="97"/>
              <w:jc w:val="right"/>
              <w:rPr>
                <w:sz w:val="18"/>
              </w:rPr>
            </w:pPr>
            <w:r>
              <w:rPr>
                <w:color w:val="231F20"/>
                <w:sz w:val="18"/>
              </w:rPr>
              <w:t>—</w:t>
            </w:r>
          </w:p>
        </w:tc>
        <w:tc>
          <w:tcPr>
            <w:tcW w:w="880" w:type="dxa"/>
            <w:tcBorders>
              <w:bottom w:val="single" w:sz="4" w:space="0" w:color="231F20"/>
            </w:tcBorders>
            <w:shd w:val="clear" w:color="auto" w:fill="D1D3D4"/>
          </w:tcPr>
          <w:p>
            <w:pPr>
              <w:pStyle w:val="TableParagraph"/>
              <w:spacing w:before="52"/>
              <w:ind w:right="97"/>
              <w:jc w:val="right"/>
              <w:rPr>
                <w:sz w:val="18"/>
              </w:rPr>
            </w:pPr>
            <w:r>
              <w:rPr>
                <w:color w:val="231F20"/>
                <w:sz w:val="18"/>
              </w:rPr>
              <w:t>1,136</w:t>
            </w:r>
          </w:p>
        </w:tc>
        <w:tc>
          <w:tcPr>
            <w:tcW w:w="1991" w:type="dxa"/>
            <w:tcBorders>
              <w:bottom w:val="single" w:sz="4" w:space="0" w:color="231F20"/>
            </w:tcBorders>
            <w:shd w:val="clear" w:color="auto" w:fill="D1D3D4"/>
          </w:tcPr>
          <w:p>
            <w:pPr>
              <w:pStyle w:val="TableParagraph"/>
              <w:tabs>
                <w:tab w:pos="1029" w:val="left" w:leader="none"/>
              </w:tabs>
              <w:spacing w:before="52"/>
              <w:ind w:right="107"/>
              <w:jc w:val="right"/>
              <w:rPr>
                <w:sz w:val="18"/>
              </w:rPr>
            </w:pPr>
            <w:r>
              <w:rPr>
                <w:color w:val="231F20"/>
                <w:sz w:val="18"/>
              </w:rPr>
              <w:t>(735)</w:t>
              <w:tab/>
            </w:r>
            <w:r>
              <w:rPr>
                <w:color w:val="231F20"/>
                <w:spacing w:val="-1"/>
                <w:sz w:val="18"/>
              </w:rPr>
              <w:t>—</w:t>
            </w:r>
          </w:p>
        </w:tc>
        <w:tc>
          <w:tcPr>
            <w:tcW w:w="830" w:type="dxa"/>
            <w:tcBorders>
              <w:bottom w:val="single" w:sz="4" w:space="0" w:color="231F20"/>
            </w:tcBorders>
            <w:shd w:val="clear" w:color="auto" w:fill="D1D3D4"/>
          </w:tcPr>
          <w:p>
            <w:pPr>
              <w:pStyle w:val="TableParagraph"/>
              <w:spacing w:before="52"/>
              <w:ind w:right="58"/>
              <w:jc w:val="right"/>
              <w:rPr>
                <w:sz w:val="18"/>
              </w:rPr>
            </w:pPr>
            <w:r>
              <w:rPr>
                <w:color w:val="231F20"/>
                <w:sz w:val="18"/>
              </w:rPr>
              <w:t>401</w:t>
            </w:r>
          </w:p>
        </w:tc>
      </w:tr>
      <w:tr>
        <w:trPr>
          <w:trHeight w:val="300" w:hRule="exact"/>
        </w:trPr>
        <w:tc>
          <w:tcPr>
            <w:tcW w:w="4499" w:type="dxa"/>
          </w:tcPr>
          <w:p>
            <w:pPr>
              <w:pStyle w:val="TableParagraph"/>
              <w:tabs>
                <w:tab w:pos="3658" w:val="left" w:leader="none"/>
                <w:tab w:pos="4108" w:val="left" w:leader="none"/>
              </w:tabs>
              <w:spacing w:before="57"/>
              <w:ind w:right="58"/>
              <w:jc w:val="right"/>
              <w:rPr>
                <w:sz w:val="18"/>
              </w:rPr>
            </w:pPr>
            <w:r>
              <w:rPr>
                <w:color w:val="231F20"/>
                <w:sz w:val="18"/>
              </w:rPr>
              <w:t>Balance at December 31, 2014</w:t>
              <w:tab/>
              <w:t>$</w:t>
              <w:tab/>
              <w:t>808</w:t>
            </w:r>
          </w:p>
        </w:tc>
        <w:tc>
          <w:tcPr>
            <w:tcW w:w="920" w:type="dxa"/>
            <w:tcBorders>
              <w:top w:val="single" w:sz="4" w:space="0" w:color="231F20"/>
              <w:bottom w:val="single" w:sz="4" w:space="0" w:color="231F20"/>
            </w:tcBorders>
          </w:tcPr>
          <w:p>
            <w:pPr>
              <w:pStyle w:val="TableParagraph"/>
              <w:tabs>
                <w:tab w:pos="334" w:val="left" w:leader="none"/>
              </w:tabs>
              <w:spacing w:before="52"/>
              <w:ind w:right="97"/>
              <w:jc w:val="right"/>
              <w:rPr>
                <w:sz w:val="18"/>
              </w:rPr>
            </w:pPr>
            <w:r>
              <w:rPr>
                <w:color w:val="231F20"/>
                <w:sz w:val="18"/>
              </w:rPr>
              <w:t>$</w:t>
              <w:tab/>
            </w:r>
            <w:r>
              <w:rPr>
                <w:color w:val="231F20"/>
                <w:spacing w:val="-1"/>
                <w:sz w:val="18"/>
              </w:rPr>
              <w:t>1,315</w:t>
            </w:r>
          </w:p>
        </w:tc>
        <w:tc>
          <w:tcPr>
            <w:tcW w:w="880" w:type="dxa"/>
            <w:tcBorders>
              <w:top w:val="single" w:sz="4" w:space="0" w:color="231F20"/>
              <w:bottom w:val="single" w:sz="4" w:space="0" w:color="231F20"/>
            </w:tcBorders>
          </w:tcPr>
          <w:p>
            <w:pPr>
              <w:pStyle w:val="TableParagraph"/>
              <w:tabs>
                <w:tab w:pos="334" w:val="left" w:leader="none"/>
              </w:tabs>
              <w:spacing w:before="52"/>
              <w:ind w:right="97"/>
              <w:jc w:val="right"/>
              <w:rPr>
                <w:sz w:val="18"/>
              </w:rPr>
            </w:pPr>
            <w:r>
              <w:rPr>
                <w:color w:val="231F20"/>
                <w:sz w:val="18"/>
              </w:rPr>
              <w:t>$</w:t>
              <w:tab/>
            </w:r>
            <w:r>
              <w:rPr>
                <w:color w:val="231F20"/>
                <w:spacing w:val="-1"/>
                <w:sz w:val="18"/>
              </w:rPr>
              <w:t>7,416</w:t>
            </w:r>
          </w:p>
        </w:tc>
        <w:tc>
          <w:tcPr>
            <w:tcW w:w="1991" w:type="dxa"/>
            <w:tcBorders>
              <w:top w:val="single" w:sz="4" w:space="0" w:color="231F20"/>
              <w:bottom w:val="single" w:sz="4" w:space="0" w:color="231F20"/>
            </w:tcBorders>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630" w:val="left" w:leader="none"/>
              </w:tabs>
              <w:spacing w:before="32"/>
              <w:ind w:right="48"/>
              <w:jc w:val="right"/>
              <w:rPr>
                <w:sz w:val="18"/>
              </w:rPr>
            </w:pPr>
            <w:r>
              <w:rPr>
                <w:color w:val="231F20"/>
                <w:sz w:val="18"/>
              </w:rPr>
              <w:t>$</w:t>
              <w:tab/>
              <w:t>(738)  $  </w:t>
            </w:r>
            <w:r>
              <w:rPr>
                <w:color w:val="231F20"/>
                <w:spacing w:val="40"/>
                <w:sz w:val="18"/>
              </w:rPr>
              <w:t> </w:t>
            </w:r>
            <w:r>
              <w:rPr>
                <w:color w:val="231F20"/>
                <w:sz w:val="18"/>
              </w:rPr>
              <w:t>(2,026)</w:t>
            </w:r>
          </w:p>
        </w:tc>
        <w:tc>
          <w:tcPr>
            <w:tcW w:w="830" w:type="dxa"/>
            <w:tcBorders>
              <w:top w:val="single" w:sz="4" w:space="0" w:color="231F20"/>
              <w:bottom w:val="single" w:sz="4" w:space="0" w:color="231F20"/>
            </w:tcBorders>
          </w:tcPr>
          <w:p>
            <w:pPr>
              <w:pStyle w:val="TableParagraph"/>
              <w:tabs>
                <w:tab w:pos="314" w:val="left" w:leader="none"/>
              </w:tabs>
              <w:spacing w:before="52"/>
              <w:ind w:right="59"/>
              <w:jc w:val="right"/>
              <w:rPr>
                <w:sz w:val="18"/>
              </w:rPr>
            </w:pPr>
            <w:r>
              <w:rPr>
                <w:color w:val="231F20"/>
                <w:sz w:val="18"/>
              </w:rPr>
              <w:t>$</w:t>
              <w:tab/>
            </w:r>
            <w:r>
              <w:rPr>
                <w:color w:val="231F20"/>
                <w:spacing w:val="-1"/>
                <w:sz w:val="18"/>
              </w:rPr>
              <w:t>6,775</w:t>
            </w:r>
          </w:p>
        </w:tc>
      </w:tr>
      <w:tr>
        <w:trPr>
          <w:trHeight w:val="285" w:hRule="exact"/>
        </w:trPr>
        <w:tc>
          <w:tcPr>
            <w:tcW w:w="4499" w:type="dxa"/>
            <w:shd w:val="clear" w:color="auto" w:fill="D1D3D4"/>
          </w:tcPr>
          <w:p>
            <w:pPr>
              <w:pStyle w:val="TableParagraph"/>
              <w:tabs>
                <w:tab w:pos="3838" w:val="left" w:leader="none"/>
              </w:tabs>
              <w:spacing w:before="57"/>
              <w:ind w:right="58"/>
              <w:jc w:val="right"/>
              <w:rPr>
                <w:sz w:val="18"/>
              </w:rPr>
            </w:pPr>
            <w:r>
              <w:rPr>
                <w:color w:val="231F20"/>
                <w:sz w:val="18"/>
              </w:rPr>
              <w:t>Repurchase of common stock</w:t>
              <w:tab/>
              <w:t>—</w:t>
            </w:r>
          </w:p>
        </w:tc>
        <w:tc>
          <w:tcPr>
            <w:tcW w:w="920" w:type="dxa"/>
            <w:tcBorders>
              <w:top w:val="single" w:sz="4" w:space="0" w:color="231F20"/>
            </w:tcBorders>
            <w:shd w:val="clear" w:color="auto" w:fill="D1D3D4"/>
          </w:tcPr>
          <w:p>
            <w:pPr>
              <w:pStyle w:val="TableParagraph"/>
              <w:spacing w:before="52"/>
              <w:ind w:right="97"/>
              <w:jc w:val="right"/>
              <w:rPr>
                <w:sz w:val="18"/>
              </w:rPr>
            </w:pPr>
            <w:r>
              <w:rPr>
                <w:color w:val="231F20"/>
                <w:sz w:val="18"/>
              </w:rPr>
              <w:t>—</w:t>
            </w:r>
          </w:p>
        </w:tc>
        <w:tc>
          <w:tcPr>
            <w:tcW w:w="880" w:type="dxa"/>
            <w:tcBorders>
              <w:top w:val="single" w:sz="4" w:space="0" w:color="231F20"/>
            </w:tcBorders>
            <w:shd w:val="clear" w:color="auto" w:fill="D1D3D4"/>
          </w:tcPr>
          <w:p>
            <w:pPr>
              <w:pStyle w:val="TableParagraph"/>
              <w:spacing w:before="52"/>
              <w:ind w:right="97"/>
              <w:jc w:val="right"/>
              <w:rPr>
                <w:sz w:val="18"/>
              </w:rPr>
            </w:pPr>
            <w:r>
              <w:rPr>
                <w:color w:val="231F20"/>
                <w:sz w:val="18"/>
              </w:rPr>
              <w:t>—</w:t>
            </w:r>
          </w:p>
        </w:tc>
        <w:tc>
          <w:tcPr>
            <w:tcW w:w="1991" w:type="dxa"/>
            <w:tcBorders>
              <w:top w:val="single" w:sz="4" w:space="0" w:color="231F20"/>
            </w:tcBorders>
            <w:shd w:val="clear" w:color="auto" w:fill="D1D3D4"/>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594" w:val="left" w:leader="none"/>
              </w:tabs>
              <w:spacing w:before="32"/>
              <w:ind w:right="48"/>
              <w:jc w:val="right"/>
              <w:rPr>
                <w:sz w:val="18"/>
              </w:rPr>
            </w:pPr>
            <w:r>
              <w:rPr>
                <w:color w:val="231F20"/>
                <w:sz w:val="18"/>
              </w:rPr>
              <w:t>—</w:t>
              <w:tab/>
              <w:t>(1,180)</w:t>
            </w:r>
          </w:p>
        </w:tc>
        <w:tc>
          <w:tcPr>
            <w:tcW w:w="830" w:type="dxa"/>
            <w:tcBorders>
              <w:top w:val="single" w:sz="4" w:space="0" w:color="231F20"/>
            </w:tcBorders>
            <w:shd w:val="clear" w:color="auto" w:fill="D1D3D4"/>
          </w:tcPr>
          <w:p>
            <w:pPr>
              <w:pStyle w:val="TableParagraph"/>
              <w:spacing w:before="52"/>
              <w:jc w:val="right"/>
              <w:rPr>
                <w:sz w:val="18"/>
              </w:rPr>
            </w:pPr>
            <w:r>
              <w:rPr>
                <w:color w:val="231F20"/>
                <w:sz w:val="18"/>
              </w:rPr>
              <w:t>(1,180)</w:t>
            </w:r>
          </w:p>
        </w:tc>
      </w:tr>
      <w:tr>
        <w:trPr>
          <w:trHeight w:val="500" w:hRule="exact"/>
        </w:trPr>
        <w:tc>
          <w:tcPr>
            <w:tcW w:w="4499" w:type="dxa"/>
          </w:tcPr>
          <w:p>
            <w:pPr>
              <w:pStyle w:val="TableParagraph"/>
              <w:spacing w:before="52"/>
              <w:ind w:left="420"/>
              <w:rPr>
                <w:sz w:val="18"/>
              </w:rPr>
            </w:pPr>
            <w:r>
              <w:rPr>
                <w:color w:val="231F20"/>
                <w:sz w:val="18"/>
              </w:rPr>
              <w:t>Issuance of common and treasury stock</w:t>
            </w:r>
          </w:p>
          <w:p>
            <w:pPr>
              <w:pStyle w:val="TableParagraph"/>
              <w:tabs>
                <w:tab w:pos="4258" w:val="left" w:leader="none"/>
              </w:tabs>
              <w:spacing w:before="13"/>
              <w:ind w:left="420"/>
              <w:rPr>
                <w:sz w:val="18"/>
              </w:rPr>
            </w:pPr>
            <w:r>
              <w:rPr>
                <w:color w:val="231F20"/>
                <w:sz w:val="18"/>
              </w:rPr>
              <w:t>pursuant to Employee</w:t>
            </w:r>
            <w:r>
              <w:rPr>
                <w:color w:val="231F20"/>
                <w:spacing w:val="-1"/>
                <w:sz w:val="18"/>
              </w:rPr>
              <w:t> </w:t>
            </w:r>
            <w:r>
              <w:rPr>
                <w:color w:val="231F20"/>
                <w:sz w:val="18"/>
              </w:rPr>
              <w:t>stock plans</w:t>
              <w:tab/>
              <w:t>—</w:t>
            </w:r>
          </w:p>
        </w:tc>
        <w:tc>
          <w:tcPr>
            <w:tcW w:w="920" w:type="dxa"/>
          </w:tcPr>
          <w:p>
            <w:pPr>
              <w:pStyle w:val="TableParagraph"/>
              <w:spacing w:before="7"/>
              <w:rPr>
                <w:b/>
                <w:sz w:val="23"/>
              </w:rPr>
            </w:pPr>
          </w:p>
          <w:p>
            <w:pPr>
              <w:pStyle w:val="TableParagraph"/>
              <w:spacing w:before="0"/>
              <w:ind w:right="97"/>
              <w:jc w:val="right"/>
              <w:rPr>
                <w:sz w:val="18"/>
              </w:rPr>
            </w:pPr>
            <w:r>
              <w:rPr>
                <w:color w:val="231F20"/>
                <w:sz w:val="18"/>
              </w:rPr>
              <w:t>6</w:t>
            </w:r>
          </w:p>
        </w:tc>
        <w:tc>
          <w:tcPr>
            <w:tcW w:w="880" w:type="dxa"/>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24</w:t>
            </w:r>
          </w:p>
        </w:tc>
        <w:tc>
          <w:tcPr>
            <w:tcW w:w="830" w:type="dxa"/>
          </w:tcPr>
          <w:p>
            <w:pPr>
              <w:pStyle w:val="TableParagraph"/>
              <w:spacing w:before="7"/>
              <w:rPr>
                <w:b/>
                <w:sz w:val="23"/>
              </w:rPr>
            </w:pPr>
          </w:p>
          <w:p>
            <w:pPr>
              <w:pStyle w:val="TableParagraph"/>
              <w:spacing w:before="0"/>
              <w:ind w:right="59"/>
              <w:jc w:val="right"/>
              <w:rPr>
                <w:sz w:val="18"/>
              </w:rPr>
            </w:pPr>
            <w:r>
              <w:rPr>
                <w:color w:val="231F20"/>
                <w:sz w:val="18"/>
              </w:rPr>
              <w:t>30</w:t>
            </w:r>
          </w:p>
        </w:tc>
      </w:tr>
      <w:tr>
        <w:trPr>
          <w:trHeight w:val="500" w:hRule="exact"/>
        </w:trPr>
        <w:tc>
          <w:tcPr>
            <w:tcW w:w="4499" w:type="dxa"/>
            <w:shd w:val="clear" w:color="auto" w:fill="D1D3D4"/>
          </w:tcPr>
          <w:p>
            <w:pPr>
              <w:pStyle w:val="TableParagraph"/>
              <w:spacing w:before="52"/>
              <w:ind w:left="420"/>
              <w:rPr>
                <w:sz w:val="18"/>
              </w:rPr>
            </w:pPr>
            <w:r>
              <w:rPr>
                <w:color w:val="231F20"/>
                <w:sz w:val="18"/>
              </w:rPr>
              <w:t>Net tax benefit (expense) of options</w:t>
            </w:r>
          </w:p>
          <w:p>
            <w:pPr>
              <w:pStyle w:val="TableParagraph"/>
              <w:tabs>
                <w:tab w:pos="4258" w:val="left" w:leader="none"/>
              </w:tabs>
              <w:spacing w:before="13"/>
              <w:ind w:left="420"/>
              <w:rPr>
                <w:sz w:val="18"/>
              </w:rPr>
            </w:pPr>
            <w:r>
              <w:rPr>
                <w:color w:val="231F20"/>
                <w:sz w:val="18"/>
              </w:rPr>
              <w:t>exercised</w:t>
              <w:tab/>
              <w:t>—</w:t>
            </w:r>
          </w:p>
        </w:tc>
        <w:tc>
          <w:tcPr>
            <w:tcW w:w="92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24</w:t>
            </w:r>
          </w:p>
        </w:tc>
        <w:tc>
          <w:tcPr>
            <w:tcW w:w="88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shd w:val="clear" w:color="auto" w:fill="D1D3D4"/>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w:t>
            </w:r>
          </w:p>
        </w:tc>
        <w:tc>
          <w:tcPr>
            <w:tcW w:w="830" w:type="dxa"/>
            <w:shd w:val="clear" w:color="auto" w:fill="D1D3D4"/>
          </w:tcPr>
          <w:p>
            <w:pPr>
              <w:pStyle w:val="TableParagraph"/>
              <w:spacing w:before="7"/>
              <w:rPr>
                <w:b/>
                <w:sz w:val="23"/>
              </w:rPr>
            </w:pPr>
          </w:p>
          <w:p>
            <w:pPr>
              <w:pStyle w:val="TableParagraph"/>
              <w:spacing w:before="0"/>
              <w:ind w:right="59"/>
              <w:jc w:val="right"/>
              <w:rPr>
                <w:sz w:val="18"/>
              </w:rPr>
            </w:pPr>
            <w:r>
              <w:rPr>
                <w:color w:val="231F20"/>
                <w:sz w:val="18"/>
              </w:rPr>
              <w:t>24</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Share-based compensation</w:t>
              <w:tab/>
            </w:r>
            <w:r>
              <w:rPr>
                <w:color w:val="231F20"/>
                <w:spacing w:val="-1"/>
                <w:sz w:val="18"/>
              </w:rPr>
              <w:t>—</w:t>
            </w:r>
          </w:p>
        </w:tc>
        <w:tc>
          <w:tcPr>
            <w:tcW w:w="920" w:type="dxa"/>
          </w:tcPr>
          <w:p>
            <w:pPr>
              <w:pStyle w:val="TableParagraph"/>
              <w:spacing w:before="52"/>
              <w:ind w:right="97"/>
              <w:jc w:val="right"/>
              <w:rPr>
                <w:sz w:val="18"/>
              </w:rPr>
            </w:pPr>
            <w:r>
              <w:rPr>
                <w:color w:val="231F20"/>
                <w:sz w:val="18"/>
              </w:rPr>
              <w:t>29</w:t>
            </w:r>
          </w:p>
        </w:tc>
        <w:tc>
          <w:tcPr>
            <w:tcW w:w="880" w:type="dxa"/>
          </w:tcPr>
          <w:p>
            <w:pPr>
              <w:pStyle w:val="TableParagraph"/>
              <w:spacing w:before="52"/>
              <w:ind w:right="97"/>
              <w:jc w:val="right"/>
              <w:rPr>
                <w:sz w:val="18"/>
              </w:rPr>
            </w:pPr>
            <w:r>
              <w:rPr>
                <w:color w:val="231F20"/>
                <w:sz w:val="18"/>
              </w:rPr>
              <w:t>—</w:t>
            </w:r>
          </w:p>
        </w:tc>
        <w:tc>
          <w:tcPr>
            <w:tcW w:w="1991" w:type="dxa"/>
          </w:tcPr>
          <w:p>
            <w:pPr>
              <w:pStyle w:val="TableParagraph"/>
              <w:tabs>
                <w:tab w:pos="879" w:val="left" w:leader="none"/>
              </w:tabs>
              <w:spacing w:before="52"/>
              <w:ind w:right="107"/>
              <w:jc w:val="right"/>
              <w:rPr>
                <w:sz w:val="18"/>
              </w:rPr>
            </w:pPr>
            <w:r>
              <w:rPr>
                <w:color w:val="231F20"/>
                <w:sz w:val="18"/>
              </w:rPr>
              <w:t>—</w:t>
              <w:tab/>
              <w:t>—</w:t>
            </w:r>
          </w:p>
        </w:tc>
        <w:tc>
          <w:tcPr>
            <w:tcW w:w="830" w:type="dxa"/>
          </w:tcPr>
          <w:p>
            <w:pPr>
              <w:pStyle w:val="TableParagraph"/>
              <w:spacing w:before="52"/>
              <w:ind w:right="58"/>
              <w:jc w:val="right"/>
              <w:rPr>
                <w:sz w:val="18"/>
              </w:rPr>
            </w:pPr>
            <w:r>
              <w:rPr>
                <w:color w:val="231F20"/>
                <w:sz w:val="18"/>
              </w:rPr>
              <w:t>29</w:t>
            </w:r>
          </w:p>
        </w:tc>
      </w:tr>
      <w:tr>
        <w:trPr>
          <w:trHeight w:val="280"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Cash dividends, $.2850</w:t>
            </w:r>
            <w:r>
              <w:rPr>
                <w:color w:val="231F20"/>
                <w:spacing w:val="-1"/>
                <w:sz w:val="18"/>
              </w:rPr>
              <w:t> </w:t>
            </w:r>
            <w:r>
              <w:rPr>
                <w:color w:val="231F20"/>
                <w:sz w:val="18"/>
              </w:rPr>
              <w:t>per share</w:t>
              <w:tab/>
              <w:t>—</w:t>
            </w:r>
          </w:p>
        </w:tc>
        <w:tc>
          <w:tcPr>
            <w:tcW w:w="920" w:type="dxa"/>
            <w:shd w:val="clear" w:color="auto" w:fill="D1D3D4"/>
          </w:tcPr>
          <w:p>
            <w:pPr>
              <w:pStyle w:val="TableParagraph"/>
              <w:spacing w:before="52"/>
              <w:ind w:right="97"/>
              <w:jc w:val="right"/>
              <w:rPr>
                <w:sz w:val="18"/>
              </w:rPr>
            </w:pPr>
            <w:r>
              <w:rPr>
                <w:color w:val="231F20"/>
                <w:sz w:val="18"/>
              </w:rPr>
              <w:t>—</w:t>
            </w:r>
          </w:p>
        </w:tc>
        <w:tc>
          <w:tcPr>
            <w:tcW w:w="880" w:type="dxa"/>
            <w:shd w:val="clear" w:color="auto" w:fill="D1D3D4"/>
          </w:tcPr>
          <w:p>
            <w:pPr>
              <w:pStyle w:val="TableParagraph"/>
              <w:spacing w:before="52"/>
              <w:ind w:right="38"/>
              <w:jc w:val="right"/>
              <w:rPr>
                <w:sz w:val="18"/>
              </w:rPr>
            </w:pPr>
            <w:r>
              <w:rPr>
                <w:color w:val="231F20"/>
                <w:sz w:val="18"/>
              </w:rPr>
              <w:t>(188)</w:t>
            </w:r>
          </w:p>
        </w:tc>
        <w:tc>
          <w:tcPr>
            <w:tcW w:w="1991" w:type="dxa"/>
            <w:shd w:val="clear" w:color="auto" w:fill="D1D3D4"/>
          </w:tcPr>
          <w:p>
            <w:pPr>
              <w:pStyle w:val="TableParagraph"/>
              <w:tabs>
                <w:tab w:pos="879" w:val="left" w:leader="none"/>
              </w:tabs>
              <w:spacing w:before="52"/>
              <w:ind w:right="107"/>
              <w:jc w:val="right"/>
              <w:rPr>
                <w:sz w:val="18"/>
              </w:rPr>
            </w:pPr>
            <w:r>
              <w:rPr>
                <w:color w:val="231F20"/>
                <w:sz w:val="18"/>
              </w:rPr>
              <w:t>—</w:t>
              <w:tab/>
              <w:t>—</w:t>
            </w:r>
          </w:p>
        </w:tc>
        <w:tc>
          <w:tcPr>
            <w:tcW w:w="830" w:type="dxa"/>
            <w:shd w:val="clear" w:color="auto" w:fill="D1D3D4"/>
          </w:tcPr>
          <w:p>
            <w:pPr>
              <w:pStyle w:val="TableParagraph"/>
              <w:spacing w:before="52"/>
              <w:jc w:val="right"/>
              <w:rPr>
                <w:sz w:val="18"/>
              </w:rPr>
            </w:pPr>
            <w:r>
              <w:rPr>
                <w:color w:val="231F20"/>
                <w:sz w:val="18"/>
              </w:rPr>
              <w:t>(188)</w:t>
            </w:r>
          </w:p>
        </w:tc>
      </w:tr>
      <w:tr>
        <w:trPr>
          <w:trHeight w:val="295" w:hRule="exact"/>
        </w:trPr>
        <w:tc>
          <w:tcPr>
            <w:tcW w:w="4499" w:type="dxa"/>
          </w:tcPr>
          <w:p>
            <w:pPr>
              <w:pStyle w:val="TableParagraph"/>
              <w:tabs>
                <w:tab w:pos="3838" w:val="left" w:leader="none"/>
              </w:tabs>
              <w:spacing w:before="52"/>
              <w:ind w:right="58"/>
              <w:jc w:val="right"/>
              <w:rPr>
                <w:sz w:val="18"/>
              </w:rPr>
            </w:pPr>
            <w:r>
              <w:rPr>
                <w:color w:val="231F20"/>
                <w:sz w:val="18"/>
              </w:rPr>
              <w:t>Comprehensive income</w:t>
              <w:tab/>
              <w:t>—</w:t>
            </w:r>
          </w:p>
        </w:tc>
        <w:tc>
          <w:tcPr>
            <w:tcW w:w="920" w:type="dxa"/>
            <w:tcBorders>
              <w:bottom w:val="single" w:sz="4" w:space="0" w:color="231F20"/>
            </w:tcBorders>
          </w:tcPr>
          <w:p>
            <w:pPr>
              <w:pStyle w:val="TableParagraph"/>
              <w:spacing w:before="52"/>
              <w:ind w:right="97"/>
              <w:jc w:val="right"/>
              <w:rPr>
                <w:sz w:val="18"/>
              </w:rPr>
            </w:pPr>
            <w:r>
              <w:rPr>
                <w:color w:val="231F20"/>
                <w:sz w:val="18"/>
              </w:rPr>
              <w:t>—</w:t>
            </w:r>
          </w:p>
        </w:tc>
        <w:tc>
          <w:tcPr>
            <w:tcW w:w="880" w:type="dxa"/>
            <w:tcBorders>
              <w:bottom w:val="single" w:sz="4" w:space="0" w:color="231F20"/>
            </w:tcBorders>
          </w:tcPr>
          <w:p>
            <w:pPr>
              <w:pStyle w:val="TableParagraph"/>
              <w:spacing w:before="52"/>
              <w:ind w:right="97"/>
              <w:jc w:val="right"/>
              <w:rPr>
                <w:sz w:val="18"/>
              </w:rPr>
            </w:pPr>
            <w:r>
              <w:rPr>
                <w:color w:val="231F20"/>
                <w:sz w:val="18"/>
              </w:rPr>
              <w:t>2,181</w:t>
            </w:r>
          </w:p>
        </w:tc>
        <w:tc>
          <w:tcPr>
            <w:tcW w:w="1991" w:type="dxa"/>
            <w:tcBorders>
              <w:bottom w:val="single" w:sz="4" w:space="0" w:color="231F20"/>
            </w:tcBorders>
          </w:tcPr>
          <w:p>
            <w:pPr>
              <w:pStyle w:val="TableParagraph"/>
              <w:tabs>
                <w:tab w:pos="1029" w:val="left" w:leader="none"/>
              </w:tabs>
              <w:spacing w:before="52"/>
              <w:ind w:right="107"/>
              <w:jc w:val="right"/>
              <w:rPr>
                <w:sz w:val="18"/>
              </w:rPr>
            </w:pPr>
            <w:r>
              <w:rPr>
                <w:color w:val="231F20"/>
                <w:sz w:val="18"/>
              </w:rPr>
              <w:t>(313)</w:t>
              <w:tab/>
            </w:r>
            <w:r>
              <w:rPr>
                <w:color w:val="231F20"/>
                <w:spacing w:val="-1"/>
                <w:sz w:val="18"/>
              </w:rPr>
              <w:t>—</w:t>
            </w:r>
          </w:p>
        </w:tc>
        <w:tc>
          <w:tcPr>
            <w:tcW w:w="830" w:type="dxa"/>
            <w:tcBorders>
              <w:bottom w:val="single" w:sz="4" w:space="0" w:color="231F20"/>
            </w:tcBorders>
          </w:tcPr>
          <w:p>
            <w:pPr>
              <w:pStyle w:val="TableParagraph"/>
              <w:spacing w:before="52"/>
              <w:ind w:left="365"/>
              <w:rPr>
                <w:sz w:val="18"/>
              </w:rPr>
            </w:pPr>
            <w:r>
              <w:rPr>
                <w:color w:val="231F20"/>
                <w:sz w:val="18"/>
              </w:rPr>
              <w:t>1,868</w:t>
            </w:r>
          </w:p>
        </w:tc>
      </w:tr>
      <w:tr>
        <w:trPr>
          <w:trHeight w:val="300" w:hRule="exact"/>
        </w:trPr>
        <w:tc>
          <w:tcPr>
            <w:tcW w:w="4499" w:type="dxa"/>
            <w:shd w:val="clear" w:color="auto" w:fill="D1D3D4"/>
          </w:tcPr>
          <w:p>
            <w:pPr>
              <w:pStyle w:val="TableParagraph"/>
              <w:tabs>
                <w:tab w:pos="3658" w:val="left" w:leader="none"/>
                <w:tab w:pos="4108" w:val="left" w:leader="none"/>
              </w:tabs>
              <w:spacing w:before="57"/>
              <w:ind w:right="58"/>
              <w:jc w:val="right"/>
              <w:rPr>
                <w:sz w:val="18"/>
              </w:rPr>
            </w:pPr>
            <w:r>
              <w:rPr>
                <w:color w:val="231F20"/>
                <w:sz w:val="18"/>
              </w:rPr>
              <w:t>Balance at December 31, 2015</w:t>
              <w:tab/>
              <w:t>$</w:t>
              <w:tab/>
              <w:t>808</w:t>
            </w:r>
          </w:p>
        </w:tc>
        <w:tc>
          <w:tcPr>
            <w:tcW w:w="920" w:type="dxa"/>
            <w:tcBorders>
              <w:top w:val="single" w:sz="4" w:space="0" w:color="231F20"/>
              <w:bottom w:val="single" w:sz="4" w:space="0" w:color="231F20"/>
            </w:tcBorders>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1,374</w:t>
            </w:r>
          </w:p>
        </w:tc>
        <w:tc>
          <w:tcPr>
            <w:tcW w:w="880" w:type="dxa"/>
            <w:tcBorders>
              <w:top w:val="single" w:sz="4" w:space="0" w:color="231F20"/>
              <w:bottom w:val="single" w:sz="4" w:space="0" w:color="231F20"/>
            </w:tcBorders>
            <w:shd w:val="clear" w:color="auto" w:fill="D1D3D4"/>
          </w:tcPr>
          <w:p>
            <w:pPr>
              <w:pStyle w:val="TableParagraph"/>
              <w:tabs>
                <w:tab w:pos="334" w:val="left" w:leader="none"/>
              </w:tabs>
              <w:spacing w:before="52"/>
              <w:ind w:right="97"/>
              <w:jc w:val="right"/>
              <w:rPr>
                <w:sz w:val="18"/>
              </w:rPr>
            </w:pPr>
            <w:r>
              <w:rPr>
                <w:color w:val="231F20"/>
                <w:sz w:val="18"/>
              </w:rPr>
              <w:t>$</w:t>
              <w:tab/>
            </w:r>
            <w:r>
              <w:rPr>
                <w:color w:val="231F20"/>
                <w:spacing w:val="-1"/>
                <w:sz w:val="18"/>
              </w:rPr>
              <w:t>9,409</w:t>
            </w:r>
          </w:p>
        </w:tc>
        <w:tc>
          <w:tcPr>
            <w:tcW w:w="1991" w:type="dxa"/>
            <w:tcBorders>
              <w:top w:val="single" w:sz="4" w:space="0" w:color="231F20"/>
              <w:bottom w:val="single" w:sz="4" w:space="0" w:color="231F20"/>
            </w:tcBorders>
            <w:shd w:val="clear" w:color="auto" w:fill="D1D3D4"/>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495" w:val="left" w:leader="none"/>
              </w:tabs>
              <w:spacing w:before="32"/>
              <w:ind w:right="48"/>
              <w:jc w:val="right"/>
              <w:rPr>
                <w:sz w:val="18"/>
              </w:rPr>
            </w:pPr>
            <w:r>
              <w:rPr>
                <w:color w:val="231F20"/>
                <w:sz w:val="18"/>
              </w:rPr>
              <w:t>$</w:t>
              <w:tab/>
              <w:t>(1,051)  $  </w:t>
            </w:r>
            <w:r>
              <w:rPr>
                <w:color w:val="231F20"/>
                <w:spacing w:val="40"/>
                <w:sz w:val="18"/>
              </w:rPr>
              <w:t> </w:t>
            </w:r>
            <w:r>
              <w:rPr>
                <w:color w:val="231F20"/>
                <w:sz w:val="18"/>
              </w:rPr>
              <w:t>(3,182)</w:t>
            </w:r>
          </w:p>
        </w:tc>
        <w:tc>
          <w:tcPr>
            <w:tcW w:w="830" w:type="dxa"/>
            <w:tcBorders>
              <w:top w:val="single" w:sz="4" w:space="0" w:color="231F20"/>
              <w:bottom w:val="single" w:sz="4" w:space="0" w:color="231F20"/>
            </w:tcBorders>
            <w:shd w:val="clear" w:color="auto" w:fill="D1D3D4"/>
          </w:tcPr>
          <w:p>
            <w:pPr>
              <w:pStyle w:val="TableParagraph"/>
              <w:tabs>
                <w:tab w:pos="314" w:val="left" w:leader="none"/>
              </w:tabs>
              <w:spacing w:before="52"/>
              <w:ind w:right="59"/>
              <w:jc w:val="right"/>
              <w:rPr>
                <w:sz w:val="18"/>
              </w:rPr>
            </w:pPr>
            <w:r>
              <w:rPr>
                <w:color w:val="231F20"/>
                <w:sz w:val="18"/>
              </w:rPr>
              <w:t>$</w:t>
              <w:tab/>
            </w:r>
            <w:r>
              <w:rPr>
                <w:color w:val="231F20"/>
                <w:spacing w:val="-1"/>
                <w:sz w:val="18"/>
              </w:rPr>
              <w:t>7,358</w:t>
            </w:r>
          </w:p>
        </w:tc>
      </w:tr>
      <w:tr>
        <w:trPr>
          <w:trHeight w:val="285" w:hRule="exact"/>
        </w:trPr>
        <w:tc>
          <w:tcPr>
            <w:tcW w:w="4499" w:type="dxa"/>
          </w:tcPr>
          <w:p>
            <w:pPr>
              <w:pStyle w:val="TableParagraph"/>
              <w:tabs>
                <w:tab w:pos="3838" w:val="left" w:leader="none"/>
              </w:tabs>
              <w:spacing w:before="57"/>
              <w:ind w:right="58"/>
              <w:jc w:val="right"/>
              <w:rPr>
                <w:sz w:val="18"/>
              </w:rPr>
            </w:pPr>
            <w:r>
              <w:rPr>
                <w:color w:val="231F20"/>
                <w:sz w:val="18"/>
              </w:rPr>
              <w:t>Repurchase of common stock</w:t>
              <w:tab/>
              <w:t>—</w:t>
            </w:r>
          </w:p>
        </w:tc>
        <w:tc>
          <w:tcPr>
            <w:tcW w:w="920" w:type="dxa"/>
            <w:tcBorders>
              <w:top w:val="single" w:sz="4" w:space="0" w:color="231F20"/>
            </w:tcBorders>
          </w:tcPr>
          <w:p>
            <w:pPr>
              <w:pStyle w:val="TableParagraph"/>
              <w:spacing w:before="52"/>
              <w:ind w:right="97"/>
              <w:jc w:val="right"/>
              <w:rPr>
                <w:sz w:val="18"/>
              </w:rPr>
            </w:pPr>
            <w:r>
              <w:rPr>
                <w:color w:val="231F20"/>
                <w:sz w:val="18"/>
              </w:rPr>
              <w:t>—</w:t>
            </w:r>
          </w:p>
        </w:tc>
        <w:tc>
          <w:tcPr>
            <w:tcW w:w="880" w:type="dxa"/>
            <w:tcBorders>
              <w:top w:val="single" w:sz="4" w:space="0" w:color="231F20"/>
            </w:tcBorders>
          </w:tcPr>
          <w:p>
            <w:pPr>
              <w:pStyle w:val="TableParagraph"/>
              <w:spacing w:before="52"/>
              <w:ind w:right="97"/>
              <w:jc w:val="right"/>
              <w:rPr>
                <w:sz w:val="18"/>
              </w:rPr>
            </w:pPr>
            <w:r>
              <w:rPr>
                <w:color w:val="231F20"/>
                <w:sz w:val="18"/>
              </w:rPr>
              <w:t>—</w:t>
            </w:r>
          </w:p>
        </w:tc>
        <w:tc>
          <w:tcPr>
            <w:tcW w:w="1991" w:type="dxa"/>
            <w:tcBorders>
              <w:top w:val="single" w:sz="4" w:space="0" w:color="231F20"/>
            </w:tcBorders>
          </w:tcPr>
          <w:p>
            <w:pPr>
              <w:pStyle w:val="TableParagraph"/>
              <w:spacing w:line="20" w:lineRule="exact" w:before="0"/>
              <w:ind w:left="35"/>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pStyle w:val="TableParagraph"/>
              <w:tabs>
                <w:tab w:pos="594" w:val="left" w:leader="none"/>
              </w:tabs>
              <w:spacing w:before="32"/>
              <w:ind w:right="48"/>
              <w:jc w:val="right"/>
              <w:rPr>
                <w:sz w:val="18"/>
              </w:rPr>
            </w:pPr>
            <w:r>
              <w:rPr>
                <w:color w:val="231F20"/>
                <w:sz w:val="18"/>
              </w:rPr>
              <w:t>—</w:t>
              <w:tab/>
              <w:t>(1,750)</w:t>
            </w:r>
          </w:p>
        </w:tc>
        <w:tc>
          <w:tcPr>
            <w:tcW w:w="830" w:type="dxa"/>
            <w:tcBorders>
              <w:top w:val="single" w:sz="4" w:space="0" w:color="231F20"/>
            </w:tcBorders>
          </w:tcPr>
          <w:p>
            <w:pPr>
              <w:pStyle w:val="TableParagraph"/>
              <w:spacing w:before="52"/>
              <w:jc w:val="right"/>
              <w:rPr>
                <w:sz w:val="18"/>
              </w:rPr>
            </w:pPr>
            <w:r>
              <w:rPr>
                <w:color w:val="231F20"/>
                <w:sz w:val="18"/>
              </w:rPr>
              <w:t>(1,750)</w:t>
            </w:r>
          </w:p>
        </w:tc>
      </w:tr>
      <w:tr>
        <w:trPr>
          <w:trHeight w:val="500" w:hRule="exact"/>
        </w:trPr>
        <w:tc>
          <w:tcPr>
            <w:tcW w:w="4499" w:type="dxa"/>
            <w:shd w:val="clear" w:color="auto" w:fill="D1D3D4"/>
          </w:tcPr>
          <w:p>
            <w:pPr>
              <w:pStyle w:val="TableParagraph"/>
              <w:spacing w:before="52"/>
              <w:ind w:left="420"/>
              <w:rPr>
                <w:sz w:val="18"/>
              </w:rPr>
            </w:pPr>
            <w:r>
              <w:rPr>
                <w:color w:val="231F20"/>
                <w:sz w:val="18"/>
              </w:rPr>
              <w:t>Issuance of common and treasury stock</w:t>
            </w:r>
          </w:p>
          <w:p>
            <w:pPr>
              <w:pStyle w:val="TableParagraph"/>
              <w:tabs>
                <w:tab w:pos="4258" w:val="left" w:leader="none"/>
              </w:tabs>
              <w:spacing w:before="13"/>
              <w:ind w:left="420"/>
              <w:rPr>
                <w:sz w:val="18"/>
              </w:rPr>
            </w:pPr>
            <w:r>
              <w:rPr>
                <w:color w:val="231F20"/>
                <w:sz w:val="18"/>
              </w:rPr>
              <w:t>pursuant to Employee</w:t>
            </w:r>
            <w:r>
              <w:rPr>
                <w:color w:val="231F20"/>
                <w:spacing w:val="-1"/>
                <w:sz w:val="18"/>
              </w:rPr>
              <w:t> </w:t>
            </w:r>
            <w:r>
              <w:rPr>
                <w:color w:val="231F20"/>
                <w:sz w:val="18"/>
              </w:rPr>
              <w:t>stock plans</w:t>
              <w:tab/>
              <w:t>—</w:t>
            </w:r>
          </w:p>
        </w:tc>
        <w:tc>
          <w:tcPr>
            <w:tcW w:w="92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8</w:t>
            </w:r>
          </w:p>
        </w:tc>
        <w:tc>
          <w:tcPr>
            <w:tcW w:w="880" w:type="dxa"/>
            <w:shd w:val="clear" w:color="auto" w:fill="D1D3D4"/>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shd w:val="clear" w:color="auto" w:fill="D1D3D4"/>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12</w:t>
            </w:r>
          </w:p>
        </w:tc>
        <w:tc>
          <w:tcPr>
            <w:tcW w:w="830" w:type="dxa"/>
            <w:shd w:val="clear" w:color="auto" w:fill="D1D3D4"/>
          </w:tcPr>
          <w:p>
            <w:pPr>
              <w:pStyle w:val="TableParagraph"/>
              <w:spacing w:before="7"/>
              <w:rPr>
                <w:b/>
                <w:sz w:val="23"/>
              </w:rPr>
            </w:pPr>
          </w:p>
          <w:p>
            <w:pPr>
              <w:pStyle w:val="TableParagraph"/>
              <w:spacing w:before="0"/>
              <w:ind w:right="59"/>
              <w:jc w:val="right"/>
              <w:rPr>
                <w:sz w:val="18"/>
              </w:rPr>
            </w:pPr>
            <w:r>
              <w:rPr>
                <w:color w:val="231F20"/>
                <w:sz w:val="18"/>
              </w:rPr>
              <w:t>20</w:t>
            </w:r>
          </w:p>
        </w:tc>
      </w:tr>
      <w:tr>
        <w:trPr>
          <w:trHeight w:val="500" w:hRule="exact"/>
        </w:trPr>
        <w:tc>
          <w:tcPr>
            <w:tcW w:w="4499" w:type="dxa"/>
          </w:tcPr>
          <w:p>
            <w:pPr>
              <w:pStyle w:val="TableParagraph"/>
              <w:spacing w:before="52"/>
              <w:ind w:left="420"/>
              <w:rPr>
                <w:sz w:val="18"/>
              </w:rPr>
            </w:pPr>
            <w:r>
              <w:rPr>
                <w:color w:val="231F20"/>
                <w:sz w:val="18"/>
              </w:rPr>
              <w:t>Conversion of 5.25% senior notes to</w:t>
            </w:r>
          </w:p>
          <w:p>
            <w:pPr>
              <w:pStyle w:val="TableParagraph"/>
              <w:tabs>
                <w:tab w:pos="4258" w:val="left" w:leader="none"/>
              </w:tabs>
              <w:spacing w:before="13"/>
              <w:ind w:left="420"/>
              <w:rPr>
                <w:sz w:val="18"/>
              </w:rPr>
            </w:pPr>
            <w:r>
              <w:rPr>
                <w:color w:val="231F20"/>
                <w:sz w:val="18"/>
              </w:rPr>
              <w:t>common stock</w:t>
              <w:tab/>
              <w:t>—</w:t>
            </w:r>
          </w:p>
        </w:tc>
        <w:tc>
          <w:tcPr>
            <w:tcW w:w="920" w:type="dxa"/>
          </w:tcPr>
          <w:p>
            <w:pPr>
              <w:pStyle w:val="TableParagraph"/>
              <w:spacing w:before="7"/>
              <w:rPr>
                <w:b/>
                <w:sz w:val="23"/>
              </w:rPr>
            </w:pPr>
          </w:p>
          <w:p>
            <w:pPr>
              <w:pStyle w:val="TableParagraph"/>
              <w:spacing w:before="0"/>
              <w:ind w:right="38"/>
              <w:jc w:val="right"/>
              <w:rPr>
                <w:sz w:val="18"/>
              </w:rPr>
            </w:pPr>
            <w:r>
              <w:rPr>
                <w:color w:val="231F20"/>
                <w:sz w:val="18"/>
              </w:rPr>
              <w:t>(5)</w:t>
            </w:r>
          </w:p>
        </w:tc>
        <w:tc>
          <w:tcPr>
            <w:tcW w:w="880" w:type="dxa"/>
          </w:tcPr>
          <w:p>
            <w:pPr>
              <w:pStyle w:val="TableParagraph"/>
              <w:spacing w:before="7"/>
              <w:rPr>
                <w:b/>
                <w:sz w:val="23"/>
              </w:rPr>
            </w:pPr>
          </w:p>
          <w:p>
            <w:pPr>
              <w:pStyle w:val="TableParagraph"/>
              <w:spacing w:before="0"/>
              <w:ind w:right="97"/>
              <w:jc w:val="right"/>
              <w:rPr>
                <w:sz w:val="18"/>
              </w:rPr>
            </w:pPr>
            <w:r>
              <w:rPr>
                <w:color w:val="231F20"/>
                <w:sz w:val="18"/>
              </w:rPr>
              <w:t>—</w:t>
            </w:r>
          </w:p>
        </w:tc>
        <w:tc>
          <w:tcPr>
            <w:tcW w:w="1991" w:type="dxa"/>
          </w:tcPr>
          <w:p>
            <w:pPr>
              <w:pStyle w:val="TableParagraph"/>
              <w:spacing w:before="7"/>
              <w:rPr>
                <w:b/>
                <w:sz w:val="23"/>
              </w:rPr>
            </w:pPr>
          </w:p>
          <w:p>
            <w:pPr>
              <w:pStyle w:val="TableParagraph"/>
              <w:tabs>
                <w:tab w:pos="879" w:val="left" w:leader="none"/>
              </w:tabs>
              <w:spacing w:before="0"/>
              <w:ind w:right="107"/>
              <w:jc w:val="right"/>
              <w:rPr>
                <w:sz w:val="18"/>
              </w:rPr>
            </w:pPr>
            <w:r>
              <w:rPr>
                <w:color w:val="231F20"/>
                <w:sz w:val="18"/>
              </w:rPr>
              <w:t>—</w:t>
              <w:tab/>
              <w:t>48</w:t>
            </w:r>
          </w:p>
        </w:tc>
        <w:tc>
          <w:tcPr>
            <w:tcW w:w="830" w:type="dxa"/>
          </w:tcPr>
          <w:p>
            <w:pPr>
              <w:pStyle w:val="TableParagraph"/>
              <w:spacing w:before="7"/>
              <w:rPr>
                <w:b/>
                <w:sz w:val="23"/>
              </w:rPr>
            </w:pPr>
          </w:p>
          <w:p>
            <w:pPr>
              <w:pStyle w:val="TableParagraph"/>
              <w:spacing w:before="0"/>
              <w:ind w:right="59"/>
              <w:jc w:val="right"/>
              <w:rPr>
                <w:sz w:val="18"/>
              </w:rPr>
            </w:pPr>
            <w:r>
              <w:rPr>
                <w:color w:val="231F20"/>
                <w:sz w:val="18"/>
              </w:rPr>
              <w:t>43</w:t>
            </w:r>
          </w:p>
        </w:tc>
      </w:tr>
      <w:tr>
        <w:trPr>
          <w:trHeight w:val="280"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Share-based compensation</w:t>
              <w:tab/>
            </w:r>
            <w:r>
              <w:rPr>
                <w:color w:val="231F20"/>
                <w:spacing w:val="-1"/>
                <w:sz w:val="18"/>
              </w:rPr>
              <w:t>—</w:t>
            </w:r>
          </w:p>
        </w:tc>
        <w:tc>
          <w:tcPr>
            <w:tcW w:w="920" w:type="dxa"/>
            <w:shd w:val="clear" w:color="auto" w:fill="D1D3D4"/>
          </w:tcPr>
          <w:p>
            <w:pPr>
              <w:pStyle w:val="TableParagraph"/>
              <w:spacing w:before="52"/>
              <w:ind w:right="97"/>
              <w:jc w:val="right"/>
              <w:rPr>
                <w:sz w:val="18"/>
              </w:rPr>
            </w:pPr>
            <w:r>
              <w:rPr>
                <w:color w:val="231F20"/>
                <w:sz w:val="18"/>
              </w:rPr>
              <w:t>33</w:t>
            </w:r>
          </w:p>
        </w:tc>
        <w:tc>
          <w:tcPr>
            <w:tcW w:w="880" w:type="dxa"/>
            <w:shd w:val="clear" w:color="auto" w:fill="D1D3D4"/>
          </w:tcPr>
          <w:p>
            <w:pPr>
              <w:pStyle w:val="TableParagraph"/>
              <w:spacing w:before="52"/>
              <w:ind w:right="97"/>
              <w:jc w:val="right"/>
              <w:rPr>
                <w:sz w:val="18"/>
              </w:rPr>
            </w:pPr>
            <w:r>
              <w:rPr>
                <w:color w:val="231F20"/>
                <w:sz w:val="18"/>
              </w:rPr>
              <w:t>—</w:t>
            </w:r>
          </w:p>
        </w:tc>
        <w:tc>
          <w:tcPr>
            <w:tcW w:w="1991" w:type="dxa"/>
            <w:shd w:val="clear" w:color="auto" w:fill="D1D3D4"/>
          </w:tcPr>
          <w:p>
            <w:pPr>
              <w:pStyle w:val="TableParagraph"/>
              <w:tabs>
                <w:tab w:pos="879" w:val="left" w:leader="none"/>
              </w:tabs>
              <w:spacing w:before="52"/>
              <w:ind w:right="107"/>
              <w:jc w:val="right"/>
              <w:rPr>
                <w:sz w:val="18"/>
              </w:rPr>
            </w:pPr>
            <w:r>
              <w:rPr>
                <w:color w:val="231F20"/>
                <w:sz w:val="18"/>
              </w:rPr>
              <w:t>—</w:t>
              <w:tab/>
              <w:t>—</w:t>
            </w:r>
          </w:p>
        </w:tc>
        <w:tc>
          <w:tcPr>
            <w:tcW w:w="830" w:type="dxa"/>
            <w:shd w:val="clear" w:color="auto" w:fill="D1D3D4"/>
          </w:tcPr>
          <w:p>
            <w:pPr>
              <w:pStyle w:val="TableParagraph"/>
              <w:spacing w:before="52"/>
              <w:ind w:right="58"/>
              <w:jc w:val="right"/>
              <w:rPr>
                <w:sz w:val="18"/>
              </w:rPr>
            </w:pPr>
            <w:r>
              <w:rPr>
                <w:color w:val="231F20"/>
                <w:sz w:val="18"/>
              </w:rPr>
              <w:t>33</w:t>
            </w:r>
          </w:p>
        </w:tc>
      </w:tr>
      <w:tr>
        <w:trPr>
          <w:trHeight w:val="280" w:hRule="exact"/>
        </w:trPr>
        <w:tc>
          <w:tcPr>
            <w:tcW w:w="4499" w:type="dxa"/>
          </w:tcPr>
          <w:p>
            <w:pPr>
              <w:pStyle w:val="TableParagraph"/>
              <w:tabs>
                <w:tab w:pos="3838" w:val="left" w:leader="none"/>
              </w:tabs>
              <w:spacing w:before="52"/>
              <w:ind w:right="58"/>
              <w:jc w:val="right"/>
              <w:rPr>
                <w:sz w:val="18"/>
              </w:rPr>
            </w:pPr>
            <w:r>
              <w:rPr>
                <w:color w:val="231F20"/>
                <w:sz w:val="18"/>
              </w:rPr>
              <w:t>Cash dividends, $.3750</w:t>
            </w:r>
            <w:r>
              <w:rPr>
                <w:color w:val="231F20"/>
                <w:spacing w:val="-1"/>
                <w:sz w:val="18"/>
              </w:rPr>
              <w:t> </w:t>
            </w:r>
            <w:r>
              <w:rPr>
                <w:color w:val="231F20"/>
                <w:sz w:val="18"/>
              </w:rPr>
              <w:t>per share</w:t>
              <w:tab/>
              <w:t>—</w:t>
            </w:r>
          </w:p>
        </w:tc>
        <w:tc>
          <w:tcPr>
            <w:tcW w:w="920" w:type="dxa"/>
          </w:tcPr>
          <w:p>
            <w:pPr>
              <w:pStyle w:val="TableParagraph"/>
              <w:spacing w:before="52"/>
              <w:ind w:right="97"/>
              <w:jc w:val="right"/>
              <w:rPr>
                <w:sz w:val="18"/>
              </w:rPr>
            </w:pPr>
            <w:r>
              <w:rPr>
                <w:color w:val="231F20"/>
                <w:sz w:val="18"/>
              </w:rPr>
              <w:t>—</w:t>
            </w:r>
          </w:p>
        </w:tc>
        <w:tc>
          <w:tcPr>
            <w:tcW w:w="880" w:type="dxa"/>
          </w:tcPr>
          <w:p>
            <w:pPr>
              <w:pStyle w:val="TableParagraph"/>
              <w:spacing w:before="52"/>
              <w:ind w:right="38"/>
              <w:jc w:val="right"/>
              <w:rPr>
                <w:sz w:val="18"/>
              </w:rPr>
            </w:pPr>
            <w:r>
              <w:rPr>
                <w:color w:val="231F20"/>
                <w:sz w:val="18"/>
              </w:rPr>
              <w:t>(235)</w:t>
            </w:r>
          </w:p>
        </w:tc>
        <w:tc>
          <w:tcPr>
            <w:tcW w:w="1991" w:type="dxa"/>
          </w:tcPr>
          <w:p>
            <w:pPr>
              <w:pStyle w:val="TableParagraph"/>
              <w:tabs>
                <w:tab w:pos="879" w:val="left" w:leader="none"/>
              </w:tabs>
              <w:spacing w:before="52"/>
              <w:ind w:right="107"/>
              <w:jc w:val="right"/>
              <w:rPr>
                <w:sz w:val="18"/>
              </w:rPr>
            </w:pPr>
            <w:r>
              <w:rPr>
                <w:color w:val="231F20"/>
                <w:sz w:val="18"/>
              </w:rPr>
              <w:t>—</w:t>
              <w:tab/>
              <w:t>—</w:t>
            </w:r>
          </w:p>
        </w:tc>
        <w:tc>
          <w:tcPr>
            <w:tcW w:w="830" w:type="dxa"/>
          </w:tcPr>
          <w:p>
            <w:pPr>
              <w:pStyle w:val="TableParagraph"/>
              <w:spacing w:before="52"/>
              <w:jc w:val="right"/>
              <w:rPr>
                <w:sz w:val="18"/>
              </w:rPr>
            </w:pPr>
            <w:r>
              <w:rPr>
                <w:color w:val="231F20"/>
                <w:sz w:val="18"/>
              </w:rPr>
              <w:t>(235)</w:t>
            </w:r>
          </w:p>
        </w:tc>
      </w:tr>
      <w:tr>
        <w:trPr>
          <w:trHeight w:val="295" w:hRule="exact"/>
        </w:trPr>
        <w:tc>
          <w:tcPr>
            <w:tcW w:w="4499" w:type="dxa"/>
            <w:shd w:val="clear" w:color="auto" w:fill="D1D3D4"/>
          </w:tcPr>
          <w:p>
            <w:pPr>
              <w:pStyle w:val="TableParagraph"/>
              <w:tabs>
                <w:tab w:pos="3838" w:val="left" w:leader="none"/>
              </w:tabs>
              <w:spacing w:before="52"/>
              <w:ind w:right="58"/>
              <w:jc w:val="right"/>
              <w:rPr>
                <w:sz w:val="18"/>
              </w:rPr>
            </w:pPr>
            <w:r>
              <w:rPr>
                <w:color w:val="231F20"/>
                <w:sz w:val="18"/>
              </w:rPr>
              <w:t>Comprehensive income</w:t>
              <w:tab/>
              <w:t>—</w:t>
            </w:r>
          </w:p>
        </w:tc>
        <w:tc>
          <w:tcPr>
            <w:tcW w:w="920" w:type="dxa"/>
            <w:tcBorders>
              <w:bottom w:val="single" w:sz="4" w:space="0" w:color="231F20"/>
            </w:tcBorders>
            <w:shd w:val="clear" w:color="auto" w:fill="D1D3D4"/>
          </w:tcPr>
          <w:p>
            <w:pPr>
              <w:pStyle w:val="TableParagraph"/>
              <w:spacing w:before="52"/>
              <w:ind w:right="97"/>
              <w:jc w:val="right"/>
              <w:rPr>
                <w:sz w:val="18"/>
              </w:rPr>
            </w:pPr>
            <w:r>
              <w:rPr>
                <w:color w:val="231F20"/>
                <w:sz w:val="18"/>
              </w:rPr>
              <w:t>—</w:t>
            </w:r>
          </w:p>
        </w:tc>
        <w:tc>
          <w:tcPr>
            <w:tcW w:w="880" w:type="dxa"/>
            <w:tcBorders>
              <w:bottom w:val="single" w:sz="4" w:space="0" w:color="231F20"/>
            </w:tcBorders>
            <w:shd w:val="clear" w:color="auto" w:fill="D1D3D4"/>
          </w:tcPr>
          <w:p>
            <w:pPr>
              <w:pStyle w:val="TableParagraph"/>
              <w:spacing w:before="52"/>
              <w:ind w:right="97"/>
              <w:jc w:val="right"/>
              <w:rPr>
                <w:sz w:val="18"/>
              </w:rPr>
            </w:pPr>
            <w:r>
              <w:rPr>
                <w:color w:val="231F20"/>
                <w:sz w:val="18"/>
              </w:rPr>
              <w:t>2,244</w:t>
            </w:r>
          </w:p>
        </w:tc>
        <w:tc>
          <w:tcPr>
            <w:tcW w:w="1991" w:type="dxa"/>
            <w:tcBorders>
              <w:bottom w:val="single" w:sz="4" w:space="0" w:color="231F20"/>
            </w:tcBorders>
            <w:shd w:val="clear" w:color="auto" w:fill="D1D3D4"/>
          </w:tcPr>
          <w:p>
            <w:pPr>
              <w:pStyle w:val="TableParagraph"/>
              <w:tabs>
                <w:tab w:pos="969" w:val="left" w:leader="none"/>
              </w:tabs>
              <w:spacing w:before="52"/>
              <w:ind w:right="107"/>
              <w:jc w:val="right"/>
              <w:rPr>
                <w:sz w:val="18"/>
              </w:rPr>
            </w:pPr>
            <w:r>
              <w:rPr>
                <w:color w:val="231F20"/>
                <w:sz w:val="18"/>
              </w:rPr>
              <w:t>728</w:t>
              <w:tab/>
              <w:t>—</w:t>
            </w:r>
          </w:p>
        </w:tc>
        <w:tc>
          <w:tcPr>
            <w:tcW w:w="830" w:type="dxa"/>
            <w:tcBorders>
              <w:bottom w:val="single" w:sz="4" w:space="0" w:color="231F20"/>
            </w:tcBorders>
            <w:shd w:val="clear" w:color="auto" w:fill="D1D3D4"/>
          </w:tcPr>
          <w:p>
            <w:pPr>
              <w:pStyle w:val="TableParagraph"/>
              <w:spacing w:before="52"/>
              <w:ind w:left="365"/>
              <w:rPr>
                <w:sz w:val="18"/>
              </w:rPr>
            </w:pPr>
            <w:r>
              <w:rPr>
                <w:color w:val="231F20"/>
                <w:sz w:val="18"/>
              </w:rPr>
              <w:t>2,972</w:t>
            </w:r>
          </w:p>
        </w:tc>
      </w:tr>
    </w:tbl>
    <w:p>
      <w:pPr>
        <w:pStyle w:val="BodyText"/>
        <w:spacing w:line="20" w:lineRule="exact"/>
        <w:ind w:left="6454"/>
        <w:rPr>
          <w:sz w:val="2"/>
        </w:rPr>
      </w:pPr>
      <w:r>
        <w:rPr>
          <w:sz w:val="2"/>
        </w:rPr>
        <w:pict>
          <v:group style="width:51.55pt;height:.5pt;mso-position-horizontal-relative:char;mso-position-vertical-relative:line" coordorigin="0,0" coordsize="1031,10">
            <v:line style="position:absolute" from="5,5" to="1026,5" stroked="true" strokeweight=".5pt" strokecolor="#231f20">
              <v:stroke dashstyle="solid"/>
            </v:line>
          </v:group>
        </w:pict>
      </w:r>
      <w:r>
        <w:rPr>
          <w:sz w:val="2"/>
        </w:rPr>
      </w:r>
    </w:p>
    <w:p>
      <w:pPr>
        <w:tabs>
          <w:tab w:pos="3838" w:val="left" w:leader="none"/>
          <w:tab w:pos="4288" w:val="left" w:leader="none"/>
          <w:tab w:pos="5033" w:val="left" w:leader="none"/>
          <w:tab w:pos="7089" w:val="left" w:leader="none"/>
          <w:tab w:pos="8774" w:val="left" w:leader="none"/>
        </w:tabs>
        <w:spacing w:before="0"/>
        <w:ind w:left="180" w:right="0" w:firstLine="0"/>
        <w:jc w:val="left"/>
        <w:rPr>
          <w:sz w:val="18"/>
        </w:rPr>
      </w:pPr>
      <w:r>
        <w:rPr/>
        <w:pict>
          <v:group style="position:absolute;margin-left:254.699997pt;margin-top:13.402344pt;width:39.5pt;height:2.5pt;mso-position-horizontal-relative:page;mso-position-vertical-relative:paragraph;z-index:3376;mso-wrap-distance-left:0;mso-wrap-distance-right:0" coordorigin="5094,268" coordsize="790,50">
            <v:line style="position:absolute" from="5099,273" to="5879,273" stroked="true" strokeweight=".5pt" strokecolor="#231f20">
              <v:stroke dashstyle="solid"/>
            </v:line>
            <v:line style="position:absolute" from="5099,313" to="5879,313" stroked="true" strokeweight=".5pt" strokecolor="#231f20">
              <v:stroke dashstyle="solid"/>
            </v:line>
            <w10:wrap type="topAndBottom"/>
          </v:group>
        </w:pict>
      </w:r>
      <w:r>
        <w:rPr/>
        <w:pict>
          <v:group style="position:absolute;margin-left:297.700012pt;margin-top:13.402344pt;width:40.5pt;height:2.5pt;mso-position-horizontal-relative:page;mso-position-vertical-relative:paragraph;z-index:3400;mso-wrap-distance-left:0;mso-wrap-distance-right:0" coordorigin="5954,268" coordsize="810,50">
            <v:line style="position:absolute" from="5959,273" to="6759,273" stroked="true" strokeweight=".5pt" strokecolor="#231f20">
              <v:stroke dashstyle="solid"/>
            </v:line>
            <v:line style="position:absolute" from="5959,313" to="6759,313" stroked="true" strokeweight=".5pt" strokecolor="#231f20">
              <v:stroke dashstyle="solid"/>
            </v:line>
            <w10:wrap type="topAndBottom"/>
          </v:group>
        </w:pict>
      </w:r>
      <w:r>
        <w:rPr/>
        <w:pict>
          <v:group style="position:absolute;margin-left:341.700012pt;margin-top:13.402344pt;width:40.5pt;height:2.5pt;mso-position-horizontal-relative:page;mso-position-vertical-relative:paragraph;z-index:3424;mso-wrap-distance-left:0;mso-wrap-distance-right:0" coordorigin="6834,268" coordsize="810,50">
            <v:line style="position:absolute" from="6839,273" to="7639,273" stroked="true" strokeweight=".5pt" strokecolor="#231f20">
              <v:stroke dashstyle="solid"/>
            </v:line>
            <v:line style="position:absolute" from="6839,313" to="7639,313" stroked="true" strokeweight=".5pt" strokecolor="#231f20">
              <v:stroke dashstyle="solid"/>
            </v:line>
            <w10:wrap type="topAndBottom"/>
          </v:group>
        </w:pict>
      </w:r>
      <w:r>
        <w:rPr/>
        <w:pict>
          <v:group style="position:absolute;margin-left:385.700012pt;margin-top:13.402344pt;width:51.55pt;height:2.5pt;mso-position-horizontal-relative:page;mso-position-vertical-relative:paragraph;z-index:3448;mso-wrap-distance-left:0;mso-wrap-distance-right:0" coordorigin="7714,268" coordsize="1031,50">
            <v:line style="position:absolute" from="7719,273" to="8740,273" stroked="true" strokeweight=".5pt" strokecolor="#231f20">
              <v:stroke dashstyle="solid"/>
            </v:line>
            <v:line style="position:absolute" from="7719,313" to="8740,313" stroked="true" strokeweight=".5pt" strokecolor="#231f20">
              <v:stroke dashstyle="solid"/>
            </v:line>
            <w10:wrap type="topAndBottom"/>
          </v:group>
        </w:pict>
      </w:r>
      <w:r>
        <w:rPr/>
        <w:pict>
          <v:group style="position:absolute;margin-left:440.75pt;margin-top:13.402344pt;width:40.5pt;height:2.5pt;mso-position-horizontal-relative:page;mso-position-vertical-relative:paragraph;z-index:3472;mso-wrap-distance-left:0;mso-wrap-distance-right:0" coordorigin="8815,268" coordsize="810,50">
            <v:line style="position:absolute" from="8820,273" to="9620,273" stroked="true" strokeweight=".5pt" strokecolor="#231f20">
              <v:stroke dashstyle="solid"/>
            </v:line>
            <v:line style="position:absolute" from="8820,313" to="9620,313" stroked="true" strokeweight=".5pt" strokecolor="#231f20">
              <v:stroke dashstyle="solid"/>
            </v:line>
            <w10:wrap type="topAndBottom"/>
          </v:group>
        </w:pict>
      </w:r>
      <w:r>
        <w:rPr/>
        <w:pict>
          <v:group style="position:absolute;margin-left:485.75pt;margin-top:13.402344pt;width:39.5pt;height:2.5pt;mso-position-horizontal-relative:page;mso-position-vertical-relative:paragraph;z-index:3496;mso-wrap-distance-left:0;mso-wrap-distance-right:0" coordorigin="9715,268" coordsize="790,50">
            <v:line style="position:absolute" from="9720,273" to="10500,273" stroked="true" strokeweight=".5pt" strokecolor="#231f20">
              <v:stroke dashstyle="solid"/>
            </v:line>
            <v:line style="position:absolute" from="9720,313" to="10500,313" stroked="true" strokeweight=".5pt" strokecolor="#231f20">
              <v:stroke dashstyle="solid"/>
            </v:line>
            <w10:wrap type="topAndBottom"/>
          </v:group>
        </w:pict>
      </w:r>
      <w:r>
        <w:rPr>
          <w:color w:val="231F20"/>
          <w:sz w:val="18"/>
        </w:rPr>
        <w:t>Balance at December 31, 2016</w:t>
        <w:tab/>
        <w:t>$</w:t>
        <w:tab/>
        <w:t>808  </w:t>
      </w:r>
      <w:r>
        <w:rPr>
          <w:color w:val="231F20"/>
          <w:spacing w:val="5"/>
          <w:sz w:val="18"/>
        </w:rPr>
        <w:t> </w:t>
      </w:r>
      <w:r>
        <w:rPr>
          <w:color w:val="231F20"/>
          <w:sz w:val="18"/>
        </w:rPr>
        <w:t>$</w:t>
        <w:tab/>
        <w:t>1,410   $  </w:t>
      </w:r>
      <w:r>
        <w:rPr>
          <w:color w:val="231F20"/>
          <w:spacing w:val="25"/>
          <w:sz w:val="18"/>
        </w:rPr>
        <w:t> </w:t>
      </w:r>
      <w:r>
        <w:rPr>
          <w:color w:val="231F20"/>
          <w:sz w:val="18"/>
        </w:rPr>
        <w:t>11,418  </w:t>
      </w:r>
      <w:r>
        <w:rPr>
          <w:color w:val="231F20"/>
          <w:spacing w:val="5"/>
          <w:sz w:val="18"/>
        </w:rPr>
        <w:t> </w:t>
      </w:r>
      <w:r>
        <w:rPr>
          <w:color w:val="231F20"/>
          <w:sz w:val="18"/>
        </w:rPr>
        <w:t>$</w:t>
        <w:tab/>
        <w:t>(323)  $  </w:t>
      </w:r>
      <w:r>
        <w:rPr>
          <w:color w:val="231F20"/>
          <w:spacing w:val="40"/>
          <w:sz w:val="18"/>
        </w:rPr>
        <w:t> </w:t>
      </w:r>
      <w:r>
        <w:rPr>
          <w:color w:val="231F20"/>
          <w:sz w:val="18"/>
        </w:rPr>
        <w:t>(4,872) </w:t>
      </w:r>
      <w:r>
        <w:rPr>
          <w:color w:val="231F20"/>
          <w:spacing w:val="10"/>
          <w:sz w:val="18"/>
        </w:rPr>
        <w:t> </w:t>
      </w:r>
      <w:r>
        <w:rPr>
          <w:color w:val="231F20"/>
          <w:sz w:val="18"/>
        </w:rPr>
        <w:t>$</w:t>
        <w:tab/>
        <w:t>8,441</w:t>
      </w:r>
    </w:p>
    <w:p>
      <w:pPr>
        <w:spacing w:before="143"/>
        <w:ind w:left="840" w:right="0" w:firstLine="0"/>
        <w:jc w:val="left"/>
        <w:rPr>
          <w:sz w:val="18"/>
        </w:rPr>
      </w:pPr>
      <w:r>
        <w:rPr>
          <w:color w:val="231F20"/>
          <w:sz w:val="18"/>
        </w:rPr>
        <w:t>See accompanying notes.</w:t>
      </w:r>
    </w:p>
    <w:p>
      <w:pPr>
        <w:spacing w:after="0"/>
        <w:jc w:val="left"/>
        <w:rPr>
          <w:sz w:val="18"/>
        </w:rPr>
        <w:sectPr>
          <w:pgSz w:w="11880" w:h="15480"/>
          <w:pgMar w:header="0" w:footer="1240" w:top="1240" w:bottom="1420" w:left="1260" w:right="1260"/>
        </w:sectPr>
      </w:pPr>
    </w:p>
    <w:p>
      <w:pPr>
        <w:spacing w:before="72"/>
        <w:ind w:left="3178" w:right="0" w:firstLine="0"/>
        <w:jc w:val="center"/>
        <w:rPr>
          <w:b/>
          <w:sz w:val="18"/>
        </w:rPr>
      </w:pPr>
      <w:bookmarkStart w:name="Consolidated Statement of Cash Flows " w:id="22"/>
      <w:bookmarkEnd w:id="22"/>
      <w:r>
        <w:rPr/>
      </w:r>
      <w:r>
        <w:rPr>
          <w:b/>
          <w:color w:val="231F20"/>
          <w:sz w:val="18"/>
        </w:rPr>
        <w:t>Southwest Airlines Co.</w:t>
      </w:r>
    </w:p>
    <w:p>
      <w:pPr>
        <w:spacing w:before="13"/>
        <w:ind w:left="3180" w:right="0" w:firstLine="0"/>
        <w:jc w:val="center"/>
        <w:rPr>
          <w:b/>
          <w:sz w:val="18"/>
        </w:rPr>
      </w:pPr>
      <w:r>
        <w:rPr>
          <w:b/>
          <w:color w:val="231F20"/>
          <w:sz w:val="18"/>
        </w:rPr>
        <w:t>Consolidated Statement of Cash</w:t>
      </w:r>
      <w:r>
        <w:rPr>
          <w:b/>
          <w:color w:val="231F20"/>
          <w:spacing w:val="-3"/>
          <w:sz w:val="18"/>
        </w:rPr>
        <w:t> </w:t>
      </w:r>
      <w:r>
        <w:rPr>
          <w:b/>
          <w:color w:val="231F20"/>
          <w:sz w:val="18"/>
        </w:rPr>
        <w:t>Flows</w:t>
      </w:r>
    </w:p>
    <w:p>
      <w:pPr>
        <w:spacing w:before="13"/>
        <w:ind w:left="4212" w:right="0" w:firstLine="0"/>
        <w:jc w:val="left"/>
        <w:rPr>
          <w:sz w:val="18"/>
        </w:rPr>
      </w:pPr>
      <w:r>
        <w:rPr>
          <w:color w:val="231F20"/>
          <w:sz w:val="18"/>
        </w:rPr>
        <w:t>(in millions)</w:t>
      </w:r>
    </w:p>
    <w:p>
      <w:pPr>
        <w:pStyle w:val="BodyText"/>
        <w:rPr>
          <w:sz w:val="20"/>
        </w:rPr>
      </w:pPr>
    </w:p>
    <w:p>
      <w:pPr>
        <w:pStyle w:val="BodyText"/>
        <w:rPr>
          <w:sz w:val="20"/>
        </w:rPr>
      </w:pPr>
    </w:p>
    <w:p>
      <w:pPr>
        <w:spacing w:before="159"/>
        <w:ind w:left="160" w:right="0" w:firstLine="0"/>
        <w:jc w:val="left"/>
        <w:rPr>
          <w:b/>
          <w:sz w:val="16"/>
        </w:rPr>
      </w:pPr>
      <w:r>
        <w:rPr/>
        <w:pict>
          <v:group style="position:absolute;margin-left:69pt;margin-top:6.018725pt;width:456.5pt;height:13.9pt;mso-position-horizontal-relative:page;mso-position-vertical-relative:paragraph;z-index:-375568" coordorigin="1380,120" coordsize="9130,278">
            <v:rect style="position:absolute;left:1380;top:140;width:9120;height:258" filled="true" fillcolor="#d1d3d4" stroked="false">
              <v:fill type="solid"/>
            </v:rect>
            <v:line style="position:absolute" from="8060,130" to="8740,130" stroked="true" strokeweight="1pt" strokecolor="#231f20">
              <v:stroke dashstyle="solid"/>
            </v:line>
            <v:line style="position:absolute" from="8940,130" to="9620,130" stroked="true" strokeweight="1pt" strokecolor="#231f20">
              <v:stroke dashstyle="solid"/>
            </v:line>
            <v:line style="position:absolute" from="9820,130" to="10500,130" stroked="true" strokeweight="1pt" strokecolor="#231f20">
              <v:stroke dashstyle="solid"/>
            </v:line>
            <w10:wrap type="none"/>
          </v:group>
        </w:pict>
      </w:r>
      <w:r>
        <w:rPr>
          <w:b/>
          <w:color w:val="231F20"/>
          <w:sz w:val="16"/>
        </w:rPr>
        <w:t>CASH FLOWS FROM OPERATING ACTIVITIES:</w:t>
      </w:r>
    </w:p>
    <w:p>
      <w:pPr>
        <w:pStyle w:val="BodyText"/>
        <w:rPr>
          <w:b/>
          <w:sz w:val="18"/>
        </w:rPr>
      </w:pPr>
      <w:r>
        <w:rPr/>
        <w:br w:type="column"/>
      </w:r>
      <w:r>
        <w:rPr>
          <w:b/>
          <w:sz w:val="18"/>
        </w:rPr>
      </w:r>
    </w:p>
    <w:p>
      <w:pPr>
        <w:pStyle w:val="BodyText"/>
        <w:rPr>
          <w:b/>
          <w:sz w:val="18"/>
        </w:rPr>
      </w:pPr>
    </w:p>
    <w:p>
      <w:pPr>
        <w:pStyle w:val="BodyText"/>
        <w:rPr>
          <w:b/>
          <w:sz w:val="18"/>
        </w:rPr>
      </w:pPr>
    </w:p>
    <w:p>
      <w:pPr>
        <w:pStyle w:val="BodyText"/>
        <w:spacing w:before="11"/>
        <w:rPr>
          <w:b/>
          <w:sz w:val="19"/>
        </w:rPr>
      </w:pPr>
    </w:p>
    <w:p>
      <w:pPr>
        <w:tabs>
          <w:tab w:pos="1039" w:val="left" w:leader="none"/>
          <w:tab w:pos="1919" w:val="left" w:leader="none"/>
        </w:tabs>
        <w:spacing w:line="312" w:lineRule="auto" w:before="0"/>
        <w:ind w:left="160" w:right="299" w:firstLine="160"/>
        <w:jc w:val="left"/>
        <w:rPr>
          <w:b/>
          <w:sz w:val="16"/>
        </w:rPr>
      </w:pPr>
      <w:r>
        <w:rPr>
          <w:b/>
          <w:color w:val="231F20"/>
          <w:sz w:val="16"/>
        </w:rPr>
        <w:t>Year ended December 31, 2016</w:t>
        <w:tab/>
        <w:t>2015</w:t>
        <w:tab/>
        <w:t>2014</w:t>
      </w:r>
    </w:p>
    <w:p>
      <w:pPr>
        <w:spacing w:after="0" w:line="312" w:lineRule="auto"/>
        <w:jc w:val="left"/>
        <w:rPr>
          <w:sz w:val="16"/>
        </w:rPr>
        <w:sectPr>
          <w:pgSz w:w="11880" w:h="15480"/>
          <w:pgMar w:header="0" w:footer="1240" w:top="1240" w:bottom="1420" w:left="1280" w:right="1260"/>
          <w:cols w:num="2" w:equalWidth="0">
            <w:col w:w="6140" w:space="660"/>
            <w:col w:w="2540"/>
          </w:cols>
        </w:sectPr>
      </w:pPr>
    </w:p>
    <w:p>
      <w:pPr>
        <w:tabs>
          <w:tab w:pos="6779" w:val="left" w:leader="none"/>
          <w:tab w:pos="7659" w:val="left" w:leader="none"/>
          <w:tab w:pos="8539" w:val="left" w:leader="none"/>
        </w:tabs>
        <w:spacing w:before="63"/>
        <w:ind w:left="160" w:right="0" w:firstLine="0"/>
        <w:jc w:val="left"/>
        <w:rPr>
          <w:sz w:val="16"/>
        </w:rPr>
      </w:pPr>
      <w:r>
        <w:rPr/>
        <w:pict>
          <v:line style="position:absolute;mso-position-horizontal-relative:page;mso-position-vertical-relative:paragraph;z-index:-375544" from="403pt,-22.681238pt" to="525pt,-22.681238pt" stroked="true" strokeweight="1pt" strokecolor="#231f20">
            <v:stroke dashstyle="solid"/>
            <w10:wrap type="none"/>
          </v:line>
        </w:pict>
      </w:r>
      <w:r>
        <w:rPr>
          <w:color w:val="231F20"/>
          <w:sz w:val="16"/>
        </w:rPr>
        <w:t>Net</w:t>
      </w:r>
      <w:r>
        <w:rPr>
          <w:color w:val="231F20"/>
          <w:spacing w:val="-1"/>
          <w:sz w:val="16"/>
        </w:rPr>
        <w:t> </w:t>
      </w:r>
      <w:r>
        <w:rPr>
          <w:color w:val="231F20"/>
          <w:sz w:val="16"/>
        </w:rPr>
        <w:t>income</w:t>
        <w:tab/>
        <w:t>$   </w:t>
      </w:r>
      <w:r>
        <w:rPr>
          <w:color w:val="231F20"/>
          <w:spacing w:val="27"/>
          <w:sz w:val="16"/>
        </w:rPr>
        <w:t> </w:t>
      </w:r>
      <w:r>
        <w:rPr>
          <w:color w:val="231F20"/>
          <w:sz w:val="16"/>
        </w:rPr>
        <w:t>2,244</w:t>
        <w:tab/>
        <w:t>$   </w:t>
      </w:r>
      <w:r>
        <w:rPr>
          <w:color w:val="231F20"/>
          <w:spacing w:val="27"/>
          <w:sz w:val="16"/>
        </w:rPr>
        <w:t> </w:t>
      </w:r>
      <w:r>
        <w:rPr>
          <w:color w:val="231F20"/>
          <w:sz w:val="16"/>
        </w:rPr>
        <w:t>2,181</w:t>
        <w:tab/>
        <w:t>$   </w:t>
      </w:r>
      <w:r>
        <w:rPr>
          <w:color w:val="231F20"/>
          <w:spacing w:val="27"/>
          <w:sz w:val="16"/>
        </w:rPr>
        <w:t> </w:t>
      </w:r>
      <w:r>
        <w:rPr>
          <w:color w:val="231F20"/>
          <w:sz w:val="16"/>
        </w:rPr>
        <w:t>1,136</w:t>
      </w:r>
    </w:p>
    <w:p>
      <w:pPr>
        <w:tabs>
          <w:tab w:pos="9219" w:val="left" w:leader="none"/>
        </w:tabs>
        <w:spacing w:before="33" w:after="39"/>
        <w:ind w:left="100" w:right="0" w:firstLine="0"/>
        <w:jc w:val="left"/>
        <w:rPr>
          <w:sz w:val="16"/>
        </w:rPr>
      </w:pPr>
      <w:r>
        <w:rPr>
          <w:color w:val="231F20"/>
          <w:sz w:val="16"/>
          <w:shd w:fill="D1D3D4" w:color="auto" w:val="clear"/>
        </w:rPr>
        <w:t> </w:t>
      </w:r>
      <w:r>
        <w:rPr>
          <w:color w:val="231F20"/>
          <w:spacing w:val="-20"/>
          <w:sz w:val="16"/>
          <w:shd w:fill="D1D3D4" w:color="auto" w:val="clear"/>
        </w:rPr>
        <w:t> </w:t>
      </w:r>
      <w:r>
        <w:rPr>
          <w:color w:val="231F20"/>
          <w:sz w:val="16"/>
          <w:shd w:fill="D1D3D4" w:color="auto" w:val="clear"/>
        </w:rPr>
        <w:t>Adjustments to reconcile net income to cash provided by (used in) operating</w:t>
      </w:r>
      <w:r>
        <w:rPr>
          <w:color w:val="231F20"/>
          <w:spacing w:val="-15"/>
          <w:sz w:val="16"/>
          <w:shd w:fill="D1D3D4" w:color="auto" w:val="clear"/>
        </w:rPr>
        <w:t> </w:t>
      </w:r>
      <w:r>
        <w:rPr>
          <w:color w:val="231F20"/>
          <w:sz w:val="16"/>
          <w:shd w:fill="D1D3D4" w:color="auto" w:val="clear"/>
        </w:rPr>
        <w:t>activities:</w:t>
        <w:tab/>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80"/>
        <w:gridCol w:w="681"/>
        <w:gridCol w:w="199"/>
        <w:gridCol w:w="681"/>
        <w:gridCol w:w="199"/>
        <w:gridCol w:w="681"/>
      </w:tblGrid>
      <w:tr>
        <w:trPr>
          <w:trHeight w:val="204" w:hRule="exact"/>
        </w:trPr>
        <w:tc>
          <w:tcPr>
            <w:tcW w:w="6680" w:type="dxa"/>
          </w:tcPr>
          <w:p>
            <w:pPr>
              <w:pStyle w:val="TableParagraph"/>
              <w:spacing w:line="178" w:lineRule="exact" w:before="0"/>
              <w:ind w:left="220"/>
              <w:rPr>
                <w:sz w:val="16"/>
              </w:rPr>
            </w:pPr>
            <w:r>
              <w:rPr>
                <w:color w:val="231F20"/>
                <w:sz w:val="16"/>
              </w:rPr>
              <w:t>Depreciation and amortization</w:t>
            </w:r>
          </w:p>
        </w:tc>
        <w:tc>
          <w:tcPr>
            <w:tcW w:w="681" w:type="dxa"/>
          </w:tcPr>
          <w:p>
            <w:pPr>
              <w:pStyle w:val="TableParagraph"/>
              <w:spacing w:line="178" w:lineRule="exact" w:before="0"/>
              <w:ind w:right="51"/>
              <w:jc w:val="right"/>
              <w:rPr>
                <w:sz w:val="16"/>
              </w:rPr>
            </w:pPr>
            <w:r>
              <w:rPr>
                <w:color w:val="231F20"/>
                <w:sz w:val="16"/>
              </w:rPr>
              <w:t>1,221</w:t>
            </w:r>
          </w:p>
        </w:tc>
        <w:tc>
          <w:tcPr>
            <w:tcW w:w="880" w:type="dxa"/>
            <w:gridSpan w:val="2"/>
          </w:tcPr>
          <w:p>
            <w:pPr>
              <w:pStyle w:val="TableParagraph"/>
              <w:spacing w:line="178" w:lineRule="exact" w:before="0"/>
              <w:ind w:left="466"/>
              <w:rPr>
                <w:sz w:val="16"/>
              </w:rPr>
            </w:pPr>
            <w:r>
              <w:rPr>
                <w:color w:val="231F20"/>
                <w:sz w:val="16"/>
              </w:rPr>
              <w:t>1,015</w:t>
            </w:r>
          </w:p>
        </w:tc>
        <w:tc>
          <w:tcPr>
            <w:tcW w:w="880" w:type="dxa"/>
            <w:gridSpan w:val="2"/>
          </w:tcPr>
          <w:p>
            <w:pPr>
              <w:pStyle w:val="TableParagraph"/>
              <w:spacing w:line="178" w:lineRule="exact" w:before="0"/>
              <w:ind w:left="586"/>
              <w:rPr>
                <w:sz w:val="16"/>
              </w:rPr>
            </w:pPr>
            <w:r>
              <w:rPr>
                <w:color w:val="231F20"/>
                <w:sz w:val="16"/>
              </w:rPr>
              <w:t>938</w:t>
            </w:r>
          </w:p>
        </w:tc>
      </w:tr>
      <w:tr>
        <w:trPr>
          <w:trHeight w:val="218" w:hRule="exact"/>
        </w:trPr>
        <w:tc>
          <w:tcPr>
            <w:tcW w:w="6680" w:type="dxa"/>
            <w:shd w:val="clear" w:color="auto" w:fill="D1D3D4"/>
          </w:tcPr>
          <w:p>
            <w:pPr>
              <w:pStyle w:val="TableParagraph"/>
              <w:spacing w:before="8"/>
              <w:ind w:left="220"/>
              <w:rPr>
                <w:sz w:val="16"/>
              </w:rPr>
            </w:pPr>
            <w:r>
              <w:rPr>
                <w:color w:val="231F20"/>
                <w:sz w:val="16"/>
              </w:rPr>
              <w:t>Loss on asset impairment</w:t>
            </w:r>
          </w:p>
        </w:tc>
        <w:tc>
          <w:tcPr>
            <w:tcW w:w="681" w:type="dxa"/>
            <w:shd w:val="clear" w:color="auto" w:fill="D1D3D4"/>
          </w:tcPr>
          <w:p>
            <w:pPr>
              <w:pStyle w:val="TableParagraph"/>
              <w:spacing w:before="8"/>
              <w:ind w:right="51"/>
              <w:jc w:val="right"/>
              <w:rPr>
                <w:sz w:val="16"/>
              </w:rPr>
            </w:pPr>
            <w:r>
              <w:rPr>
                <w:color w:val="231F20"/>
                <w:sz w:val="16"/>
              </w:rPr>
              <w:t>21</w:t>
            </w:r>
          </w:p>
        </w:tc>
        <w:tc>
          <w:tcPr>
            <w:tcW w:w="880" w:type="dxa"/>
            <w:gridSpan w:val="2"/>
            <w:shd w:val="clear" w:color="auto" w:fill="D1D3D4"/>
          </w:tcPr>
          <w:p>
            <w:pPr>
              <w:pStyle w:val="TableParagraph"/>
              <w:spacing w:before="8"/>
              <w:ind w:right="51"/>
              <w:jc w:val="right"/>
              <w:rPr>
                <w:sz w:val="16"/>
              </w:rPr>
            </w:pPr>
            <w:r>
              <w:rPr>
                <w:color w:val="231F20"/>
                <w:sz w:val="16"/>
              </w:rPr>
              <w:t>—</w:t>
            </w:r>
          </w:p>
        </w:tc>
        <w:tc>
          <w:tcPr>
            <w:tcW w:w="880" w:type="dxa"/>
            <w:gridSpan w:val="2"/>
            <w:shd w:val="clear" w:color="auto" w:fill="D1D3D4"/>
          </w:tcPr>
          <w:p>
            <w:pPr>
              <w:pStyle w:val="TableParagraph"/>
              <w:spacing w:before="8"/>
              <w:ind w:right="51"/>
              <w:jc w:val="right"/>
              <w:rPr>
                <w:sz w:val="16"/>
              </w:rPr>
            </w:pPr>
            <w:r>
              <w:rPr>
                <w:color w:val="231F20"/>
                <w:sz w:val="16"/>
              </w:rPr>
              <w:t>—</w:t>
            </w:r>
          </w:p>
        </w:tc>
      </w:tr>
      <w:tr>
        <w:trPr>
          <w:trHeight w:val="218" w:hRule="exact"/>
        </w:trPr>
        <w:tc>
          <w:tcPr>
            <w:tcW w:w="6680" w:type="dxa"/>
          </w:tcPr>
          <w:p>
            <w:pPr>
              <w:pStyle w:val="TableParagraph"/>
              <w:spacing w:before="8"/>
              <w:ind w:left="220"/>
              <w:rPr>
                <w:sz w:val="16"/>
              </w:rPr>
            </w:pPr>
            <w:r>
              <w:rPr>
                <w:color w:val="231F20"/>
                <w:sz w:val="16"/>
              </w:rPr>
              <w:t>Unrealized/realized (gain) loss on fuel derivative instruments</w:t>
            </w:r>
          </w:p>
        </w:tc>
        <w:tc>
          <w:tcPr>
            <w:tcW w:w="681" w:type="dxa"/>
          </w:tcPr>
          <w:p>
            <w:pPr>
              <w:pStyle w:val="TableParagraph"/>
              <w:spacing w:before="8"/>
              <w:ind w:right="-1"/>
              <w:jc w:val="right"/>
              <w:rPr>
                <w:sz w:val="16"/>
              </w:rPr>
            </w:pPr>
            <w:r>
              <w:rPr>
                <w:color w:val="231F20"/>
                <w:sz w:val="16"/>
              </w:rPr>
              <w:t>(200)</w:t>
            </w:r>
          </w:p>
        </w:tc>
        <w:tc>
          <w:tcPr>
            <w:tcW w:w="880" w:type="dxa"/>
            <w:gridSpan w:val="2"/>
          </w:tcPr>
          <w:p>
            <w:pPr>
              <w:pStyle w:val="TableParagraph"/>
              <w:spacing w:before="8"/>
              <w:ind w:left="586"/>
              <w:rPr>
                <w:sz w:val="16"/>
              </w:rPr>
            </w:pPr>
            <w:r>
              <w:rPr>
                <w:color w:val="231F20"/>
                <w:sz w:val="16"/>
              </w:rPr>
              <w:t>113</w:t>
            </w:r>
          </w:p>
        </w:tc>
        <w:tc>
          <w:tcPr>
            <w:tcW w:w="880" w:type="dxa"/>
            <w:gridSpan w:val="2"/>
          </w:tcPr>
          <w:p>
            <w:pPr>
              <w:pStyle w:val="TableParagraph"/>
              <w:spacing w:before="8"/>
              <w:ind w:left="586"/>
              <w:rPr>
                <w:sz w:val="16"/>
              </w:rPr>
            </w:pPr>
            <w:r>
              <w:rPr>
                <w:color w:val="231F20"/>
                <w:sz w:val="16"/>
              </w:rPr>
              <w:t>279</w:t>
            </w:r>
          </w:p>
        </w:tc>
      </w:tr>
      <w:tr>
        <w:trPr>
          <w:trHeight w:val="218" w:hRule="exact"/>
        </w:trPr>
        <w:tc>
          <w:tcPr>
            <w:tcW w:w="6680" w:type="dxa"/>
            <w:shd w:val="clear" w:color="auto" w:fill="D1D3D4"/>
          </w:tcPr>
          <w:p>
            <w:pPr>
              <w:pStyle w:val="TableParagraph"/>
              <w:spacing w:before="8"/>
              <w:ind w:left="220"/>
              <w:rPr>
                <w:sz w:val="16"/>
              </w:rPr>
            </w:pPr>
            <w:r>
              <w:rPr>
                <w:color w:val="231F20"/>
                <w:sz w:val="16"/>
              </w:rPr>
              <w:t>Deferred income taxes</w:t>
            </w:r>
          </w:p>
        </w:tc>
        <w:tc>
          <w:tcPr>
            <w:tcW w:w="681" w:type="dxa"/>
            <w:shd w:val="clear" w:color="auto" w:fill="D1D3D4"/>
          </w:tcPr>
          <w:p>
            <w:pPr>
              <w:pStyle w:val="TableParagraph"/>
              <w:spacing w:before="8"/>
              <w:ind w:right="51"/>
              <w:jc w:val="right"/>
              <w:rPr>
                <w:sz w:val="16"/>
              </w:rPr>
            </w:pPr>
            <w:r>
              <w:rPr>
                <w:color w:val="231F20"/>
                <w:sz w:val="16"/>
              </w:rPr>
              <w:t>455</w:t>
            </w:r>
          </w:p>
        </w:tc>
        <w:tc>
          <w:tcPr>
            <w:tcW w:w="880" w:type="dxa"/>
            <w:gridSpan w:val="2"/>
            <w:shd w:val="clear" w:color="auto" w:fill="D1D3D4"/>
          </w:tcPr>
          <w:p>
            <w:pPr>
              <w:pStyle w:val="TableParagraph"/>
              <w:spacing w:before="8"/>
              <w:ind w:left="533"/>
              <w:rPr>
                <w:sz w:val="16"/>
              </w:rPr>
            </w:pPr>
            <w:r>
              <w:rPr>
                <w:color w:val="231F20"/>
                <w:sz w:val="16"/>
              </w:rPr>
              <w:t>(109)</w:t>
            </w:r>
          </w:p>
        </w:tc>
        <w:tc>
          <w:tcPr>
            <w:tcW w:w="880" w:type="dxa"/>
            <w:gridSpan w:val="2"/>
            <w:shd w:val="clear" w:color="auto" w:fill="D1D3D4"/>
          </w:tcPr>
          <w:p>
            <w:pPr>
              <w:pStyle w:val="TableParagraph"/>
              <w:spacing w:before="8"/>
              <w:ind w:left="586"/>
              <w:rPr>
                <w:sz w:val="16"/>
              </w:rPr>
            </w:pPr>
            <w:r>
              <w:rPr>
                <w:color w:val="231F20"/>
                <w:sz w:val="16"/>
              </w:rPr>
              <w:t>501</w:t>
            </w:r>
          </w:p>
        </w:tc>
      </w:tr>
      <w:tr>
        <w:trPr>
          <w:trHeight w:val="218" w:hRule="exact"/>
        </w:trPr>
        <w:tc>
          <w:tcPr>
            <w:tcW w:w="6680" w:type="dxa"/>
          </w:tcPr>
          <w:p>
            <w:pPr>
              <w:pStyle w:val="TableParagraph"/>
              <w:spacing w:before="8"/>
              <w:ind w:left="60"/>
              <w:rPr>
                <w:sz w:val="16"/>
              </w:rPr>
            </w:pPr>
            <w:r>
              <w:rPr>
                <w:color w:val="231F20"/>
                <w:sz w:val="16"/>
              </w:rPr>
              <w:t>Changes in certain assets and liabilities:</w:t>
            </w:r>
          </w:p>
        </w:tc>
        <w:tc>
          <w:tcPr>
            <w:tcW w:w="681" w:type="dxa"/>
          </w:tcPr>
          <w:p>
            <w:pPr/>
          </w:p>
        </w:tc>
        <w:tc>
          <w:tcPr>
            <w:tcW w:w="880" w:type="dxa"/>
            <w:gridSpan w:val="2"/>
          </w:tcPr>
          <w:p>
            <w:pPr/>
          </w:p>
        </w:tc>
        <w:tc>
          <w:tcPr>
            <w:tcW w:w="880" w:type="dxa"/>
            <w:gridSpan w:val="2"/>
          </w:tcPr>
          <w:p>
            <w:pPr/>
          </w:p>
        </w:tc>
      </w:tr>
      <w:tr>
        <w:trPr>
          <w:trHeight w:val="218" w:hRule="exact"/>
        </w:trPr>
        <w:tc>
          <w:tcPr>
            <w:tcW w:w="6680" w:type="dxa"/>
            <w:shd w:val="clear" w:color="auto" w:fill="D1D3D4"/>
          </w:tcPr>
          <w:p>
            <w:pPr>
              <w:pStyle w:val="TableParagraph"/>
              <w:spacing w:before="8"/>
              <w:ind w:left="220"/>
              <w:rPr>
                <w:sz w:val="16"/>
              </w:rPr>
            </w:pPr>
            <w:r>
              <w:rPr>
                <w:color w:val="231F20"/>
                <w:sz w:val="16"/>
              </w:rPr>
              <w:t>Accounts and other receivables</w:t>
            </w:r>
          </w:p>
        </w:tc>
        <w:tc>
          <w:tcPr>
            <w:tcW w:w="681" w:type="dxa"/>
            <w:shd w:val="clear" w:color="auto" w:fill="D1D3D4"/>
          </w:tcPr>
          <w:p>
            <w:pPr>
              <w:pStyle w:val="TableParagraph"/>
              <w:spacing w:before="8"/>
              <w:jc w:val="right"/>
              <w:rPr>
                <w:sz w:val="16"/>
              </w:rPr>
            </w:pPr>
            <w:r>
              <w:rPr>
                <w:color w:val="231F20"/>
                <w:sz w:val="16"/>
              </w:rPr>
              <w:t>(50)</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(88)</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54</w:t>
            </w:r>
          </w:p>
        </w:tc>
      </w:tr>
      <w:tr>
        <w:trPr>
          <w:trHeight w:val="218" w:hRule="exact"/>
        </w:trPr>
        <w:tc>
          <w:tcPr>
            <w:tcW w:w="6680" w:type="dxa"/>
          </w:tcPr>
          <w:p>
            <w:pPr>
              <w:pStyle w:val="TableParagraph"/>
              <w:spacing w:before="8"/>
              <w:ind w:left="220"/>
              <w:rPr>
                <w:sz w:val="16"/>
              </w:rPr>
            </w:pPr>
            <w:r>
              <w:rPr>
                <w:color w:val="231F20"/>
                <w:sz w:val="16"/>
              </w:rPr>
              <w:t>Other assets</w:t>
            </w:r>
          </w:p>
        </w:tc>
        <w:tc>
          <w:tcPr>
            <w:tcW w:w="681" w:type="dxa"/>
          </w:tcPr>
          <w:p>
            <w:pPr>
              <w:pStyle w:val="TableParagraph"/>
              <w:spacing w:before="8"/>
              <w:jc w:val="right"/>
              <w:rPr>
                <w:sz w:val="16"/>
              </w:rPr>
            </w:pPr>
            <w:r>
              <w:rPr>
                <w:color w:val="231F20"/>
                <w:sz w:val="16"/>
              </w:rPr>
              <w:t>(119)</w:t>
            </w:r>
          </w:p>
        </w:tc>
        <w:tc>
          <w:tcPr>
            <w:tcW w:w="199" w:type="dxa"/>
          </w:tcPr>
          <w:p>
            <w:pPr/>
          </w:p>
        </w:tc>
        <w:tc>
          <w:tcPr>
            <w:tcW w:w="681" w:type="dxa"/>
          </w:tcPr>
          <w:p>
            <w:pPr>
              <w:pStyle w:val="TableParagraph"/>
              <w:spacing w:before="8"/>
              <w:ind w:right="51"/>
              <w:jc w:val="right"/>
              <w:rPr>
                <w:sz w:val="16"/>
              </w:rPr>
            </w:pPr>
            <w:r>
              <w:rPr>
                <w:color w:val="231F20"/>
                <w:sz w:val="16"/>
              </w:rPr>
              <w:t>103</w:t>
            </w:r>
          </w:p>
        </w:tc>
        <w:tc>
          <w:tcPr>
            <w:tcW w:w="199" w:type="dxa"/>
          </w:tcPr>
          <w:p>
            <w:pPr/>
          </w:p>
        </w:tc>
        <w:tc>
          <w:tcPr>
            <w:tcW w:w="681" w:type="dxa"/>
          </w:tcPr>
          <w:p>
            <w:pPr>
              <w:pStyle w:val="TableParagraph"/>
              <w:spacing w:before="8"/>
              <w:ind w:right="51"/>
              <w:jc w:val="right"/>
              <w:rPr>
                <w:sz w:val="16"/>
              </w:rPr>
            </w:pPr>
            <w:r>
              <w:rPr>
                <w:color w:val="231F20"/>
                <w:sz w:val="16"/>
              </w:rPr>
              <w:t>142</w:t>
            </w:r>
          </w:p>
        </w:tc>
      </w:tr>
      <w:tr>
        <w:trPr>
          <w:trHeight w:val="218" w:hRule="exact"/>
        </w:trPr>
        <w:tc>
          <w:tcPr>
            <w:tcW w:w="6680" w:type="dxa"/>
            <w:shd w:val="clear" w:color="auto" w:fill="D1D3D4"/>
          </w:tcPr>
          <w:p>
            <w:pPr>
              <w:pStyle w:val="TableParagraph"/>
              <w:spacing w:before="8"/>
              <w:ind w:left="220"/>
              <w:rPr>
                <w:sz w:val="16"/>
              </w:rPr>
            </w:pPr>
            <w:r>
              <w:rPr>
                <w:color w:val="231F20"/>
                <w:sz w:val="16"/>
              </w:rPr>
              <w:t>Accounts payable and accrued liabilities</w:t>
            </w:r>
          </w:p>
        </w:tc>
        <w:tc>
          <w:tcPr>
            <w:tcW w:w="681" w:type="dxa"/>
            <w:shd w:val="clear" w:color="auto" w:fill="D1D3D4"/>
          </w:tcPr>
          <w:p>
            <w:pPr>
              <w:pStyle w:val="TableParagraph"/>
              <w:spacing w:before="8"/>
              <w:ind w:right="51"/>
              <w:jc w:val="right"/>
              <w:rPr>
                <w:sz w:val="16"/>
              </w:rPr>
            </w:pPr>
            <w:r>
              <w:rPr>
                <w:color w:val="231F20"/>
                <w:sz w:val="16"/>
              </w:rPr>
              <w:t>226</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961</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36</w:t>
            </w:r>
          </w:p>
        </w:tc>
      </w:tr>
      <w:tr>
        <w:trPr>
          <w:trHeight w:val="218" w:hRule="exact"/>
        </w:trPr>
        <w:tc>
          <w:tcPr>
            <w:tcW w:w="6680" w:type="dxa"/>
          </w:tcPr>
          <w:p>
            <w:pPr>
              <w:pStyle w:val="TableParagraph"/>
              <w:spacing w:before="8"/>
              <w:ind w:left="220"/>
              <w:rPr>
                <w:sz w:val="16"/>
              </w:rPr>
            </w:pPr>
            <w:r>
              <w:rPr>
                <w:color w:val="231F20"/>
                <w:sz w:val="16"/>
              </w:rPr>
              <w:t>Air traffic liability</w:t>
            </w:r>
          </w:p>
        </w:tc>
        <w:tc>
          <w:tcPr>
            <w:tcW w:w="681" w:type="dxa"/>
          </w:tcPr>
          <w:p>
            <w:pPr>
              <w:pStyle w:val="TableParagraph"/>
              <w:spacing w:before="8"/>
              <w:ind w:right="51"/>
              <w:jc w:val="right"/>
              <w:rPr>
                <w:sz w:val="16"/>
              </w:rPr>
            </w:pPr>
            <w:r>
              <w:rPr>
                <w:color w:val="231F20"/>
                <w:sz w:val="16"/>
              </w:rPr>
              <w:t>125</w:t>
            </w:r>
          </w:p>
        </w:tc>
        <w:tc>
          <w:tcPr>
            <w:tcW w:w="199" w:type="dxa"/>
          </w:tcPr>
          <w:p>
            <w:pPr/>
          </w:p>
        </w:tc>
        <w:tc>
          <w:tcPr>
            <w:tcW w:w="681" w:type="dxa"/>
          </w:tcPr>
          <w:p>
            <w:pPr>
              <w:pStyle w:val="TableParagraph"/>
              <w:spacing w:before="8"/>
              <w:ind w:right="51"/>
              <w:jc w:val="right"/>
              <w:rPr>
                <w:sz w:val="16"/>
              </w:rPr>
            </w:pPr>
            <w:r>
              <w:rPr>
                <w:color w:val="231F20"/>
                <w:sz w:val="16"/>
              </w:rPr>
              <w:t>94</w:t>
            </w:r>
          </w:p>
        </w:tc>
        <w:tc>
          <w:tcPr>
            <w:tcW w:w="199" w:type="dxa"/>
          </w:tcPr>
          <w:p>
            <w:pPr/>
          </w:p>
        </w:tc>
        <w:tc>
          <w:tcPr>
            <w:tcW w:w="681" w:type="dxa"/>
          </w:tcPr>
          <w:p>
            <w:pPr>
              <w:pStyle w:val="TableParagraph"/>
              <w:spacing w:before="8"/>
              <w:ind w:right="51"/>
              <w:jc w:val="right"/>
              <w:rPr>
                <w:sz w:val="16"/>
              </w:rPr>
            </w:pPr>
            <w:r>
              <w:rPr>
                <w:color w:val="231F20"/>
                <w:sz w:val="16"/>
              </w:rPr>
              <w:t>326</w:t>
            </w:r>
          </w:p>
        </w:tc>
      </w:tr>
      <w:tr>
        <w:trPr>
          <w:trHeight w:val="218" w:hRule="exact"/>
        </w:trPr>
        <w:tc>
          <w:tcPr>
            <w:tcW w:w="6680" w:type="dxa"/>
            <w:shd w:val="clear" w:color="auto" w:fill="D1D3D4"/>
          </w:tcPr>
          <w:p>
            <w:pPr>
              <w:pStyle w:val="TableParagraph"/>
              <w:spacing w:before="8"/>
              <w:ind w:left="60"/>
              <w:rPr>
                <w:sz w:val="16"/>
              </w:rPr>
            </w:pPr>
            <w:r>
              <w:rPr>
                <w:color w:val="231F20"/>
                <w:sz w:val="16"/>
              </w:rPr>
              <w:t>Cash collateral received from (provided to) derivative counterparties</w:t>
            </w:r>
          </w:p>
        </w:tc>
        <w:tc>
          <w:tcPr>
            <w:tcW w:w="681" w:type="dxa"/>
            <w:shd w:val="clear" w:color="auto" w:fill="D1D3D4"/>
          </w:tcPr>
          <w:p>
            <w:pPr>
              <w:pStyle w:val="TableParagraph"/>
              <w:spacing w:before="8"/>
              <w:ind w:right="51"/>
              <w:jc w:val="right"/>
              <w:rPr>
                <w:sz w:val="16"/>
              </w:rPr>
            </w:pPr>
            <w:r>
              <w:rPr>
                <w:color w:val="231F20"/>
                <w:sz w:val="16"/>
              </w:rPr>
              <w:t>535</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(570)</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(233)</w:t>
            </w:r>
          </w:p>
        </w:tc>
      </w:tr>
      <w:tr>
        <w:trPr>
          <w:trHeight w:val="233" w:hRule="exact"/>
        </w:trPr>
        <w:tc>
          <w:tcPr>
            <w:tcW w:w="6680" w:type="dxa"/>
          </w:tcPr>
          <w:p>
            <w:pPr>
              <w:pStyle w:val="TableParagraph"/>
              <w:spacing w:before="8"/>
              <w:ind w:left="60"/>
              <w:rPr>
                <w:sz w:val="16"/>
              </w:rPr>
            </w:pPr>
            <w:r>
              <w:rPr>
                <w:color w:val="231F20"/>
                <w:sz w:val="16"/>
              </w:rPr>
              <w:t>Other, net</w:t>
            </w:r>
          </w:p>
        </w:tc>
        <w:tc>
          <w:tcPr>
            <w:tcW w:w="681" w:type="dxa"/>
            <w:tcBorders>
              <w:bottom w:val="single" w:sz="4" w:space="0" w:color="231F20"/>
            </w:tcBorders>
          </w:tcPr>
          <w:p>
            <w:pPr>
              <w:pStyle w:val="TableParagraph"/>
              <w:spacing w:before="8"/>
              <w:jc w:val="right"/>
              <w:rPr>
                <w:sz w:val="16"/>
              </w:rPr>
            </w:pPr>
            <w:r>
              <w:rPr>
                <w:color w:val="231F20"/>
                <w:sz w:val="16"/>
              </w:rPr>
              <w:t>(165)</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(462)</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(277)</w:t>
            </w:r>
          </w:p>
        </w:tc>
      </w:tr>
      <w:tr>
        <w:trPr>
          <w:trHeight w:val="223" w:hRule="exact"/>
        </w:trPr>
        <w:tc>
          <w:tcPr>
            <w:tcW w:w="6680" w:type="dxa"/>
            <w:shd w:val="clear" w:color="auto" w:fill="D1D3D4"/>
          </w:tcPr>
          <w:p>
            <w:pPr>
              <w:pStyle w:val="TableParagraph"/>
              <w:spacing w:before="8"/>
              <w:ind w:left="380"/>
              <w:rPr>
                <w:sz w:val="16"/>
              </w:rPr>
            </w:pPr>
            <w:r>
              <w:rPr>
                <w:color w:val="231F20"/>
                <w:sz w:val="16"/>
              </w:rPr>
              <w:t>Net cash provided by operating activities</w:t>
            </w:r>
          </w:p>
        </w:tc>
        <w:tc>
          <w:tcPr>
            <w:tcW w:w="681" w:type="dxa"/>
            <w:tcBorders>
              <w:top w:val="single" w:sz="4" w:space="0" w:color="231F20"/>
            </w:tcBorders>
            <w:shd w:val="clear" w:color="auto" w:fill="D1D3D4"/>
          </w:tcPr>
          <w:p>
            <w:pPr>
              <w:pStyle w:val="TableParagraph"/>
              <w:spacing w:before="8"/>
              <w:ind w:right="51"/>
              <w:jc w:val="right"/>
              <w:rPr>
                <w:sz w:val="16"/>
              </w:rPr>
            </w:pPr>
            <w:r>
              <w:rPr>
                <w:color w:val="231F20"/>
                <w:sz w:val="16"/>
              </w:rPr>
              <w:t>4,293</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ind w:right="51"/>
              <w:jc w:val="right"/>
              <w:rPr>
                <w:sz w:val="16"/>
              </w:rPr>
            </w:pPr>
            <w:r>
              <w:rPr>
                <w:color w:val="231F20"/>
                <w:sz w:val="16"/>
              </w:rPr>
              <w:t>3,238</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ind w:right="51"/>
              <w:jc w:val="right"/>
              <w:rPr>
                <w:sz w:val="16"/>
              </w:rPr>
            </w:pPr>
            <w:r>
              <w:rPr>
                <w:color w:val="231F20"/>
                <w:sz w:val="16"/>
              </w:rPr>
              <w:t>2,902</w:t>
            </w:r>
          </w:p>
        </w:tc>
      </w:tr>
      <w:tr>
        <w:trPr>
          <w:trHeight w:val="396" w:hRule="exact"/>
        </w:trPr>
        <w:tc>
          <w:tcPr>
            <w:tcW w:w="9121" w:type="dxa"/>
            <w:gridSpan w:val="6"/>
          </w:tcPr>
          <w:p>
            <w:pPr>
              <w:pStyle w:val="TableParagraph"/>
              <w:spacing w:before="4"/>
              <w:rPr>
                <w:sz w:val="15"/>
              </w:rPr>
            </w:pPr>
          </w:p>
          <w:p>
            <w:pPr>
              <w:pStyle w:val="TableParagraph"/>
              <w:tabs>
                <w:tab w:pos="9119" w:val="left" w:leader="none"/>
              </w:tabs>
              <w:spacing w:before="0"/>
              <w:rPr>
                <w:b/>
                <w:sz w:val="16"/>
              </w:rPr>
            </w:pPr>
            <w:r>
              <w:rPr>
                <w:b/>
                <w:color w:val="231F20"/>
                <w:sz w:val="16"/>
                <w:shd w:fill="D1D3D4" w:color="auto" w:val="clear"/>
              </w:rPr>
              <w:t> </w:t>
            </w:r>
            <w:r>
              <w:rPr>
                <w:b/>
                <w:color w:val="231F20"/>
                <w:spacing w:val="-20"/>
                <w:sz w:val="16"/>
                <w:shd w:fill="D1D3D4" w:color="auto" w:val="clear"/>
              </w:rPr>
              <w:t> </w:t>
            </w:r>
            <w:r>
              <w:rPr>
                <w:b/>
                <w:color w:val="231F20"/>
                <w:sz w:val="16"/>
                <w:shd w:fill="D1D3D4" w:color="auto" w:val="clear"/>
              </w:rPr>
              <w:t>CASH FLOWS FROM INVESTING ACTIVITIES:</w:t>
              <w:tab/>
            </w:r>
          </w:p>
        </w:tc>
      </w:tr>
      <w:tr>
        <w:trPr>
          <w:trHeight w:val="238" w:hRule="exact"/>
        </w:trPr>
        <w:tc>
          <w:tcPr>
            <w:tcW w:w="6680" w:type="dxa"/>
          </w:tcPr>
          <w:p>
            <w:pPr>
              <w:pStyle w:val="TableParagraph"/>
              <w:spacing w:before="29"/>
              <w:ind w:left="60"/>
              <w:rPr>
                <w:sz w:val="16"/>
              </w:rPr>
            </w:pPr>
            <w:r>
              <w:rPr>
                <w:color w:val="231F20"/>
                <w:sz w:val="16"/>
              </w:rPr>
              <w:t>Capital expenditures</w:t>
            </w:r>
          </w:p>
        </w:tc>
        <w:tc>
          <w:tcPr>
            <w:tcW w:w="681" w:type="dxa"/>
          </w:tcPr>
          <w:p>
            <w:pPr>
              <w:pStyle w:val="TableParagraph"/>
              <w:spacing w:before="29"/>
              <w:jc w:val="right"/>
              <w:rPr>
                <w:sz w:val="16"/>
              </w:rPr>
            </w:pPr>
            <w:r>
              <w:rPr>
                <w:color w:val="231F20"/>
                <w:sz w:val="16"/>
              </w:rPr>
              <w:t>(2,038)</w:t>
            </w:r>
          </w:p>
        </w:tc>
        <w:tc>
          <w:tcPr>
            <w:tcW w:w="199" w:type="dxa"/>
          </w:tcPr>
          <w:p>
            <w:pPr/>
          </w:p>
        </w:tc>
        <w:tc>
          <w:tcPr>
            <w:tcW w:w="681" w:type="dxa"/>
          </w:tcPr>
          <w:p>
            <w:pPr>
              <w:pStyle w:val="TableParagraph"/>
              <w:spacing w:before="29"/>
              <w:jc w:val="right"/>
              <w:rPr>
                <w:sz w:val="16"/>
              </w:rPr>
            </w:pPr>
            <w:r>
              <w:rPr>
                <w:color w:val="231F20"/>
                <w:sz w:val="16"/>
              </w:rPr>
              <w:t>(2,041)</w:t>
            </w:r>
          </w:p>
        </w:tc>
        <w:tc>
          <w:tcPr>
            <w:tcW w:w="199" w:type="dxa"/>
          </w:tcPr>
          <w:p>
            <w:pPr/>
          </w:p>
        </w:tc>
        <w:tc>
          <w:tcPr>
            <w:tcW w:w="681" w:type="dxa"/>
          </w:tcPr>
          <w:p>
            <w:pPr>
              <w:pStyle w:val="TableParagraph"/>
              <w:spacing w:before="29"/>
              <w:jc w:val="right"/>
              <w:rPr>
                <w:sz w:val="16"/>
              </w:rPr>
            </w:pPr>
            <w:r>
              <w:rPr>
                <w:color w:val="231F20"/>
                <w:sz w:val="16"/>
              </w:rPr>
              <w:t>(1,748)</w:t>
            </w:r>
          </w:p>
        </w:tc>
      </w:tr>
      <w:tr>
        <w:trPr>
          <w:trHeight w:val="218" w:hRule="exact"/>
        </w:trPr>
        <w:tc>
          <w:tcPr>
            <w:tcW w:w="6680" w:type="dxa"/>
            <w:shd w:val="clear" w:color="auto" w:fill="D1D3D4"/>
          </w:tcPr>
          <w:p>
            <w:pPr>
              <w:pStyle w:val="TableParagraph"/>
              <w:spacing w:before="8"/>
              <w:ind w:left="60"/>
              <w:rPr>
                <w:sz w:val="16"/>
              </w:rPr>
            </w:pPr>
            <w:r>
              <w:rPr>
                <w:color w:val="231F20"/>
                <w:sz w:val="16"/>
              </w:rPr>
              <w:t>Assets constructed for others</w:t>
            </w:r>
          </w:p>
        </w:tc>
        <w:tc>
          <w:tcPr>
            <w:tcW w:w="681" w:type="dxa"/>
            <w:shd w:val="clear" w:color="auto" w:fill="D1D3D4"/>
          </w:tcPr>
          <w:p>
            <w:pPr>
              <w:pStyle w:val="TableParagraph"/>
              <w:spacing w:before="8"/>
              <w:jc w:val="right"/>
              <w:rPr>
                <w:sz w:val="16"/>
              </w:rPr>
            </w:pPr>
            <w:r>
              <w:rPr>
                <w:color w:val="231F20"/>
                <w:sz w:val="16"/>
              </w:rPr>
              <w:t>(109)</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(102)</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(80)</w:t>
            </w:r>
          </w:p>
        </w:tc>
      </w:tr>
      <w:tr>
        <w:trPr>
          <w:trHeight w:val="218" w:hRule="exact"/>
        </w:trPr>
        <w:tc>
          <w:tcPr>
            <w:tcW w:w="6680" w:type="dxa"/>
          </w:tcPr>
          <w:p>
            <w:pPr>
              <w:pStyle w:val="TableParagraph"/>
              <w:spacing w:before="8"/>
              <w:ind w:left="60"/>
              <w:rPr>
                <w:sz w:val="16"/>
              </w:rPr>
            </w:pPr>
            <w:r>
              <w:rPr>
                <w:color w:val="231F20"/>
                <w:sz w:val="16"/>
              </w:rPr>
              <w:t>Purchases of short-term investments</w:t>
            </w:r>
          </w:p>
        </w:tc>
        <w:tc>
          <w:tcPr>
            <w:tcW w:w="681" w:type="dxa"/>
          </w:tcPr>
          <w:p>
            <w:pPr>
              <w:pStyle w:val="TableParagraph"/>
              <w:spacing w:before="8"/>
              <w:ind w:right="-1"/>
              <w:jc w:val="right"/>
              <w:rPr>
                <w:sz w:val="16"/>
              </w:rPr>
            </w:pPr>
            <w:r>
              <w:rPr>
                <w:color w:val="231F20"/>
                <w:sz w:val="16"/>
              </w:rPr>
              <w:t>(2,388)</w:t>
            </w:r>
          </w:p>
        </w:tc>
        <w:tc>
          <w:tcPr>
            <w:tcW w:w="199" w:type="dxa"/>
          </w:tcPr>
          <w:p>
            <w:pPr/>
          </w:p>
        </w:tc>
        <w:tc>
          <w:tcPr>
            <w:tcW w:w="681" w:type="dxa"/>
          </w:tcPr>
          <w:p>
            <w:pPr>
              <w:pStyle w:val="TableParagraph"/>
              <w:spacing w:before="8"/>
              <w:jc w:val="right"/>
              <w:rPr>
                <w:sz w:val="16"/>
              </w:rPr>
            </w:pPr>
            <w:r>
              <w:rPr>
                <w:color w:val="231F20"/>
                <w:sz w:val="16"/>
              </w:rPr>
              <w:t>(1,986)</w:t>
            </w:r>
          </w:p>
        </w:tc>
        <w:tc>
          <w:tcPr>
            <w:tcW w:w="199" w:type="dxa"/>
          </w:tcPr>
          <w:p>
            <w:pPr/>
          </w:p>
        </w:tc>
        <w:tc>
          <w:tcPr>
            <w:tcW w:w="681" w:type="dxa"/>
          </w:tcPr>
          <w:p>
            <w:pPr>
              <w:pStyle w:val="TableParagraph"/>
              <w:spacing w:before="8"/>
              <w:jc w:val="right"/>
              <w:rPr>
                <w:sz w:val="16"/>
              </w:rPr>
            </w:pPr>
            <w:r>
              <w:rPr>
                <w:color w:val="231F20"/>
                <w:sz w:val="16"/>
              </w:rPr>
              <w:t>(3,080)</w:t>
            </w:r>
          </w:p>
        </w:tc>
      </w:tr>
      <w:tr>
        <w:trPr>
          <w:trHeight w:val="218" w:hRule="exact"/>
        </w:trPr>
        <w:tc>
          <w:tcPr>
            <w:tcW w:w="6680" w:type="dxa"/>
            <w:shd w:val="clear" w:color="auto" w:fill="D1D3D4"/>
          </w:tcPr>
          <w:p>
            <w:pPr>
              <w:pStyle w:val="TableParagraph"/>
              <w:spacing w:before="8"/>
              <w:ind w:left="60"/>
              <w:rPr>
                <w:sz w:val="16"/>
              </w:rPr>
            </w:pPr>
            <w:r>
              <w:rPr>
                <w:color w:val="231F20"/>
                <w:sz w:val="16"/>
              </w:rPr>
              <w:t>Proceeds from sales of short-term and other investments</w:t>
            </w:r>
          </w:p>
        </w:tc>
        <w:tc>
          <w:tcPr>
            <w:tcW w:w="681" w:type="dxa"/>
            <w:shd w:val="clear" w:color="auto" w:fill="D1D3D4"/>
          </w:tcPr>
          <w:p>
            <w:pPr>
              <w:pStyle w:val="TableParagraph"/>
              <w:spacing w:before="8"/>
              <w:ind w:right="51"/>
              <w:jc w:val="right"/>
              <w:rPr>
                <w:sz w:val="16"/>
              </w:rPr>
            </w:pPr>
            <w:r>
              <w:rPr>
                <w:color w:val="231F20"/>
                <w:sz w:val="16"/>
              </w:rPr>
              <w:t>2,263</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2,223</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3,185</w:t>
            </w:r>
          </w:p>
        </w:tc>
      </w:tr>
      <w:tr>
        <w:trPr>
          <w:trHeight w:val="233" w:hRule="exact"/>
        </w:trPr>
        <w:tc>
          <w:tcPr>
            <w:tcW w:w="6680" w:type="dxa"/>
          </w:tcPr>
          <w:p>
            <w:pPr>
              <w:pStyle w:val="TableParagraph"/>
              <w:spacing w:before="8"/>
              <w:ind w:left="60"/>
              <w:rPr>
                <w:sz w:val="16"/>
              </w:rPr>
            </w:pPr>
            <w:r>
              <w:rPr>
                <w:color w:val="231F20"/>
                <w:sz w:val="16"/>
              </w:rPr>
              <w:t>Other, net</w:t>
            </w:r>
          </w:p>
        </w:tc>
        <w:tc>
          <w:tcPr>
            <w:tcW w:w="681" w:type="dxa"/>
            <w:tcBorders>
              <w:bottom w:val="single" w:sz="4" w:space="0" w:color="231F20"/>
            </w:tcBorders>
          </w:tcPr>
          <w:p>
            <w:pPr>
              <w:pStyle w:val="TableParagraph"/>
              <w:spacing w:before="8"/>
              <w:ind w:right="51"/>
              <w:jc w:val="right"/>
              <w:rPr>
                <w:sz w:val="16"/>
              </w:rPr>
            </w:pPr>
            <w:r>
              <w:rPr>
                <w:color w:val="231F20"/>
                <w:sz w:val="16"/>
              </w:rPr>
              <w:t>—</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(7)</w:t>
            </w:r>
          </w:p>
        </w:tc>
        <w:tc>
          <w:tcPr>
            <w:tcW w:w="199" w:type="dxa"/>
          </w:tcPr>
          <w:p>
            <w:pPr/>
          </w:p>
        </w:tc>
        <w:tc>
          <w:tcPr>
            <w:tcW w:w="681" w:type="dxa"/>
            <w:tcBorders>
              <w:bottom w:val="single" w:sz="4" w:space="0" w:color="231F20"/>
            </w:tcBorders>
          </w:tcPr>
          <w:p>
            <w:pPr>
              <w:pStyle w:val="TableParagraph"/>
              <w:spacing w:before="8"/>
              <w:jc w:val="right"/>
              <w:rPr>
                <w:sz w:val="16"/>
              </w:rPr>
            </w:pPr>
            <w:r>
              <w:rPr>
                <w:color w:val="231F20"/>
                <w:sz w:val="16"/>
              </w:rPr>
              <w:t>(4)</w:t>
            </w:r>
          </w:p>
        </w:tc>
      </w:tr>
      <w:tr>
        <w:trPr>
          <w:trHeight w:val="223" w:hRule="exact"/>
        </w:trPr>
        <w:tc>
          <w:tcPr>
            <w:tcW w:w="6680" w:type="dxa"/>
            <w:shd w:val="clear" w:color="auto" w:fill="D1D3D4"/>
          </w:tcPr>
          <w:p>
            <w:pPr>
              <w:pStyle w:val="TableParagraph"/>
              <w:spacing w:before="8"/>
              <w:ind w:left="380"/>
              <w:rPr>
                <w:sz w:val="16"/>
              </w:rPr>
            </w:pPr>
            <w:r>
              <w:rPr>
                <w:color w:val="231F20"/>
                <w:sz w:val="16"/>
              </w:rPr>
              <w:t>Net cash used in investing activities</w:t>
            </w:r>
          </w:p>
        </w:tc>
        <w:tc>
          <w:tcPr>
            <w:tcW w:w="681" w:type="dxa"/>
            <w:tcBorders>
              <w:top w:val="single" w:sz="4" w:space="0" w:color="231F20"/>
            </w:tcBorders>
            <w:shd w:val="clear" w:color="auto" w:fill="D1D3D4"/>
          </w:tcPr>
          <w:p>
            <w:pPr>
              <w:pStyle w:val="TableParagraph"/>
              <w:spacing w:before="8"/>
              <w:ind w:right="-1"/>
              <w:jc w:val="right"/>
              <w:rPr>
                <w:sz w:val="16"/>
              </w:rPr>
            </w:pPr>
            <w:r>
              <w:rPr>
                <w:color w:val="231F20"/>
                <w:sz w:val="16"/>
              </w:rPr>
              <w:t>(2,272)</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jc w:val="right"/>
              <w:rPr>
                <w:sz w:val="16"/>
              </w:rPr>
            </w:pPr>
            <w:r>
              <w:rPr>
                <w:color w:val="231F20"/>
                <w:sz w:val="16"/>
              </w:rPr>
              <w:t>(1,913)</w:t>
            </w:r>
          </w:p>
        </w:tc>
        <w:tc>
          <w:tcPr>
            <w:tcW w:w="199" w:type="dxa"/>
            <w:shd w:val="clear" w:color="auto" w:fill="D1D3D4"/>
          </w:tcPr>
          <w:p>
            <w:pPr/>
          </w:p>
        </w:tc>
        <w:tc>
          <w:tcPr>
            <w:tcW w:w="681" w:type="dxa"/>
            <w:tcBorders>
              <w:top w:val="single" w:sz="4" w:space="0" w:color="231F20"/>
            </w:tcBorders>
            <w:shd w:val="clear" w:color="auto" w:fill="D1D3D4"/>
          </w:tcPr>
          <w:p>
            <w:pPr>
              <w:pStyle w:val="TableParagraph"/>
              <w:spacing w:before="8"/>
              <w:jc w:val="right"/>
              <w:rPr>
                <w:sz w:val="16"/>
              </w:rPr>
            </w:pPr>
            <w:r>
              <w:rPr>
                <w:color w:val="231F20"/>
                <w:sz w:val="16"/>
              </w:rPr>
              <w:t>(1,727)</w:t>
            </w:r>
          </w:p>
        </w:tc>
      </w:tr>
      <w:tr>
        <w:trPr>
          <w:trHeight w:val="431" w:hRule="exact"/>
        </w:trPr>
        <w:tc>
          <w:tcPr>
            <w:tcW w:w="9121" w:type="dxa"/>
            <w:gridSpan w:val="6"/>
          </w:tcPr>
          <w:p>
            <w:pPr>
              <w:pStyle w:val="TableParagraph"/>
              <w:spacing w:before="8"/>
              <w:rPr>
                <w:sz w:val="19"/>
              </w:rPr>
            </w:pPr>
          </w:p>
          <w:p>
            <w:pPr>
              <w:pStyle w:val="TableParagraph"/>
              <w:tabs>
                <w:tab w:pos="9119" w:val="left" w:leader="none"/>
              </w:tabs>
              <w:spacing w:before="0"/>
              <w:rPr>
                <w:b/>
                <w:sz w:val="16"/>
              </w:rPr>
            </w:pPr>
            <w:r>
              <w:rPr>
                <w:b/>
                <w:color w:val="231F20"/>
                <w:sz w:val="16"/>
                <w:shd w:fill="D1D3D4" w:color="auto" w:val="clear"/>
              </w:rPr>
              <w:t> </w:t>
            </w:r>
            <w:r>
              <w:rPr>
                <w:b/>
                <w:color w:val="231F20"/>
                <w:spacing w:val="-20"/>
                <w:sz w:val="16"/>
                <w:shd w:fill="D1D3D4" w:color="auto" w:val="clear"/>
              </w:rPr>
              <w:t> </w:t>
            </w:r>
            <w:r>
              <w:rPr>
                <w:b/>
                <w:color w:val="231F20"/>
                <w:sz w:val="16"/>
                <w:shd w:fill="D1D3D4" w:color="auto" w:val="clear"/>
              </w:rPr>
              <w:t>CASH FLOWS FROM FINANCING ACTIVITIES:</w:t>
              <w:tab/>
            </w:r>
          </w:p>
        </w:tc>
      </w:tr>
      <w:tr>
        <w:trPr>
          <w:trHeight w:val="223" w:hRule="exact"/>
        </w:trPr>
        <w:tc>
          <w:tcPr>
            <w:tcW w:w="6680" w:type="dxa"/>
          </w:tcPr>
          <w:p>
            <w:pPr>
              <w:pStyle w:val="TableParagraph"/>
              <w:spacing w:line="178" w:lineRule="exact" w:before="0"/>
              <w:ind w:left="60"/>
              <w:rPr>
                <w:sz w:val="16"/>
              </w:rPr>
            </w:pPr>
            <w:r>
              <w:rPr>
                <w:color w:val="231F20"/>
                <w:sz w:val="16"/>
              </w:rPr>
              <w:t>Proceeds from issuance of long-term debt</w:t>
            </w:r>
          </w:p>
        </w:tc>
        <w:tc>
          <w:tcPr>
            <w:tcW w:w="681" w:type="dxa"/>
          </w:tcPr>
          <w:p>
            <w:pPr>
              <w:pStyle w:val="TableParagraph"/>
              <w:spacing w:line="178" w:lineRule="exact" w:before="0"/>
              <w:ind w:right="51"/>
              <w:jc w:val="right"/>
              <w:rPr>
                <w:sz w:val="16"/>
              </w:rPr>
            </w:pPr>
            <w:r>
              <w:rPr>
                <w:color w:val="231F20"/>
                <w:sz w:val="16"/>
              </w:rPr>
              <w:t>515</w:t>
            </w:r>
          </w:p>
        </w:tc>
        <w:tc>
          <w:tcPr>
            <w:tcW w:w="199" w:type="dxa"/>
          </w:tcPr>
          <w:p>
            <w:pPr/>
          </w:p>
        </w:tc>
        <w:tc>
          <w:tcPr>
            <w:tcW w:w="681" w:type="dxa"/>
          </w:tcPr>
          <w:p>
            <w:pPr>
              <w:pStyle w:val="TableParagraph"/>
              <w:spacing w:line="178" w:lineRule="exact" w:before="0"/>
              <w:ind w:right="51"/>
              <w:jc w:val="right"/>
              <w:rPr>
                <w:sz w:val="16"/>
              </w:rPr>
            </w:pPr>
            <w:r>
              <w:rPr>
                <w:color w:val="231F20"/>
                <w:sz w:val="16"/>
              </w:rPr>
              <w:t>500</w:t>
            </w:r>
          </w:p>
        </w:tc>
        <w:tc>
          <w:tcPr>
            <w:tcW w:w="199" w:type="dxa"/>
          </w:tcPr>
          <w:p>
            <w:pPr/>
          </w:p>
        </w:tc>
        <w:tc>
          <w:tcPr>
            <w:tcW w:w="681" w:type="dxa"/>
          </w:tcPr>
          <w:p>
            <w:pPr>
              <w:pStyle w:val="TableParagraph"/>
              <w:spacing w:line="178" w:lineRule="exact" w:before="0"/>
              <w:ind w:right="51"/>
              <w:jc w:val="right"/>
              <w:rPr>
                <w:sz w:val="16"/>
              </w:rPr>
            </w:pPr>
            <w:r>
              <w:rPr>
                <w:color w:val="231F20"/>
                <w:sz w:val="16"/>
              </w:rPr>
              <w:t>300</w:t>
            </w:r>
          </w:p>
        </w:tc>
      </w:tr>
      <w:tr>
        <w:trPr>
          <w:trHeight w:val="218" w:hRule="exact"/>
        </w:trPr>
        <w:tc>
          <w:tcPr>
            <w:tcW w:w="6680" w:type="dxa"/>
            <w:shd w:val="clear" w:color="auto" w:fill="D1D3D4"/>
          </w:tcPr>
          <w:p>
            <w:pPr>
              <w:pStyle w:val="TableParagraph"/>
              <w:spacing w:before="8"/>
              <w:ind w:left="60"/>
              <w:rPr>
                <w:sz w:val="16"/>
              </w:rPr>
            </w:pPr>
            <w:r>
              <w:rPr>
                <w:color w:val="231F20"/>
                <w:sz w:val="16"/>
              </w:rPr>
              <w:t>Proceeds from Employee stock plans</w:t>
            </w:r>
          </w:p>
        </w:tc>
        <w:tc>
          <w:tcPr>
            <w:tcW w:w="681" w:type="dxa"/>
            <w:shd w:val="clear" w:color="auto" w:fill="D1D3D4"/>
          </w:tcPr>
          <w:p>
            <w:pPr>
              <w:pStyle w:val="TableParagraph"/>
              <w:spacing w:before="8"/>
              <w:ind w:right="51"/>
              <w:jc w:val="right"/>
              <w:rPr>
                <w:sz w:val="16"/>
              </w:rPr>
            </w:pPr>
            <w:r>
              <w:rPr>
                <w:color w:val="231F20"/>
                <w:sz w:val="16"/>
              </w:rPr>
              <w:t>29</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46</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110</w:t>
            </w:r>
          </w:p>
        </w:tc>
      </w:tr>
      <w:tr>
        <w:trPr>
          <w:trHeight w:val="218" w:hRule="exact"/>
        </w:trPr>
        <w:tc>
          <w:tcPr>
            <w:tcW w:w="6680" w:type="dxa"/>
          </w:tcPr>
          <w:p>
            <w:pPr>
              <w:pStyle w:val="TableParagraph"/>
              <w:spacing w:before="8"/>
              <w:ind w:left="60"/>
              <w:rPr>
                <w:sz w:val="16"/>
              </w:rPr>
            </w:pPr>
            <w:r>
              <w:rPr>
                <w:color w:val="231F20"/>
                <w:sz w:val="16"/>
              </w:rPr>
              <w:t>Reimbursement for assets constructed for others</w:t>
            </w:r>
          </w:p>
        </w:tc>
        <w:tc>
          <w:tcPr>
            <w:tcW w:w="681" w:type="dxa"/>
          </w:tcPr>
          <w:p>
            <w:pPr>
              <w:pStyle w:val="TableParagraph"/>
              <w:spacing w:before="8"/>
              <w:ind w:right="51"/>
              <w:jc w:val="right"/>
              <w:rPr>
                <w:sz w:val="16"/>
              </w:rPr>
            </w:pPr>
            <w:r>
              <w:rPr>
                <w:color w:val="231F20"/>
                <w:sz w:val="16"/>
              </w:rPr>
              <w:t>107</w:t>
            </w:r>
          </w:p>
        </w:tc>
        <w:tc>
          <w:tcPr>
            <w:tcW w:w="199" w:type="dxa"/>
          </w:tcPr>
          <w:p>
            <w:pPr/>
          </w:p>
        </w:tc>
        <w:tc>
          <w:tcPr>
            <w:tcW w:w="681" w:type="dxa"/>
          </w:tcPr>
          <w:p>
            <w:pPr>
              <w:pStyle w:val="TableParagraph"/>
              <w:spacing w:before="8"/>
              <w:ind w:right="51"/>
              <w:jc w:val="right"/>
              <w:rPr>
                <w:sz w:val="16"/>
              </w:rPr>
            </w:pPr>
            <w:r>
              <w:rPr>
                <w:color w:val="231F20"/>
                <w:sz w:val="16"/>
              </w:rPr>
              <w:t>24</w:t>
            </w:r>
          </w:p>
        </w:tc>
        <w:tc>
          <w:tcPr>
            <w:tcW w:w="199" w:type="dxa"/>
          </w:tcPr>
          <w:p>
            <w:pPr/>
          </w:p>
        </w:tc>
        <w:tc>
          <w:tcPr>
            <w:tcW w:w="681" w:type="dxa"/>
          </w:tcPr>
          <w:p>
            <w:pPr>
              <w:pStyle w:val="TableParagraph"/>
              <w:spacing w:before="8"/>
              <w:ind w:right="51"/>
              <w:jc w:val="right"/>
              <w:rPr>
                <w:sz w:val="16"/>
              </w:rPr>
            </w:pPr>
            <w:r>
              <w:rPr>
                <w:color w:val="231F20"/>
                <w:sz w:val="16"/>
              </w:rPr>
              <w:t>27</w:t>
            </w:r>
          </w:p>
        </w:tc>
      </w:tr>
      <w:tr>
        <w:trPr>
          <w:trHeight w:val="218" w:hRule="exact"/>
        </w:trPr>
        <w:tc>
          <w:tcPr>
            <w:tcW w:w="6680" w:type="dxa"/>
            <w:shd w:val="clear" w:color="auto" w:fill="D1D3D4"/>
          </w:tcPr>
          <w:p>
            <w:pPr>
              <w:pStyle w:val="TableParagraph"/>
              <w:spacing w:before="8"/>
              <w:ind w:left="60"/>
              <w:rPr>
                <w:sz w:val="16"/>
              </w:rPr>
            </w:pPr>
            <w:r>
              <w:rPr>
                <w:color w:val="231F20"/>
                <w:sz w:val="16"/>
              </w:rPr>
              <w:t>Proceeds from termination of interest rate derivative instrument</w:t>
            </w:r>
          </w:p>
        </w:tc>
        <w:tc>
          <w:tcPr>
            <w:tcW w:w="681" w:type="dxa"/>
            <w:shd w:val="clear" w:color="auto" w:fill="D1D3D4"/>
          </w:tcPr>
          <w:p>
            <w:pPr>
              <w:pStyle w:val="TableParagraph"/>
              <w:spacing w:before="8"/>
              <w:ind w:right="51"/>
              <w:jc w:val="right"/>
              <w:rPr>
                <w:sz w:val="16"/>
              </w:rPr>
            </w:pPr>
            <w:r>
              <w:rPr>
                <w:color w:val="231F20"/>
                <w:sz w:val="16"/>
              </w:rPr>
              <w:t>—</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12</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w:t>
            </w:r>
          </w:p>
        </w:tc>
      </w:tr>
      <w:tr>
        <w:trPr>
          <w:trHeight w:val="218" w:hRule="exact"/>
        </w:trPr>
        <w:tc>
          <w:tcPr>
            <w:tcW w:w="6680" w:type="dxa"/>
          </w:tcPr>
          <w:p>
            <w:pPr>
              <w:pStyle w:val="TableParagraph"/>
              <w:spacing w:before="8"/>
              <w:ind w:left="60"/>
              <w:rPr>
                <w:sz w:val="16"/>
              </w:rPr>
            </w:pPr>
            <w:r>
              <w:rPr>
                <w:color w:val="231F20"/>
                <w:sz w:val="16"/>
              </w:rPr>
              <w:t>Payments of long-term debt and capital lease obligations</w:t>
            </w:r>
          </w:p>
        </w:tc>
        <w:tc>
          <w:tcPr>
            <w:tcW w:w="681" w:type="dxa"/>
          </w:tcPr>
          <w:p>
            <w:pPr>
              <w:pStyle w:val="TableParagraph"/>
              <w:spacing w:before="8"/>
              <w:ind w:right="-1"/>
              <w:jc w:val="right"/>
              <w:rPr>
                <w:sz w:val="16"/>
              </w:rPr>
            </w:pPr>
            <w:r>
              <w:rPr>
                <w:color w:val="231F20"/>
                <w:sz w:val="16"/>
              </w:rPr>
              <w:t>(523)</w:t>
            </w:r>
          </w:p>
        </w:tc>
        <w:tc>
          <w:tcPr>
            <w:tcW w:w="199" w:type="dxa"/>
          </w:tcPr>
          <w:p>
            <w:pPr/>
          </w:p>
        </w:tc>
        <w:tc>
          <w:tcPr>
            <w:tcW w:w="681" w:type="dxa"/>
          </w:tcPr>
          <w:p>
            <w:pPr>
              <w:pStyle w:val="TableParagraph"/>
              <w:spacing w:before="8"/>
              <w:jc w:val="right"/>
              <w:rPr>
                <w:sz w:val="16"/>
              </w:rPr>
            </w:pPr>
            <w:r>
              <w:rPr>
                <w:color w:val="231F20"/>
                <w:sz w:val="16"/>
              </w:rPr>
              <w:t>(213)</w:t>
            </w:r>
          </w:p>
        </w:tc>
        <w:tc>
          <w:tcPr>
            <w:tcW w:w="199" w:type="dxa"/>
          </w:tcPr>
          <w:p>
            <w:pPr/>
          </w:p>
        </w:tc>
        <w:tc>
          <w:tcPr>
            <w:tcW w:w="681" w:type="dxa"/>
          </w:tcPr>
          <w:p>
            <w:pPr>
              <w:pStyle w:val="TableParagraph"/>
              <w:spacing w:before="8"/>
              <w:jc w:val="right"/>
              <w:rPr>
                <w:sz w:val="16"/>
              </w:rPr>
            </w:pPr>
            <w:r>
              <w:rPr>
                <w:color w:val="231F20"/>
                <w:sz w:val="16"/>
              </w:rPr>
              <w:t>(561)</w:t>
            </w:r>
          </w:p>
        </w:tc>
      </w:tr>
      <w:tr>
        <w:trPr>
          <w:trHeight w:val="218" w:hRule="exact"/>
        </w:trPr>
        <w:tc>
          <w:tcPr>
            <w:tcW w:w="6680" w:type="dxa"/>
            <w:shd w:val="clear" w:color="auto" w:fill="D1D3D4"/>
          </w:tcPr>
          <w:p>
            <w:pPr>
              <w:pStyle w:val="TableParagraph"/>
              <w:spacing w:before="8"/>
              <w:ind w:left="60"/>
              <w:rPr>
                <w:sz w:val="16"/>
              </w:rPr>
            </w:pPr>
            <w:r>
              <w:rPr>
                <w:color w:val="231F20"/>
                <w:sz w:val="16"/>
              </w:rPr>
              <w:t>Payments of convertible debt</w:t>
            </w:r>
          </w:p>
        </w:tc>
        <w:tc>
          <w:tcPr>
            <w:tcW w:w="681" w:type="dxa"/>
            <w:shd w:val="clear" w:color="auto" w:fill="D1D3D4"/>
          </w:tcPr>
          <w:p>
            <w:pPr>
              <w:pStyle w:val="TableParagraph"/>
              <w:spacing w:before="8"/>
              <w:jc w:val="right"/>
              <w:rPr>
                <w:sz w:val="16"/>
              </w:rPr>
            </w:pPr>
            <w:r>
              <w:rPr>
                <w:color w:val="231F20"/>
                <w:sz w:val="16"/>
              </w:rPr>
              <w:t>(68)</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w:t>
            </w:r>
          </w:p>
        </w:tc>
        <w:tc>
          <w:tcPr>
            <w:tcW w:w="199" w:type="dxa"/>
            <w:shd w:val="clear" w:color="auto" w:fill="D1D3D4"/>
          </w:tcPr>
          <w:p>
            <w:pPr/>
          </w:p>
        </w:tc>
        <w:tc>
          <w:tcPr>
            <w:tcW w:w="681" w:type="dxa"/>
            <w:shd w:val="clear" w:color="auto" w:fill="D1D3D4"/>
          </w:tcPr>
          <w:p>
            <w:pPr>
              <w:pStyle w:val="TableParagraph"/>
              <w:spacing w:before="8"/>
              <w:ind w:right="51"/>
              <w:jc w:val="right"/>
              <w:rPr>
                <w:sz w:val="16"/>
              </w:rPr>
            </w:pPr>
            <w:r>
              <w:rPr>
                <w:color w:val="231F20"/>
                <w:sz w:val="16"/>
              </w:rPr>
              <w:t>—</w:t>
            </w:r>
          </w:p>
        </w:tc>
      </w:tr>
      <w:tr>
        <w:trPr>
          <w:trHeight w:val="218" w:hRule="exact"/>
        </w:trPr>
        <w:tc>
          <w:tcPr>
            <w:tcW w:w="6680" w:type="dxa"/>
          </w:tcPr>
          <w:p>
            <w:pPr>
              <w:pStyle w:val="TableParagraph"/>
              <w:spacing w:before="8"/>
              <w:ind w:left="60"/>
              <w:rPr>
                <w:sz w:val="16"/>
              </w:rPr>
            </w:pPr>
            <w:r>
              <w:rPr>
                <w:color w:val="231F20"/>
                <w:sz w:val="16"/>
              </w:rPr>
              <w:t>Payments of cash dividends</w:t>
            </w:r>
          </w:p>
        </w:tc>
        <w:tc>
          <w:tcPr>
            <w:tcW w:w="681" w:type="dxa"/>
          </w:tcPr>
          <w:p>
            <w:pPr>
              <w:pStyle w:val="TableParagraph"/>
              <w:spacing w:before="8"/>
              <w:jc w:val="right"/>
              <w:rPr>
                <w:sz w:val="16"/>
              </w:rPr>
            </w:pPr>
            <w:r>
              <w:rPr>
                <w:color w:val="231F20"/>
                <w:sz w:val="16"/>
              </w:rPr>
              <w:t>(222)</w:t>
            </w:r>
          </w:p>
        </w:tc>
        <w:tc>
          <w:tcPr>
            <w:tcW w:w="199" w:type="dxa"/>
          </w:tcPr>
          <w:p>
            <w:pPr/>
          </w:p>
        </w:tc>
        <w:tc>
          <w:tcPr>
            <w:tcW w:w="681" w:type="dxa"/>
          </w:tcPr>
          <w:p>
            <w:pPr>
              <w:pStyle w:val="TableParagraph"/>
              <w:spacing w:before="8"/>
              <w:jc w:val="right"/>
              <w:rPr>
                <w:sz w:val="16"/>
              </w:rPr>
            </w:pPr>
            <w:r>
              <w:rPr>
                <w:color w:val="231F20"/>
                <w:sz w:val="16"/>
              </w:rPr>
              <w:t>(180)</w:t>
            </w:r>
          </w:p>
        </w:tc>
        <w:tc>
          <w:tcPr>
            <w:tcW w:w="199" w:type="dxa"/>
          </w:tcPr>
          <w:p>
            <w:pPr/>
          </w:p>
        </w:tc>
        <w:tc>
          <w:tcPr>
            <w:tcW w:w="681" w:type="dxa"/>
          </w:tcPr>
          <w:p>
            <w:pPr>
              <w:pStyle w:val="TableParagraph"/>
              <w:spacing w:before="8"/>
              <w:jc w:val="right"/>
              <w:rPr>
                <w:sz w:val="16"/>
              </w:rPr>
            </w:pPr>
            <w:r>
              <w:rPr>
                <w:color w:val="231F20"/>
                <w:sz w:val="16"/>
              </w:rPr>
              <w:t>(139)</w:t>
            </w:r>
          </w:p>
        </w:tc>
      </w:tr>
      <w:tr>
        <w:trPr>
          <w:trHeight w:val="218" w:hRule="exact"/>
        </w:trPr>
        <w:tc>
          <w:tcPr>
            <w:tcW w:w="6680" w:type="dxa"/>
            <w:shd w:val="clear" w:color="auto" w:fill="D1D3D4"/>
          </w:tcPr>
          <w:p>
            <w:pPr>
              <w:pStyle w:val="TableParagraph"/>
              <w:spacing w:before="8"/>
              <w:ind w:left="60"/>
              <w:rPr>
                <w:sz w:val="16"/>
              </w:rPr>
            </w:pPr>
            <w:r>
              <w:rPr>
                <w:color w:val="231F20"/>
                <w:sz w:val="16"/>
              </w:rPr>
              <w:t>Repayment of construction obligation</w:t>
            </w:r>
          </w:p>
        </w:tc>
        <w:tc>
          <w:tcPr>
            <w:tcW w:w="681" w:type="dxa"/>
            <w:shd w:val="clear" w:color="auto" w:fill="D1D3D4"/>
          </w:tcPr>
          <w:p>
            <w:pPr>
              <w:pStyle w:val="TableParagraph"/>
              <w:spacing w:before="8"/>
              <w:ind w:right="-1"/>
              <w:jc w:val="right"/>
              <w:rPr>
                <w:sz w:val="16"/>
              </w:rPr>
            </w:pPr>
            <w:r>
              <w:rPr>
                <w:color w:val="231F20"/>
                <w:sz w:val="16"/>
              </w:rPr>
              <w:t>(9)</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(10)</w:t>
            </w:r>
          </w:p>
        </w:tc>
        <w:tc>
          <w:tcPr>
            <w:tcW w:w="199" w:type="dxa"/>
            <w:shd w:val="clear" w:color="auto" w:fill="D1D3D4"/>
          </w:tcPr>
          <w:p>
            <w:pPr/>
          </w:p>
        </w:tc>
        <w:tc>
          <w:tcPr>
            <w:tcW w:w="681" w:type="dxa"/>
            <w:shd w:val="clear" w:color="auto" w:fill="D1D3D4"/>
          </w:tcPr>
          <w:p>
            <w:pPr>
              <w:pStyle w:val="TableParagraph"/>
              <w:spacing w:before="8"/>
              <w:jc w:val="right"/>
              <w:rPr>
                <w:sz w:val="16"/>
              </w:rPr>
            </w:pPr>
            <w:r>
              <w:rPr>
                <w:color w:val="231F20"/>
                <w:sz w:val="16"/>
              </w:rPr>
              <w:t>(11)</w:t>
            </w:r>
          </w:p>
        </w:tc>
      </w:tr>
      <w:tr>
        <w:trPr>
          <w:trHeight w:val="218" w:hRule="exact"/>
        </w:trPr>
        <w:tc>
          <w:tcPr>
            <w:tcW w:w="6680" w:type="dxa"/>
          </w:tcPr>
          <w:p>
            <w:pPr>
              <w:pStyle w:val="TableParagraph"/>
              <w:spacing w:before="8"/>
              <w:ind w:left="60"/>
              <w:rPr>
                <w:sz w:val="16"/>
              </w:rPr>
            </w:pPr>
            <w:r>
              <w:rPr>
                <w:color w:val="231F20"/>
                <w:sz w:val="16"/>
              </w:rPr>
              <w:t>Repurchase of common stock</w:t>
            </w:r>
          </w:p>
        </w:tc>
        <w:tc>
          <w:tcPr>
            <w:tcW w:w="681" w:type="dxa"/>
          </w:tcPr>
          <w:p>
            <w:pPr>
              <w:pStyle w:val="TableParagraph"/>
              <w:spacing w:before="8"/>
              <w:ind w:right="-1"/>
              <w:jc w:val="right"/>
              <w:rPr>
                <w:sz w:val="16"/>
              </w:rPr>
            </w:pPr>
            <w:r>
              <w:rPr>
                <w:color w:val="231F20"/>
                <w:sz w:val="16"/>
              </w:rPr>
              <w:t>(1,750)</w:t>
            </w:r>
          </w:p>
        </w:tc>
        <w:tc>
          <w:tcPr>
            <w:tcW w:w="199" w:type="dxa"/>
          </w:tcPr>
          <w:p>
            <w:pPr/>
          </w:p>
        </w:tc>
        <w:tc>
          <w:tcPr>
            <w:tcW w:w="681" w:type="dxa"/>
          </w:tcPr>
          <w:p>
            <w:pPr>
              <w:pStyle w:val="TableParagraph"/>
              <w:spacing w:before="8"/>
              <w:jc w:val="right"/>
              <w:rPr>
                <w:sz w:val="16"/>
              </w:rPr>
            </w:pPr>
            <w:r>
              <w:rPr>
                <w:color w:val="231F20"/>
                <w:sz w:val="16"/>
              </w:rPr>
              <w:t>(1,180)</w:t>
            </w:r>
          </w:p>
        </w:tc>
        <w:tc>
          <w:tcPr>
            <w:tcW w:w="199" w:type="dxa"/>
          </w:tcPr>
          <w:p>
            <w:pPr/>
          </w:p>
        </w:tc>
        <w:tc>
          <w:tcPr>
            <w:tcW w:w="681" w:type="dxa"/>
          </w:tcPr>
          <w:p>
            <w:pPr>
              <w:pStyle w:val="TableParagraph"/>
              <w:spacing w:before="8"/>
              <w:jc w:val="right"/>
              <w:rPr>
                <w:sz w:val="16"/>
              </w:rPr>
            </w:pPr>
            <w:r>
              <w:rPr>
                <w:color w:val="231F20"/>
                <w:sz w:val="16"/>
              </w:rPr>
              <w:t>(955)</w:t>
            </w:r>
          </w:p>
        </w:tc>
      </w:tr>
      <w:tr>
        <w:trPr>
          <w:trHeight w:val="233" w:hRule="exact"/>
        </w:trPr>
        <w:tc>
          <w:tcPr>
            <w:tcW w:w="6680" w:type="dxa"/>
            <w:shd w:val="clear" w:color="auto" w:fill="D1D3D4"/>
          </w:tcPr>
          <w:p>
            <w:pPr>
              <w:pStyle w:val="TableParagraph"/>
              <w:spacing w:before="8"/>
              <w:ind w:left="60"/>
              <w:rPr>
                <w:sz w:val="16"/>
              </w:rPr>
            </w:pPr>
            <w:r>
              <w:rPr>
                <w:color w:val="231F20"/>
                <w:sz w:val="16"/>
              </w:rPr>
              <w:t>Other, net</w:t>
            </w:r>
          </w:p>
        </w:tc>
        <w:tc>
          <w:tcPr>
            <w:tcW w:w="681" w:type="dxa"/>
            <w:tcBorders>
              <w:bottom w:val="single" w:sz="4" w:space="0" w:color="231F20"/>
            </w:tcBorders>
            <w:shd w:val="clear" w:color="auto" w:fill="D1D3D4"/>
          </w:tcPr>
          <w:p>
            <w:pPr>
              <w:pStyle w:val="TableParagraph"/>
              <w:spacing w:before="8"/>
              <w:jc w:val="right"/>
              <w:rPr>
                <w:sz w:val="16"/>
              </w:rPr>
            </w:pPr>
            <w:r>
              <w:rPr>
                <w:color w:val="231F20"/>
                <w:sz w:val="16"/>
              </w:rPr>
              <w:t>(3)</w:t>
            </w:r>
          </w:p>
        </w:tc>
        <w:tc>
          <w:tcPr>
            <w:tcW w:w="199" w:type="dxa"/>
            <w:shd w:val="clear" w:color="auto" w:fill="D1D3D4"/>
          </w:tcPr>
          <w:p>
            <w:pPr/>
          </w:p>
        </w:tc>
        <w:tc>
          <w:tcPr>
            <w:tcW w:w="681" w:type="dxa"/>
            <w:tcBorders>
              <w:bottom w:val="single" w:sz="4" w:space="0" w:color="231F20"/>
            </w:tcBorders>
            <w:shd w:val="clear" w:color="auto" w:fill="D1D3D4"/>
          </w:tcPr>
          <w:p>
            <w:pPr>
              <w:pStyle w:val="TableParagraph"/>
              <w:spacing w:before="8"/>
              <w:jc w:val="right"/>
              <w:rPr>
                <w:sz w:val="16"/>
              </w:rPr>
            </w:pPr>
            <w:r>
              <w:rPr>
                <w:color w:val="231F20"/>
                <w:sz w:val="16"/>
              </w:rPr>
              <w:t>(23)</w:t>
            </w:r>
          </w:p>
        </w:tc>
        <w:tc>
          <w:tcPr>
            <w:tcW w:w="199" w:type="dxa"/>
            <w:shd w:val="clear" w:color="auto" w:fill="D1D3D4"/>
          </w:tcPr>
          <w:p>
            <w:pPr/>
          </w:p>
        </w:tc>
        <w:tc>
          <w:tcPr>
            <w:tcW w:w="681" w:type="dxa"/>
            <w:tcBorders>
              <w:bottom w:val="single" w:sz="4" w:space="0" w:color="231F20"/>
            </w:tcBorders>
            <w:shd w:val="clear" w:color="auto" w:fill="D1D3D4"/>
          </w:tcPr>
          <w:p>
            <w:pPr>
              <w:pStyle w:val="TableParagraph"/>
              <w:spacing w:before="8"/>
              <w:jc w:val="right"/>
              <w:rPr>
                <w:sz w:val="16"/>
              </w:rPr>
            </w:pPr>
            <w:r>
              <w:rPr>
                <w:color w:val="231F20"/>
                <w:sz w:val="16"/>
              </w:rPr>
              <w:t>(19)</w:t>
            </w:r>
          </w:p>
        </w:tc>
      </w:tr>
      <w:tr>
        <w:trPr>
          <w:trHeight w:val="223" w:hRule="exact"/>
        </w:trPr>
        <w:tc>
          <w:tcPr>
            <w:tcW w:w="6680" w:type="dxa"/>
          </w:tcPr>
          <w:p>
            <w:pPr>
              <w:pStyle w:val="TableParagraph"/>
              <w:spacing w:before="28"/>
              <w:ind w:left="380"/>
              <w:rPr>
                <w:sz w:val="16"/>
              </w:rPr>
            </w:pPr>
            <w:r>
              <w:rPr>
                <w:color w:val="231F20"/>
                <w:sz w:val="16"/>
              </w:rPr>
              <w:t>Net cash used in financing activities</w:t>
            </w:r>
          </w:p>
        </w:tc>
        <w:tc>
          <w:tcPr>
            <w:tcW w:w="681" w:type="dxa"/>
            <w:tcBorders>
              <w:top w:val="single" w:sz="4" w:space="0" w:color="231F20"/>
            </w:tcBorders>
          </w:tcPr>
          <w:p>
            <w:pPr>
              <w:pStyle w:val="TableParagraph"/>
              <w:spacing w:before="8"/>
              <w:ind w:right="-1"/>
              <w:jc w:val="right"/>
              <w:rPr>
                <w:sz w:val="16"/>
              </w:rPr>
            </w:pPr>
            <w:r>
              <w:rPr>
                <w:color w:val="231F20"/>
                <w:sz w:val="16"/>
              </w:rPr>
              <w:t>(1,924)</w:t>
            </w:r>
          </w:p>
        </w:tc>
        <w:tc>
          <w:tcPr>
            <w:tcW w:w="199" w:type="dxa"/>
          </w:tcPr>
          <w:p>
            <w:pPr/>
          </w:p>
        </w:tc>
        <w:tc>
          <w:tcPr>
            <w:tcW w:w="681" w:type="dxa"/>
            <w:tcBorders>
              <w:top w:val="single" w:sz="4" w:space="0" w:color="231F20"/>
            </w:tcBorders>
          </w:tcPr>
          <w:p>
            <w:pPr>
              <w:pStyle w:val="TableParagraph"/>
              <w:spacing w:before="8"/>
              <w:jc w:val="right"/>
              <w:rPr>
                <w:sz w:val="16"/>
              </w:rPr>
            </w:pPr>
            <w:r>
              <w:rPr>
                <w:color w:val="231F20"/>
                <w:sz w:val="16"/>
              </w:rPr>
              <w:t>(1,024)</w:t>
            </w:r>
          </w:p>
        </w:tc>
        <w:tc>
          <w:tcPr>
            <w:tcW w:w="199" w:type="dxa"/>
          </w:tcPr>
          <w:p>
            <w:pPr/>
          </w:p>
        </w:tc>
        <w:tc>
          <w:tcPr>
            <w:tcW w:w="681" w:type="dxa"/>
            <w:tcBorders>
              <w:top w:val="single" w:sz="4" w:space="0" w:color="231F20"/>
            </w:tcBorders>
          </w:tcPr>
          <w:p>
            <w:pPr>
              <w:pStyle w:val="TableParagraph"/>
              <w:spacing w:before="8"/>
              <w:jc w:val="right"/>
              <w:rPr>
                <w:sz w:val="16"/>
              </w:rPr>
            </w:pPr>
            <w:r>
              <w:rPr>
                <w:color w:val="231F20"/>
                <w:sz w:val="16"/>
              </w:rPr>
              <w:t>(1,248)</w:t>
            </w:r>
          </w:p>
        </w:tc>
      </w:tr>
      <w:tr>
        <w:trPr>
          <w:trHeight w:val="18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NET CHANGE IN CASH AND CASH EQUIVALENTS</w:t>
            </w:r>
          </w:p>
        </w:tc>
        <w:tc>
          <w:tcPr>
            <w:tcW w:w="681" w:type="dxa"/>
          </w:tcPr>
          <w:p>
            <w:pPr>
              <w:pStyle w:val="TableParagraph"/>
              <w:spacing w:line="173" w:lineRule="exact" w:before="0"/>
              <w:ind w:right="51"/>
              <w:jc w:val="right"/>
              <w:rPr>
                <w:sz w:val="16"/>
              </w:rPr>
            </w:pPr>
            <w:r>
              <w:rPr>
                <w:color w:val="231F20"/>
                <w:sz w:val="16"/>
              </w:rPr>
              <w:t>97</w:t>
            </w:r>
          </w:p>
        </w:tc>
        <w:tc>
          <w:tcPr>
            <w:tcW w:w="199" w:type="dxa"/>
          </w:tcPr>
          <w:p>
            <w:pPr/>
          </w:p>
        </w:tc>
        <w:tc>
          <w:tcPr>
            <w:tcW w:w="681" w:type="dxa"/>
          </w:tcPr>
          <w:p>
            <w:pPr>
              <w:pStyle w:val="TableParagraph"/>
              <w:spacing w:line="173" w:lineRule="exact" w:before="0"/>
              <w:ind w:right="51"/>
              <w:jc w:val="right"/>
              <w:rPr>
                <w:sz w:val="16"/>
              </w:rPr>
            </w:pPr>
            <w:r>
              <w:rPr>
                <w:color w:val="231F20"/>
                <w:sz w:val="16"/>
              </w:rPr>
              <w:t>301</w:t>
            </w:r>
          </w:p>
        </w:tc>
        <w:tc>
          <w:tcPr>
            <w:tcW w:w="199" w:type="dxa"/>
          </w:tcPr>
          <w:p>
            <w:pPr/>
          </w:p>
        </w:tc>
        <w:tc>
          <w:tcPr>
            <w:tcW w:w="681" w:type="dxa"/>
          </w:tcPr>
          <w:p>
            <w:pPr>
              <w:pStyle w:val="TableParagraph"/>
              <w:spacing w:line="173" w:lineRule="exact" w:before="0"/>
              <w:jc w:val="right"/>
              <w:rPr>
                <w:sz w:val="16"/>
              </w:rPr>
            </w:pPr>
            <w:r>
              <w:rPr>
                <w:color w:val="231F20"/>
                <w:sz w:val="16"/>
              </w:rPr>
              <w:t>(73)</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CASH AND CASH EQUIVALENTS AT BEGINNING OF PERIOD</w:t>
            </w:r>
          </w:p>
        </w:tc>
        <w:tc>
          <w:tcPr>
            <w:tcW w:w="681" w:type="dxa"/>
          </w:tcPr>
          <w:p>
            <w:pPr>
              <w:pStyle w:val="TableParagraph"/>
              <w:spacing w:line="173" w:lineRule="exact" w:before="0"/>
              <w:ind w:right="51"/>
              <w:jc w:val="right"/>
              <w:rPr>
                <w:sz w:val="16"/>
              </w:rPr>
            </w:pPr>
            <w:r>
              <w:rPr>
                <w:color w:val="231F20"/>
                <w:sz w:val="16"/>
              </w:rPr>
              <w:t>1,583</w:t>
            </w:r>
          </w:p>
        </w:tc>
        <w:tc>
          <w:tcPr>
            <w:tcW w:w="199" w:type="dxa"/>
          </w:tcPr>
          <w:p>
            <w:pPr/>
          </w:p>
        </w:tc>
        <w:tc>
          <w:tcPr>
            <w:tcW w:w="681" w:type="dxa"/>
          </w:tcPr>
          <w:p>
            <w:pPr>
              <w:pStyle w:val="TableParagraph"/>
              <w:spacing w:line="173" w:lineRule="exact" w:before="0"/>
              <w:ind w:right="51"/>
              <w:jc w:val="right"/>
              <w:rPr>
                <w:sz w:val="16"/>
              </w:rPr>
            </w:pPr>
            <w:r>
              <w:rPr>
                <w:color w:val="231F20"/>
                <w:sz w:val="16"/>
              </w:rPr>
              <w:t>1,282</w:t>
            </w:r>
          </w:p>
        </w:tc>
        <w:tc>
          <w:tcPr>
            <w:tcW w:w="199" w:type="dxa"/>
          </w:tcPr>
          <w:p>
            <w:pPr/>
          </w:p>
        </w:tc>
        <w:tc>
          <w:tcPr>
            <w:tcW w:w="681" w:type="dxa"/>
          </w:tcPr>
          <w:p>
            <w:pPr>
              <w:pStyle w:val="TableParagraph"/>
              <w:spacing w:line="173" w:lineRule="exact" w:before="0"/>
              <w:ind w:right="51"/>
              <w:jc w:val="right"/>
              <w:rPr>
                <w:sz w:val="16"/>
              </w:rPr>
            </w:pPr>
            <w:r>
              <w:rPr>
                <w:color w:val="231F20"/>
                <w:sz w:val="16"/>
              </w:rPr>
              <w:t>1,355</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CASH AND CASH EQUIVALENTS AT END OF PERIOD</w:t>
            </w:r>
          </w:p>
        </w:tc>
        <w:tc>
          <w:tcPr>
            <w:tcW w:w="681" w:type="dxa"/>
          </w:tcPr>
          <w:p>
            <w:pPr>
              <w:pStyle w:val="TableParagraph"/>
              <w:spacing w:line="173" w:lineRule="exact" w:before="0"/>
              <w:ind w:right="51"/>
              <w:jc w:val="right"/>
              <w:rPr>
                <w:sz w:val="16"/>
              </w:rPr>
            </w:pPr>
            <w:r>
              <w:rPr>
                <w:color w:val="231F20"/>
                <w:sz w:val="16"/>
              </w:rPr>
              <w:t>$    1,680</w:t>
            </w:r>
          </w:p>
        </w:tc>
        <w:tc>
          <w:tcPr>
            <w:tcW w:w="199" w:type="dxa"/>
          </w:tcPr>
          <w:p>
            <w:pPr/>
          </w:p>
        </w:tc>
        <w:tc>
          <w:tcPr>
            <w:tcW w:w="681" w:type="dxa"/>
          </w:tcPr>
          <w:p>
            <w:pPr>
              <w:pStyle w:val="TableParagraph"/>
              <w:spacing w:line="173" w:lineRule="exact" w:before="0"/>
              <w:ind w:right="51"/>
              <w:jc w:val="right"/>
              <w:rPr>
                <w:sz w:val="16"/>
              </w:rPr>
            </w:pPr>
            <w:r>
              <w:rPr>
                <w:color w:val="231F20"/>
                <w:sz w:val="16"/>
              </w:rPr>
              <w:t>$    1,583</w:t>
            </w:r>
          </w:p>
        </w:tc>
        <w:tc>
          <w:tcPr>
            <w:tcW w:w="199" w:type="dxa"/>
          </w:tcPr>
          <w:p>
            <w:pPr/>
          </w:p>
        </w:tc>
        <w:tc>
          <w:tcPr>
            <w:tcW w:w="681" w:type="dxa"/>
          </w:tcPr>
          <w:p>
            <w:pPr>
              <w:pStyle w:val="TableParagraph"/>
              <w:spacing w:line="173" w:lineRule="exact" w:before="0"/>
              <w:ind w:right="51"/>
              <w:jc w:val="right"/>
              <w:rPr>
                <w:sz w:val="16"/>
              </w:rPr>
            </w:pPr>
            <w:r>
              <w:rPr>
                <w:color w:val="231F20"/>
                <w:sz w:val="16"/>
              </w:rPr>
              <w:t>$    1,282</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CASH PAYMENTS FOR:</w:t>
            </w:r>
          </w:p>
        </w:tc>
        <w:tc>
          <w:tcPr>
            <w:tcW w:w="681" w:type="dxa"/>
          </w:tcPr>
          <w:p>
            <w:pPr/>
          </w:p>
        </w:tc>
        <w:tc>
          <w:tcPr>
            <w:tcW w:w="199" w:type="dxa"/>
          </w:tcPr>
          <w:p>
            <w:pPr/>
          </w:p>
        </w:tc>
        <w:tc>
          <w:tcPr>
            <w:tcW w:w="681" w:type="dxa"/>
          </w:tcPr>
          <w:p>
            <w:pPr/>
          </w:p>
        </w:tc>
        <w:tc>
          <w:tcPr>
            <w:tcW w:w="199" w:type="dxa"/>
          </w:tcPr>
          <w:p>
            <w:pPr/>
          </w:p>
        </w:tc>
        <w:tc>
          <w:tcPr>
            <w:tcW w:w="681" w:type="dxa"/>
          </w:tcPr>
          <w:p>
            <w:pPr/>
          </w:p>
        </w:tc>
      </w:tr>
      <w:tr>
        <w:trPr>
          <w:trHeight w:val="218" w:hRule="exact"/>
        </w:trPr>
        <w:tc>
          <w:tcPr>
            <w:tcW w:w="6680" w:type="dxa"/>
            <w:shd w:val="clear" w:color="auto" w:fill="D1D3D4"/>
          </w:tcPr>
          <w:p>
            <w:pPr>
              <w:pStyle w:val="TableParagraph"/>
              <w:spacing w:before="8"/>
              <w:ind w:left="60"/>
              <w:rPr>
                <w:sz w:val="16"/>
              </w:rPr>
            </w:pPr>
            <w:r>
              <w:rPr>
                <w:color w:val="231F20"/>
                <w:sz w:val="16"/>
              </w:rPr>
              <w:t>Interest, net of amount capitalized</w:t>
            </w: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100</w:t>
            </w:r>
          </w:p>
        </w:tc>
        <w:tc>
          <w:tcPr>
            <w:tcW w:w="199" w:type="dxa"/>
            <w:shd w:val="clear" w:color="auto" w:fill="D1D3D4"/>
          </w:tcPr>
          <w:p>
            <w:pP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105</w:t>
            </w:r>
          </w:p>
        </w:tc>
        <w:tc>
          <w:tcPr>
            <w:tcW w:w="199" w:type="dxa"/>
            <w:shd w:val="clear" w:color="auto" w:fill="D1D3D4"/>
          </w:tcPr>
          <w:p>
            <w:pP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128</w:t>
            </w:r>
          </w:p>
        </w:tc>
      </w:tr>
      <w:tr>
        <w:trPr>
          <w:trHeight w:val="218" w:hRule="exact"/>
        </w:trPr>
        <w:tc>
          <w:tcPr>
            <w:tcW w:w="6680" w:type="dxa"/>
          </w:tcPr>
          <w:p>
            <w:pPr>
              <w:pStyle w:val="TableParagraph"/>
              <w:spacing w:before="8"/>
              <w:ind w:left="60"/>
              <w:rPr>
                <w:sz w:val="16"/>
              </w:rPr>
            </w:pPr>
            <w:r>
              <w:rPr>
                <w:color w:val="231F20"/>
                <w:sz w:val="16"/>
              </w:rPr>
              <w:t>Income taxes</w:t>
            </w:r>
          </w:p>
        </w:tc>
        <w:tc>
          <w:tcPr>
            <w:tcW w:w="681" w:type="dxa"/>
          </w:tcPr>
          <w:p>
            <w:pPr>
              <w:pStyle w:val="TableParagraph"/>
              <w:tabs>
                <w:tab w:pos="386" w:val="left" w:leader="none"/>
              </w:tabs>
              <w:spacing w:before="8"/>
              <w:ind w:right="51"/>
              <w:jc w:val="right"/>
              <w:rPr>
                <w:sz w:val="16"/>
              </w:rPr>
            </w:pPr>
            <w:r>
              <w:rPr>
                <w:color w:val="231F20"/>
                <w:sz w:val="16"/>
              </w:rPr>
              <w:t>$</w:t>
              <w:tab/>
              <w:t>902</w:t>
            </w:r>
          </w:p>
        </w:tc>
        <w:tc>
          <w:tcPr>
            <w:tcW w:w="199" w:type="dxa"/>
          </w:tcPr>
          <w:p>
            <w:pPr/>
          </w:p>
        </w:tc>
        <w:tc>
          <w:tcPr>
            <w:tcW w:w="681" w:type="dxa"/>
          </w:tcPr>
          <w:p>
            <w:pPr>
              <w:pStyle w:val="TableParagraph"/>
              <w:spacing w:before="8"/>
              <w:ind w:right="51"/>
              <w:jc w:val="right"/>
              <w:rPr>
                <w:sz w:val="16"/>
              </w:rPr>
            </w:pPr>
            <w:r>
              <w:rPr>
                <w:color w:val="231F20"/>
                <w:sz w:val="16"/>
              </w:rPr>
              <w:t>$    1,440</w:t>
            </w:r>
          </w:p>
        </w:tc>
        <w:tc>
          <w:tcPr>
            <w:tcW w:w="199" w:type="dxa"/>
          </w:tcPr>
          <w:p>
            <w:pPr/>
          </w:p>
        </w:tc>
        <w:tc>
          <w:tcPr>
            <w:tcW w:w="681" w:type="dxa"/>
          </w:tcPr>
          <w:p>
            <w:pPr>
              <w:pStyle w:val="TableParagraph"/>
              <w:tabs>
                <w:tab w:pos="386" w:val="left" w:leader="none"/>
              </w:tabs>
              <w:spacing w:before="8"/>
              <w:ind w:right="51"/>
              <w:jc w:val="right"/>
              <w:rPr>
                <w:sz w:val="16"/>
              </w:rPr>
            </w:pPr>
            <w:r>
              <w:rPr>
                <w:color w:val="231F20"/>
                <w:sz w:val="16"/>
              </w:rPr>
              <w:t>$</w:t>
              <w:tab/>
              <w:t>155</w:t>
            </w:r>
          </w:p>
        </w:tc>
      </w:tr>
      <w:tr>
        <w:trPr>
          <w:trHeight w:val="147" w:hRule="exact"/>
        </w:trPr>
        <w:tc>
          <w:tcPr>
            <w:tcW w:w="6680"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c>
          <w:tcPr>
            <w:tcW w:w="199" w:type="dxa"/>
            <w:shd w:val="clear" w:color="auto" w:fill="D1D3D4"/>
          </w:tcPr>
          <w:p>
            <w:pPr/>
          </w:p>
        </w:tc>
        <w:tc>
          <w:tcPr>
            <w:tcW w:w="681" w:type="dxa"/>
            <w:shd w:val="clear" w:color="auto" w:fill="D1D3D4"/>
          </w:tcPr>
          <w:p>
            <w:pPr/>
          </w:p>
        </w:tc>
      </w:tr>
      <w:tr>
        <w:trPr>
          <w:trHeight w:val="209" w:hRule="exact"/>
        </w:trPr>
        <w:tc>
          <w:tcPr>
            <w:tcW w:w="6680" w:type="dxa"/>
          </w:tcPr>
          <w:p>
            <w:pPr>
              <w:pStyle w:val="TableParagraph"/>
              <w:spacing w:line="173" w:lineRule="exact" w:before="0"/>
              <w:ind w:left="60"/>
              <w:rPr>
                <w:b/>
                <w:sz w:val="16"/>
              </w:rPr>
            </w:pPr>
            <w:r>
              <w:rPr>
                <w:b/>
                <w:color w:val="231F20"/>
                <w:sz w:val="16"/>
              </w:rPr>
              <w:t>SUPPLEMENTAL DISCLOSURE OF NONCASH TRANSACTIONS:</w:t>
            </w:r>
          </w:p>
        </w:tc>
        <w:tc>
          <w:tcPr>
            <w:tcW w:w="681" w:type="dxa"/>
          </w:tcPr>
          <w:p>
            <w:pPr/>
          </w:p>
        </w:tc>
        <w:tc>
          <w:tcPr>
            <w:tcW w:w="199" w:type="dxa"/>
          </w:tcPr>
          <w:p>
            <w:pPr/>
          </w:p>
        </w:tc>
        <w:tc>
          <w:tcPr>
            <w:tcW w:w="681" w:type="dxa"/>
          </w:tcPr>
          <w:p>
            <w:pPr/>
          </w:p>
        </w:tc>
        <w:tc>
          <w:tcPr>
            <w:tcW w:w="199" w:type="dxa"/>
          </w:tcPr>
          <w:p>
            <w:pPr/>
          </w:p>
        </w:tc>
        <w:tc>
          <w:tcPr>
            <w:tcW w:w="681" w:type="dxa"/>
          </w:tcPr>
          <w:p>
            <w:pPr/>
          </w:p>
        </w:tc>
      </w:tr>
      <w:tr>
        <w:trPr>
          <w:trHeight w:val="218" w:hRule="exact"/>
        </w:trPr>
        <w:tc>
          <w:tcPr>
            <w:tcW w:w="6680" w:type="dxa"/>
            <w:shd w:val="clear" w:color="auto" w:fill="D1D3D4"/>
          </w:tcPr>
          <w:p>
            <w:pPr>
              <w:pStyle w:val="TableParagraph"/>
              <w:spacing w:before="8"/>
              <w:ind w:left="60"/>
              <w:rPr>
                <w:sz w:val="16"/>
              </w:rPr>
            </w:pPr>
            <w:r>
              <w:rPr>
                <w:color w:val="231F20"/>
                <w:sz w:val="16"/>
              </w:rPr>
              <w:t>Flight equipment acquired through the assumption of debt</w:t>
            </w: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20</w:t>
            </w:r>
          </w:p>
        </w:tc>
        <w:tc>
          <w:tcPr>
            <w:tcW w:w="199" w:type="dxa"/>
            <w:shd w:val="clear" w:color="auto" w:fill="D1D3D4"/>
          </w:tcPr>
          <w:p>
            <w:pP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w:t>
            </w:r>
          </w:p>
        </w:tc>
        <w:tc>
          <w:tcPr>
            <w:tcW w:w="199" w:type="dxa"/>
            <w:shd w:val="clear" w:color="auto" w:fill="D1D3D4"/>
          </w:tcPr>
          <w:p>
            <w:pP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w:t>
            </w:r>
          </w:p>
        </w:tc>
      </w:tr>
      <w:tr>
        <w:trPr>
          <w:trHeight w:val="218" w:hRule="exact"/>
        </w:trPr>
        <w:tc>
          <w:tcPr>
            <w:tcW w:w="6680" w:type="dxa"/>
          </w:tcPr>
          <w:p>
            <w:pPr>
              <w:pStyle w:val="TableParagraph"/>
              <w:spacing w:before="8"/>
              <w:ind w:left="60"/>
              <w:rPr>
                <w:sz w:val="16"/>
              </w:rPr>
            </w:pPr>
            <w:r>
              <w:rPr>
                <w:color w:val="231F20"/>
                <w:sz w:val="16"/>
              </w:rPr>
              <w:t>Flight equipment under capital leases</w:t>
            </w:r>
          </w:p>
        </w:tc>
        <w:tc>
          <w:tcPr>
            <w:tcW w:w="681" w:type="dxa"/>
          </w:tcPr>
          <w:p>
            <w:pPr>
              <w:pStyle w:val="TableParagraph"/>
              <w:tabs>
                <w:tab w:pos="386" w:val="left" w:leader="none"/>
              </w:tabs>
              <w:spacing w:before="8"/>
              <w:ind w:right="51"/>
              <w:jc w:val="right"/>
              <w:rPr>
                <w:sz w:val="16"/>
              </w:rPr>
            </w:pPr>
            <w:r>
              <w:rPr>
                <w:color w:val="231F20"/>
                <w:sz w:val="16"/>
              </w:rPr>
              <w:t>$</w:t>
              <w:tab/>
              <w:t>307</w:t>
            </w:r>
          </w:p>
        </w:tc>
        <w:tc>
          <w:tcPr>
            <w:tcW w:w="199" w:type="dxa"/>
          </w:tcPr>
          <w:p>
            <w:pPr/>
          </w:p>
        </w:tc>
        <w:tc>
          <w:tcPr>
            <w:tcW w:w="681" w:type="dxa"/>
          </w:tcPr>
          <w:p>
            <w:pPr>
              <w:pStyle w:val="TableParagraph"/>
              <w:tabs>
                <w:tab w:pos="386" w:val="left" w:leader="none"/>
              </w:tabs>
              <w:spacing w:before="8"/>
              <w:ind w:right="51"/>
              <w:jc w:val="right"/>
              <w:rPr>
                <w:sz w:val="16"/>
              </w:rPr>
            </w:pPr>
            <w:r>
              <w:rPr>
                <w:color w:val="231F20"/>
                <w:sz w:val="16"/>
              </w:rPr>
              <w:t>$</w:t>
              <w:tab/>
              <w:t>193</w:t>
            </w:r>
          </w:p>
        </w:tc>
        <w:tc>
          <w:tcPr>
            <w:tcW w:w="199" w:type="dxa"/>
          </w:tcPr>
          <w:p>
            <w:pPr/>
          </w:p>
        </w:tc>
        <w:tc>
          <w:tcPr>
            <w:tcW w:w="681" w:type="dxa"/>
          </w:tcPr>
          <w:p>
            <w:pPr>
              <w:pStyle w:val="TableParagraph"/>
              <w:tabs>
                <w:tab w:pos="386" w:val="left" w:leader="none"/>
              </w:tabs>
              <w:spacing w:before="8"/>
              <w:ind w:right="51"/>
              <w:jc w:val="right"/>
              <w:rPr>
                <w:sz w:val="16"/>
              </w:rPr>
            </w:pPr>
            <w:r>
              <w:rPr>
                <w:color w:val="231F20"/>
                <w:sz w:val="16"/>
              </w:rPr>
              <w:t>$</w:t>
              <w:tab/>
              <w:t>153</w:t>
            </w:r>
          </w:p>
        </w:tc>
      </w:tr>
      <w:tr>
        <w:trPr>
          <w:trHeight w:val="218" w:hRule="exact"/>
        </w:trPr>
        <w:tc>
          <w:tcPr>
            <w:tcW w:w="6680" w:type="dxa"/>
            <w:shd w:val="clear" w:color="auto" w:fill="D1D3D4"/>
          </w:tcPr>
          <w:p>
            <w:pPr>
              <w:pStyle w:val="TableParagraph"/>
              <w:spacing w:before="8"/>
              <w:ind w:left="60"/>
              <w:rPr>
                <w:sz w:val="16"/>
              </w:rPr>
            </w:pPr>
            <w:r>
              <w:rPr>
                <w:color w:val="231F20"/>
                <w:sz w:val="16"/>
              </w:rPr>
              <w:t>Assets constructed for others</w:t>
            </w: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196</w:t>
            </w:r>
          </w:p>
        </w:tc>
        <w:tc>
          <w:tcPr>
            <w:tcW w:w="199" w:type="dxa"/>
            <w:shd w:val="clear" w:color="auto" w:fill="D1D3D4"/>
          </w:tcPr>
          <w:p>
            <w:pPr/>
          </w:p>
        </w:tc>
        <w:tc>
          <w:tcPr>
            <w:tcW w:w="681" w:type="dxa"/>
            <w:shd w:val="clear" w:color="auto" w:fill="D1D3D4"/>
          </w:tcPr>
          <w:p>
            <w:pPr>
              <w:pStyle w:val="TableParagraph"/>
              <w:tabs>
                <w:tab w:pos="386" w:val="left" w:leader="none"/>
              </w:tabs>
              <w:spacing w:before="8"/>
              <w:ind w:right="51"/>
              <w:jc w:val="right"/>
              <w:rPr>
                <w:sz w:val="16"/>
              </w:rPr>
            </w:pPr>
            <w:r>
              <w:rPr>
                <w:color w:val="231F20"/>
                <w:sz w:val="16"/>
              </w:rPr>
              <w:t>$</w:t>
              <w:tab/>
              <w:t>192</w:t>
            </w:r>
          </w:p>
        </w:tc>
        <w:tc>
          <w:tcPr>
            <w:tcW w:w="199" w:type="dxa"/>
            <w:shd w:val="clear" w:color="auto" w:fill="D1D3D4"/>
          </w:tcPr>
          <w:p>
            <w:pPr/>
          </w:p>
        </w:tc>
        <w:tc>
          <w:tcPr>
            <w:tcW w:w="681" w:type="dxa"/>
            <w:shd w:val="clear" w:color="auto" w:fill="D1D3D4"/>
          </w:tcPr>
          <w:p>
            <w:pPr>
              <w:pStyle w:val="TableParagraph"/>
              <w:tabs>
                <w:tab w:pos="466" w:val="left" w:leader="none"/>
              </w:tabs>
              <w:spacing w:before="8"/>
              <w:ind w:right="51"/>
              <w:jc w:val="right"/>
              <w:rPr>
                <w:sz w:val="16"/>
              </w:rPr>
            </w:pPr>
            <w:r>
              <w:rPr>
                <w:color w:val="231F20"/>
                <w:sz w:val="16"/>
              </w:rPr>
              <w:t>$</w:t>
              <w:tab/>
              <w:t>88</w:t>
            </w:r>
          </w:p>
        </w:tc>
      </w:tr>
    </w:tbl>
    <w:p>
      <w:pPr>
        <w:pStyle w:val="BodyText"/>
        <w:spacing w:before="10"/>
        <w:rPr>
          <w:sz w:val="14"/>
        </w:rPr>
      </w:pPr>
    </w:p>
    <w:p>
      <w:pPr>
        <w:spacing w:before="1"/>
        <w:ind w:left="820" w:right="0" w:firstLine="0"/>
        <w:jc w:val="left"/>
        <w:rPr>
          <w:sz w:val="18"/>
        </w:rPr>
      </w:pPr>
      <w:r>
        <w:rPr>
          <w:color w:val="231F20"/>
          <w:sz w:val="18"/>
        </w:rPr>
        <w:t>See accompanying notes.</w:t>
      </w:r>
    </w:p>
    <w:p>
      <w:pPr>
        <w:spacing w:after="0"/>
        <w:jc w:val="left"/>
        <w:rPr>
          <w:sz w:val="18"/>
        </w:rPr>
        <w:sectPr>
          <w:type w:val="continuous"/>
          <w:pgSz w:w="11880" w:h="15480"/>
          <w:pgMar w:top="1260" w:bottom="280" w:left="1280" w:right="1260"/>
        </w:sectPr>
      </w:pPr>
    </w:p>
    <w:p>
      <w:pPr>
        <w:pStyle w:val="Heading1"/>
        <w:spacing w:before="74"/>
        <w:ind w:left="94" w:right="95"/>
        <w:jc w:val="center"/>
      </w:pPr>
      <w:bookmarkStart w:name="Notes to Consolidated Financial Statemen" w:id="23"/>
      <w:bookmarkEnd w:id="23"/>
      <w:r>
        <w:rPr>
          <w:b w:val="0"/>
        </w:rPr>
      </w:r>
      <w:bookmarkStart w:name="1. SUMMARY OF SIGNIFICANT ACCOUNTING POL" w:id="24"/>
      <w:bookmarkEnd w:id="24"/>
      <w:r>
        <w:rPr>
          <w:b w:val="0"/>
        </w:rPr>
      </w:r>
      <w:r>
        <w:rPr>
          <w:color w:val="231F20"/>
        </w:rPr>
        <w:t>Southwest Airlines Co.</w:t>
      </w:r>
    </w:p>
    <w:p>
      <w:pPr>
        <w:spacing w:before="6"/>
        <w:ind w:left="95" w:right="95" w:firstLine="0"/>
        <w:jc w:val="center"/>
        <w:rPr>
          <w:b/>
          <w:sz w:val="22"/>
        </w:rPr>
      </w:pPr>
      <w:r>
        <w:rPr>
          <w:b/>
          <w:color w:val="231F20"/>
          <w:sz w:val="22"/>
        </w:rPr>
        <w:t>Notes to Consolidated Financial Statements</w:t>
      </w:r>
    </w:p>
    <w:p>
      <w:pPr>
        <w:pStyle w:val="BodyText"/>
        <w:spacing w:before="5"/>
        <w:rPr>
          <w:b/>
          <w:sz w:val="21"/>
        </w:rPr>
      </w:pPr>
    </w:p>
    <w:p>
      <w:pPr>
        <w:pStyle w:val="ListParagraph"/>
        <w:numPr>
          <w:ilvl w:val="0"/>
          <w:numId w:val="13"/>
        </w:numPr>
        <w:tabs>
          <w:tab w:pos="340" w:val="left" w:leader="none"/>
        </w:tabs>
        <w:spacing w:line="240" w:lineRule="auto" w:before="0" w:after="0"/>
        <w:ind w:left="340" w:right="0" w:hanging="220"/>
        <w:jc w:val="both"/>
        <w:rPr>
          <w:b/>
          <w:sz w:val="22"/>
        </w:rPr>
      </w:pPr>
      <w:r>
        <w:rPr>
          <w:b/>
          <w:color w:val="231F20"/>
          <w:sz w:val="22"/>
        </w:rPr>
        <w:t>SUMMARY OF SIGNIFICANT ACCOUNTING POLICIES</w:t>
      </w:r>
    </w:p>
    <w:p>
      <w:pPr>
        <w:pStyle w:val="BodyText"/>
        <w:spacing w:before="5"/>
        <w:rPr>
          <w:b/>
          <w:sz w:val="21"/>
        </w:rPr>
      </w:pPr>
    </w:p>
    <w:p>
      <w:pPr>
        <w:pStyle w:val="Heading2"/>
        <w:ind w:left="480"/>
        <w:rPr>
          <w:i/>
        </w:rPr>
      </w:pPr>
      <w:r>
        <w:rPr>
          <w:i/>
          <w:color w:val="231F20"/>
        </w:rPr>
        <w:t>Basis of Presentation</w:t>
      </w:r>
    </w:p>
    <w:p>
      <w:pPr>
        <w:pStyle w:val="BodyText"/>
        <w:spacing w:before="5"/>
        <w:rPr>
          <w:b/>
          <w:i/>
          <w:sz w:val="21"/>
        </w:rPr>
      </w:pPr>
    </w:p>
    <w:p>
      <w:pPr>
        <w:pStyle w:val="BodyText"/>
        <w:spacing w:line="247" w:lineRule="auto"/>
        <w:ind w:left="119" w:right="117"/>
        <w:jc w:val="both"/>
      </w:pPr>
      <w:r>
        <w:rPr>
          <w:color w:val="231F20"/>
        </w:rPr>
        <w:t>Southwest Airlines Co. (the “Company”) operates Southwest Airlines, a major domestic airline. The Consolidated Financial Statements include the accounts of the Company and its wholly owned subsidiaries, which include AirTran Holdings, LLC. The Company owns all of the outstanding equity of AirTran Holdings, Inc. (“AirTran Holdings”), the former parent company of AirTran Airways, Inc. (“AirTran Airways”). Throughout these Notes, the Company makes reference to AirTran, which is meant to be inclusive of AirTran Holdings, LLC, the successor to AirTran Holdings, and its subsidiaries, including among others, AirTran Airways. AirTran’s final passenger service was on December 28, 2014. All integration costs were incurred in periods prior to 2016. The accompanying Consolidated Financial Statements include the results of operations and cash flows for all periods presented and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 estimates.</w:t>
      </w:r>
    </w:p>
    <w:p>
      <w:pPr>
        <w:pStyle w:val="BodyText"/>
        <w:spacing w:before="9"/>
        <w:rPr>
          <w:sz w:val="20"/>
        </w:rPr>
      </w:pPr>
    </w:p>
    <w:p>
      <w:pPr>
        <w:pStyle w:val="Heading2"/>
        <w:ind w:left="480"/>
        <w:rPr>
          <w:i/>
        </w:rPr>
      </w:pPr>
      <w:r>
        <w:rPr>
          <w:i/>
          <w:color w:val="231F20"/>
        </w:rPr>
        <w:t>Cash and Cash Equivalents</w:t>
      </w:r>
    </w:p>
    <w:p>
      <w:pPr>
        <w:pStyle w:val="BodyText"/>
        <w:spacing w:before="4"/>
        <w:rPr>
          <w:b/>
          <w:i/>
          <w:sz w:val="21"/>
        </w:rPr>
      </w:pPr>
    </w:p>
    <w:p>
      <w:pPr>
        <w:pStyle w:val="BodyText"/>
        <w:spacing w:line="247" w:lineRule="auto" w:before="1"/>
        <w:ind w:left="119" w:right="117"/>
        <w:jc w:val="both"/>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 value.</w:t>
      </w:r>
    </w:p>
    <w:p>
      <w:pPr>
        <w:pStyle w:val="BodyText"/>
        <w:spacing w:before="9"/>
        <w:rPr>
          <w:sz w:val="20"/>
        </w:rPr>
      </w:pPr>
    </w:p>
    <w:p>
      <w:pPr>
        <w:pStyle w:val="BodyText"/>
        <w:spacing w:line="247" w:lineRule="auto"/>
        <w:ind w:left="119" w:right="117"/>
        <w:jc w:val="both"/>
      </w:pPr>
      <w:r>
        <w:rPr>
          <w:color w:val="231F20"/>
        </w:rPr>
        <w:t>As of December 31, 2016, $301 million in net cash collateral deposits were provided by the Company to its fuel hedge counterparties and no cash collateral deposits were held by or provided by the Company to its interest rate hedge counterparties. As of December 31, 2015, $835 million in cash collateral deposits were provided by the Company to its fuel hedge counterparties and no cash  collateral deposits were held by or provided by the Company to its interest rate hedge counterparties. Cash collateral amounts provided or held associated with fuel and interest rate derivative instruments are not restricted in any way and earn interest income at an agreed upon rate that approximates the  rates earned on short-term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w:t>
      </w:r>
      <w:r>
        <w:rPr>
          <w:color w:val="231F20"/>
          <w:spacing w:val="-1"/>
        </w:rPr>
        <w:t> </w:t>
      </w:r>
      <w:r>
        <w:rPr>
          <w:color w:val="231F20"/>
        </w:rPr>
        <w:t>instruments.</w:t>
      </w:r>
    </w:p>
    <w:p>
      <w:pPr>
        <w:pStyle w:val="BodyText"/>
        <w:spacing w:before="8"/>
        <w:rPr>
          <w:sz w:val="20"/>
        </w:rPr>
      </w:pPr>
    </w:p>
    <w:p>
      <w:pPr>
        <w:pStyle w:val="Heading2"/>
        <w:spacing w:before="1"/>
        <w:ind w:left="480"/>
        <w:rPr>
          <w:i/>
        </w:rPr>
      </w:pPr>
      <w:r>
        <w:rPr>
          <w:i/>
          <w:color w:val="231F20"/>
        </w:rPr>
        <w:t>Short-term and Noncurrent Investments</w:t>
      </w:r>
    </w:p>
    <w:p>
      <w:pPr>
        <w:pStyle w:val="BodyText"/>
        <w:spacing w:before="5"/>
        <w:rPr>
          <w:b/>
          <w:i/>
          <w:sz w:val="21"/>
        </w:rPr>
      </w:pPr>
    </w:p>
    <w:p>
      <w:pPr>
        <w:pStyle w:val="BodyText"/>
        <w:spacing w:line="247" w:lineRule="auto"/>
        <w:ind w:left="119" w:right="117"/>
        <w:jc w:val="both"/>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w:t>
      </w:r>
      <w:r>
        <w:rPr>
          <w:color w:val="231F20"/>
          <w:spacing w:val="16"/>
        </w:rPr>
        <w:t> </w:t>
      </w:r>
      <w:r>
        <w:rPr>
          <w:color w:val="231F20"/>
        </w:rPr>
        <w:t>as</w:t>
      </w:r>
      <w:r>
        <w:rPr>
          <w:color w:val="231F20"/>
          <w:spacing w:val="15"/>
        </w:rPr>
        <w:t> </w:t>
      </w:r>
      <w:r>
        <w:rPr>
          <w:color w:val="231F20"/>
        </w:rPr>
        <w:t>available-for-sale</w:t>
      </w:r>
      <w:r>
        <w:rPr>
          <w:color w:val="231F20"/>
          <w:spacing w:val="15"/>
        </w:rPr>
        <w:t> </w:t>
      </w:r>
      <w:r>
        <w:rPr>
          <w:color w:val="231F20"/>
        </w:rPr>
        <w:t>securities</w:t>
      </w:r>
      <w:r>
        <w:rPr>
          <w:color w:val="231F20"/>
          <w:spacing w:val="16"/>
        </w:rPr>
        <w:t> </w:t>
      </w:r>
      <w:r>
        <w:rPr>
          <w:color w:val="231F20"/>
        </w:rPr>
        <w:t>and</w:t>
      </w:r>
      <w:r>
        <w:rPr>
          <w:color w:val="231F20"/>
          <w:spacing w:val="15"/>
        </w:rPr>
        <w:t> </w:t>
      </w:r>
      <w:r>
        <w:rPr>
          <w:color w:val="231F20"/>
        </w:rPr>
        <w:t>are</w:t>
      </w:r>
      <w:r>
        <w:rPr>
          <w:color w:val="231F20"/>
          <w:spacing w:val="15"/>
        </w:rPr>
        <w:t> </w:t>
      </w:r>
      <w:r>
        <w:rPr>
          <w:color w:val="231F20"/>
        </w:rPr>
        <w:t>stated</w:t>
      </w:r>
      <w:r>
        <w:rPr>
          <w:color w:val="231F20"/>
          <w:spacing w:val="15"/>
        </w:rPr>
        <w:t> </w:t>
      </w:r>
      <w:r>
        <w:rPr>
          <w:color w:val="231F20"/>
        </w:rPr>
        <w:t>at</w:t>
      </w:r>
      <w:r>
        <w:rPr>
          <w:color w:val="231F20"/>
          <w:spacing w:val="15"/>
        </w:rPr>
        <w:t> </w:t>
      </w:r>
      <w:r>
        <w:rPr>
          <w:color w:val="231F20"/>
        </w:rPr>
        <w:t>fair</w:t>
      </w:r>
      <w:r>
        <w:rPr>
          <w:color w:val="231F20"/>
          <w:spacing w:val="14"/>
        </w:rPr>
        <w:t> </w:t>
      </w:r>
      <w:r>
        <w:rPr>
          <w:color w:val="231F20"/>
        </w:rPr>
        <w:t>value,</w:t>
      </w:r>
      <w:r>
        <w:rPr>
          <w:color w:val="231F20"/>
          <w:spacing w:val="15"/>
        </w:rPr>
        <w:t> </w:t>
      </w:r>
      <w:r>
        <w:rPr>
          <w:color w:val="231F20"/>
        </w:rPr>
        <w:t>which</w:t>
      </w:r>
      <w:r>
        <w:rPr>
          <w:color w:val="231F20"/>
          <w:spacing w:val="14"/>
        </w:rPr>
        <w:t> </w:t>
      </w:r>
      <w:r>
        <w:rPr>
          <w:color w:val="231F20"/>
        </w:rPr>
        <w:t>approximates</w:t>
      </w:r>
      <w:r>
        <w:rPr>
          <w:color w:val="231F20"/>
          <w:spacing w:val="14"/>
        </w:rPr>
        <w:t> </w:t>
      </w:r>
      <w:r>
        <w:rPr>
          <w:color w:val="231F20"/>
        </w:rPr>
        <w:t>cost.</w:t>
      </w:r>
      <w:r>
        <w:rPr>
          <w:color w:val="231F20"/>
          <w:spacing w:val="14"/>
        </w:rPr>
        <w:t> </w:t>
      </w:r>
      <w:r>
        <w:rPr>
          <w:color w:val="231F20"/>
        </w:rPr>
        <w:t>For</w:t>
      </w:r>
      <w:r>
        <w:rPr>
          <w:color w:val="231F20"/>
          <w:spacing w:val="13"/>
        </w:rPr>
        <w:t> </w:t>
      </w:r>
      <w:r>
        <w:rPr>
          <w:color w:val="231F20"/>
        </w:rPr>
        <w:t>all</w:t>
      </w:r>
    </w:p>
    <w:p>
      <w:pPr>
        <w:spacing w:after="0" w:line="247" w:lineRule="auto"/>
        <w:jc w:val="both"/>
        <w:sectPr>
          <w:pgSz w:w="11880" w:h="15480"/>
          <w:pgMar w:header="0" w:footer="1240" w:top="1240" w:bottom="1420" w:left="1260" w:right="1260"/>
        </w:sectPr>
      </w:pPr>
    </w:p>
    <w:p>
      <w:pPr>
        <w:pStyle w:val="BodyText"/>
        <w:spacing w:line="247" w:lineRule="auto" w:before="74"/>
        <w:ind w:left="100" w:right="117"/>
        <w:jc w:val="both"/>
      </w:pPr>
      <w:r>
        <w:rPr>
          <w:color w:val="231F20"/>
        </w:rPr>
        <w:t>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 losses associated with investments were immaterial for all years</w:t>
      </w:r>
      <w:r>
        <w:rPr>
          <w:color w:val="231F20"/>
          <w:spacing w:val="-2"/>
        </w:rPr>
        <w:t> </w:t>
      </w:r>
      <w:r>
        <w:rPr>
          <w:color w:val="231F20"/>
        </w:rPr>
        <w:t>presented.</w:t>
      </w:r>
    </w:p>
    <w:p>
      <w:pPr>
        <w:pStyle w:val="BodyText"/>
        <w:spacing w:before="9"/>
        <w:rPr>
          <w:sz w:val="20"/>
        </w:rPr>
      </w:pPr>
    </w:p>
    <w:p>
      <w:pPr>
        <w:pStyle w:val="BodyText"/>
        <w:spacing w:line="247" w:lineRule="auto"/>
        <w:ind w:left="100" w:right="118"/>
        <w:jc w:val="both"/>
      </w:pPr>
      <w:r>
        <w:rPr>
          <w:color w:val="231F20"/>
        </w:rPr>
        <w:t>Noncurrent investments consist of investments with maturities of greater than twelve months. Noncurrent investments are included as a component of Other assets in the Consolidated Balance  Sheet.</w:t>
      </w:r>
    </w:p>
    <w:p>
      <w:pPr>
        <w:pStyle w:val="BodyText"/>
        <w:spacing w:before="9"/>
        <w:rPr>
          <w:sz w:val="20"/>
        </w:rPr>
      </w:pPr>
    </w:p>
    <w:p>
      <w:pPr>
        <w:pStyle w:val="Heading2"/>
        <w:rPr>
          <w:i/>
        </w:rPr>
      </w:pPr>
      <w:r>
        <w:rPr>
          <w:i/>
          <w:color w:val="231F20"/>
        </w:rPr>
        <w:t>Accounts and Other Receivables</w:t>
      </w:r>
    </w:p>
    <w:p>
      <w:pPr>
        <w:pStyle w:val="BodyText"/>
        <w:spacing w:before="4"/>
        <w:rPr>
          <w:b/>
          <w:i/>
          <w:sz w:val="21"/>
        </w:rPr>
      </w:pPr>
    </w:p>
    <w:p>
      <w:pPr>
        <w:pStyle w:val="BodyText"/>
        <w:spacing w:line="247" w:lineRule="auto" w:before="1"/>
        <w:ind w:left="100" w:right="117"/>
        <w:jc w:val="both"/>
      </w:pPr>
      <w:r>
        <w:rPr>
          <w:color w:val="231F20"/>
        </w:rPr>
        <w:t>Accounts and other receivables are carried at cost. They primarily consist of amounts due from credit card companies associated with sales of tickets for future travel, and amounts due from business partners in the Company’s frequent flyer program. The allowance for doubtful accounts  was immaterial at December 31, 2016 and 2015. In addition, the provision for doubtful accounts and write- offs for 2016, 2015, and 2014 were each immaterial.</w:t>
      </w:r>
    </w:p>
    <w:p>
      <w:pPr>
        <w:pStyle w:val="BodyText"/>
        <w:spacing w:before="9"/>
        <w:rPr>
          <w:sz w:val="20"/>
        </w:rPr>
      </w:pPr>
    </w:p>
    <w:p>
      <w:pPr>
        <w:pStyle w:val="Heading2"/>
        <w:rPr>
          <w:i/>
        </w:rPr>
      </w:pPr>
      <w:r>
        <w:rPr>
          <w:i/>
          <w:color w:val="231F20"/>
        </w:rPr>
        <w:t>Inventories</w:t>
      </w:r>
    </w:p>
    <w:p>
      <w:pPr>
        <w:pStyle w:val="BodyText"/>
        <w:spacing w:before="4"/>
        <w:rPr>
          <w:b/>
          <w:i/>
          <w:sz w:val="21"/>
        </w:rPr>
      </w:pPr>
    </w:p>
    <w:p>
      <w:pPr>
        <w:pStyle w:val="BodyText"/>
        <w:spacing w:line="247" w:lineRule="auto"/>
        <w:ind w:left="100" w:right="117"/>
        <w:jc w:val="both"/>
      </w:pPr>
      <w:r>
        <w:rPr>
          <w:color w:val="231F20"/>
        </w:rPr>
        <w:t>Inventories primarily consist of aircraft fuel, flight equipment expendable parts, materials, and  supplies. All of these items are carried at average cost, less an allowance for obsolescence. These items are generally charged to expense when issued for use. The reserve for obsolescence was $57 million and $47 million at December 31, 2016, and 2015, respectively. In addition, the Company’s provision for obsolescence and write-offs for 2016, 2015, and 2014 were each</w:t>
      </w:r>
      <w:r>
        <w:rPr>
          <w:color w:val="231F20"/>
          <w:spacing w:val="-1"/>
        </w:rPr>
        <w:t> </w:t>
      </w:r>
      <w:r>
        <w:rPr>
          <w:color w:val="231F20"/>
        </w:rPr>
        <w:t>immaterial.</w:t>
      </w:r>
    </w:p>
    <w:p>
      <w:pPr>
        <w:pStyle w:val="BodyText"/>
        <w:spacing w:before="9"/>
        <w:rPr>
          <w:sz w:val="20"/>
        </w:rPr>
      </w:pPr>
    </w:p>
    <w:p>
      <w:pPr>
        <w:pStyle w:val="Heading2"/>
        <w:rPr>
          <w:i/>
        </w:rPr>
      </w:pPr>
      <w:r>
        <w:rPr>
          <w:i/>
          <w:color w:val="231F20"/>
        </w:rPr>
        <w:t>Property and Equipment</w:t>
      </w:r>
    </w:p>
    <w:p>
      <w:pPr>
        <w:pStyle w:val="BodyText"/>
        <w:spacing w:before="5"/>
        <w:rPr>
          <w:b/>
          <w:i/>
          <w:sz w:val="21"/>
        </w:rPr>
      </w:pPr>
    </w:p>
    <w:p>
      <w:pPr>
        <w:pStyle w:val="BodyText"/>
        <w:spacing w:line="247" w:lineRule="auto"/>
        <w:ind w:left="100" w:right="117"/>
        <w:jc w:val="both"/>
      </w:pPr>
      <w:r>
        <w:rPr>
          <w:color w:val="231F20"/>
        </w:rPr>
        <w:t>Property and equipment is stated at cost. Capital expenditures includes payments made for aircraft, other flight equipment, purchase deposits related to future aircraft deliveries, and ground and other property and equipment. Depreciation is provided by the straight-line method to estimated residual values over periods generally ranging from 23 to 25 years for flight equipment, 5 to 30 years for ground property and equipment, and 25 to 30 years, or the expected term of the Company’s lease if shorter, for Assets constructed for others, once the asset is placed in service. Residual values estimated for aircraft generally range from 2 to 20 percent, for ground property and equipment generally range from 0 to 10 percent, and for Assets constructed for others range from 17 to 25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 lease. Assets constructed for others primarily consists of airport improvement projects, once placed into service, in which the Company is considered the accounting owner of the facilities. See Note 4 for further</w:t>
      </w:r>
      <w:r>
        <w:rPr>
          <w:color w:val="231F20"/>
          <w:spacing w:val="-2"/>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During first quarter 2016, the Company made the decision to further simplify its operations and accelerate the retirement of its less-efficient Classic fleet to no later than third quarter 2017, versus the original scheduled retirement of this fleet that had extended out to 2021. This change in retirement dates is considered a change in estimate and has been accounted for on a prospective basis as of the dates the decisions were finalized. Therefore, the Company has recorded and will record accelerated depreciation expense over the remainder of the useful lives for each Classic aircraft and related parts. See Note 7 for further information regarding the Company’s aircraft</w:t>
      </w:r>
      <w:r>
        <w:rPr>
          <w:color w:val="231F20"/>
          <w:spacing w:val="-5"/>
        </w:rPr>
        <w:t> </w:t>
      </w:r>
      <w:r>
        <w:rPr>
          <w:color w:val="231F20"/>
        </w:rPr>
        <w:t>fleet.</w:t>
      </w:r>
    </w:p>
    <w:p>
      <w:pPr>
        <w:pStyle w:val="BodyText"/>
        <w:spacing w:line="247" w:lineRule="auto" w:before="212"/>
        <w:ind w:left="100" w:right="118"/>
        <w:jc w:val="both"/>
      </w:pPr>
      <w:r>
        <w:rPr>
          <w:color w:val="231F20"/>
        </w:rPr>
        <w:t>The impacts on expense and earnings from this change in assumption for the year ended December 31, 2016 are as follows:</w:t>
      </w:r>
    </w:p>
    <w:p>
      <w:pPr>
        <w:pStyle w:val="BodyText"/>
        <w:spacing w:before="11"/>
        <w:rPr>
          <w:sz w:val="14"/>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84"/>
        <w:gridCol w:w="4290"/>
        <w:gridCol w:w="546"/>
      </w:tblGrid>
      <w:tr>
        <w:trPr>
          <w:trHeight w:val="266" w:hRule="exact"/>
        </w:trPr>
        <w:tc>
          <w:tcPr>
            <w:tcW w:w="4284" w:type="dxa"/>
            <w:tcBorders>
              <w:bottom w:val="single" w:sz="8" w:space="0" w:color="231F20"/>
            </w:tcBorders>
          </w:tcPr>
          <w:p>
            <w:pPr>
              <w:pStyle w:val="TableParagraph"/>
              <w:spacing w:line="229" w:lineRule="exact" w:before="0"/>
              <w:rPr>
                <w:b/>
                <w:sz w:val="20"/>
              </w:rPr>
            </w:pPr>
            <w:r>
              <w:rPr>
                <w:b/>
                <w:color w:val="231F20"/>
                <w:sz w:val="20"/>
              </w:rPr>
              <w:t>(in millions, except per share amounts)</w:t>
            </w:r>
          </w:p>
        </w:tc>
        <w:tc>
          <w:tcPr>
            <w:tcW w:w="4290" w:type="dxa"/>
            <w:tcBorders>
              <w:bottom w:val="single" w:sz="8" w:space="0" w:color="231F20"/>
            </w:tcBorders>
          </w:tcPr>
          <w:p>
            <w:pPr>
              <w:pStyle w:val="TableParagraph"/>
              <w:spacing w:line="229" w:lineRule="exact" w:before="0"/>
              <w:ind w:left="1576"/>
              <w:rPr>
                <w:b/>
                <w:sz w:val="20"/>
              </w:rPr>
            </w:pPr>
            <w:r>
              <w:rPr>
                <w:b/>
                <w:color w:val="231F20"/>
                <w:sz w:val="20"/>
              </w:rPr>
              <w:t>Year ended December 31, 2016</w:t>
            </w:r>
          </w:p>
        </w:tc>
        <w:tc>
          <w:tcPr>
            <w:tcW w:w="546" w:type="dxa"/>
            <w:tcBorders>
              <w:bottom w:val="single" w:sz="8" w:space="0" w:color="231F20"/>
            </w:tcBorders>
          </w:tcPr>
          <w:p>
            <w:pPr/>
          </w:p>
        </w:tc>
      </w:tr>
      <w:tr>
        <w:trPr>
          <w:trHeight w:val="300" w:hRule="exact"/>
        </w:trPr>
        <w:tc>
          <w:tcPr>
            <w:tcW w:w="4284" w:type="dxa"/>
            <w:tcBorders>
              <w:top w:val="single" w:sz="8" w:space="0" w:color="231F20"/>
            </w:tcBorders>
            <w:shd w:val="clear" w:color="auto" w:fill="D1D3D4"/>
          </w:tcPr>
          <w:p>
            <w:pPr>
              <w:pStyle w:val="TableParagraph"/>
              <w:spacing w:before="43"/>
              <w:rPr>
                <w:sz w:val="20"/>
              </w:rPr>
            </w:pPr>
            <w:r>
              <w:rPr>
                <w:color w:val="231F20"/>
                <w:sz w:val="20"/>
              </w:rPr>
              <w:t>Depreciation and amortization expense</w:t>
            </w:r>
          </w:p>
        </w:tc>
        <w:tc>
          <w:tcPr>
            <w:tcW w:w="4290" w:type="dxa"/>
            <w:tcBorders>
              <w:top w:val="single" w:sz="8" w:space="0" w:color="231F20"/>
            </w:tcBorders>
            <w:shd w:val="clear" w:color="auto" w:fill="D1D3D4"/>
          </w:tcPr>
          <w:p>
            <w:pPr>
              <w:pStyle w:val="TableParagraph"/>
              <w:spacing w:before="43"/>
              <w:ind w:left="969"/>
              <w:rPr>
                <w:sz w:val="20"/>
              </w:rPr>
            </w:pPr>
            <w:r>
              <w:rPr>
                <w:color w:val="231F20"/>
                <w:sz w:val="20"/>
              </w:rPr>
              <w:t>$</w:t>
            </w:r>
          </w:p>
        </w:tc>
        <w:tc>
          <w:tcPr>
            <w:tcW w:w="546" w:type="dxa"/>
            <w:tcBorders>
              <w:top w:val="single" w:sz="8" w:space="0" w:color="231F20"/>
            </w:tcBorders>
            <w:shd w:val="clear" w:color="auto" w:fill="D1D3D4"/>
          </w:tcPr>
          <w:p>
            <w:pPr>
              <w:pStyle w:val="TableParagraph"/>
              <w:spacing w:before="43"/>
              <w:ind w:left="179"/>
              <w:rPr>
                <w:sz w:val="20"/>
              </w:rPr>
            </w:pPr>
            <w:r>
              <w:rPr>
                <w:color w:val="231F20"/>
                <w:sz w:val="20"/>
              </w:rPr>
              <w:t>123</w:t>
            </w:r>
          </w:p>
        </w:tc>
      </w:tr>
      <w:tr>
        <w:trPr>
          <w:trHeight w:val="320" w:hRule="exact"/>
        </w:trPr>
        <w:tc>
          <w:tcPr>
            <w:tcW w:w="4284" w:type="dxa"/>
          </w:tcPr>
          <w:p>
            <w:pPr>
              <w:pStyle w:val="TableParagraph"/>
              <w:rPr>
                <w:sz w:val="20"/>
              </w:rPr>
            </w:pPr>
            <w:r>
              <w:rPr>
                <w:color w:val="231F20"/>
                <w:sz w:val="20"/>
              </w:rPr>
              <w:t>Net income *</w:t>
            </w:r>
          </w:p>
        </w:tc>
        <w:tc>
          <w:tcPr>
            <w:tcW w:w="4290" w:type="dxa"/>
            <w:tcBorders>
              <w:bottom w:val="single" w:sz="4" w:space="0" w:color="231F20"/>
            </w:tcBorders>
          </w:tcPr>
          <w:p>
            <w:pPr>
              <w:pStyle w:val="TableParagraph"/>
              <w:ind w:left="968"/>
              <w:rPr>
                <w:sz w:val="20"/>
              </w:rPr>
            </w:pPr>
            <w:r>
              <w:rPr>
                <w:color w:val="231F20"/>
                <w:sz w:val="20"/>
              </w:rPr>
              <w:t>$</w:t>
            </w:r>
          </w:p>
        </w:tc>
        <w:tc>
          <w:tcPr>
            <w:tcW w:w="546" w:type="dxa"/>
            <w:tcBorders>
              <w:bottom w:val="single" w:sz="4" w:space="0" w:color="231F20"/>
            </w:tcBorders>
          </w:tcPr>
          <w:p>
            <w:pPr>
              <w:pStyle w:val="TableParagraph"/>
              <w:jc w:val="right"/>
              <w:rPr>
                <w:sz w:val="20"/>
              </w:rPr>
            </w:pPr>
            <w:r>
              <w:rPr>
                <w:color w:val="231F20"/>
                <w:sz w:val="20"/>
              </w:rPr>
              <w:t>(66)</w:t>
            </w:r>
          </w:p>
        </w:tc>
      </w:tr>
      <w:tr>
        <w:trPr>
          <w:trHeight w:val="300" w:hRule="exact"/>
        </w:trPr>
        <w:tc>
          <w:tcPr>
            <w:tcW w:w="4284" w:type="dxa"/>
            <w:shd w:val="clear" w:color="auto" w:fill="D1D3D4"/>
          </w:tcPr>
          <w:p>
            <w:pPr>
              <w:pStyle w:val="TableParagraph"/>
              <w:rPr>
                <w:sz w:val="20"/>
              </w:rPr>
            </w:pPr>
            <w:r>
              <w:rPr>
                <w:color w:val="231F20"/>
                <w:sz w:val="20"/>
              </w:rPr>
              <w:t>Net income per basic share</w:t>
            </w:r>
          </w:p>
        </w:tc>
        <w:tc>
          <w:tcPr>
            <w:tcW w:w="4290" w:type="dxa"/>
            <w:tcBorders>
              <w:top w:val="single" w:sz="4" w:space="0" w:color="231F20"/>
            </w:tcBorders>
            <w:shd w:val="clear" w:color="auto" w:fill="D1D3D4"/>
          </w:tcPr>
          <w:p>
            <w:pPr>
              <w:pStyle w:val="TableParagraph"/>
              <w:spacing w:before="48"/>
              <w:ind w:left="968"/>
              <w:rPr>
                <w:sz w:val="20"/>
              </w:rPr>
            </w:pPr>
            <w:r>
              <w:rPr>
                <w:color w:val="231F20"/>
                <w:sz w:val="20"/>
              </w:rPr>
              <w:t>$</w:t>
            </w:r>
          </w:p>
        </w:tc>
        <w:tc>
          <w:tcPr>
            <w:tcW w:w="546" w:type="dxa"/>
            <w:tcBorders>
              <w:top w:val="single" w:sz="4" w:space="0" w:color="231F20"/>
            </w:tcBorders>
            <w:shd w:val="clear" w:color="auto" w:fill="D1D3D4"/>
          </w:tcPr>
          <w:p>
            <w:pPr>
              <w:pStyle w:val="TableParagraph"/>
              <w:spacing w:before="48"/>
              <w:jc w:val="right"/>
              <w:rPr>
                <w:sz w:val="20"/>
              </w:rPr>
            </w:pPr>
            <w:r>
              <w:rPr>
                <w:color w:val="231F20"/>
                <w:sz w:val="20"/>
              </w:rPr>
              <w:t>(0.11)</w:t>
            </w:r>
          </w:p>
        </w:tc>
      </w:tr>
      <w:tr>
        <w:trPr>
          <w:trHeight w:val="772" w:hRule="exact"/>
        </w:trPr>
        <w:tc>
          <w:tcPr>
            <w:tcW w:w="4284" w:type="dxa"/>
          </w:tcPr>
          <w:p>
            <w:pPr>
              <w:pStyle w:val="TableParagraph"/>
              <w:rPr>
                <w:sz w:val="20"/>
              </w:rPr>
            </w:pPr>
            <w:r>
              <w:rPr>
                <w:color w:val="231F20"/>
                <w:sz w:val="20"/>
              </w:rPr>
              <w:t>Net income per diluted share</w:t>
            </w:r>
          </w:p>
          <w:p>
            <w:pPr>
              <w:pStyle w:val="TableParagraph"/>
              <w:spacing w:before="5"/>
              <w:rPr>
                <w:sz w:val="24"/>
              </w:rPr>
            </w:pPr>
          </w:p>
          <w:p>
            <w:pPr>
              <w:pStyle w:val="TableParagraph"/>
              <w:spacing w:before="0"/>
              <w:rPr>
                <w:sz w:val="18"/>
              </w:rPr>
            </w:pPr>
            <w:r>
              <w:rPr>
                <w:color w:val="231F20"/>
                <w:sz w:val="18"/>
              </w:rPr>
              <w:t>* net of profitsharing benefit</w:t>
            </w:r>
          </w:p>
        </w:tc>
        <w:tc>
          <w:tcPr>
            <w:tcW w:w="4290" w:type="dxa"/>
          </w:tcPr>
          <w:p>
            <w:pPr>
              <w:pStyle w:val="TableParagraph"/>
              <w:ind w:left="969"/>
              <w:rPr>
                <w:sz w:val="20"/>
              </w:rPr>
            </w:pPr>
            <w:r>
              <w:rPr>
                <w:color w:val="231F20"/>
                <w:sz w:val="20"/>
              </w:rPr>
              <w:t>$</w:t>
            </w:r>
          </w:p>
        </w:tc>
        <w:tc>
          <w:tcPr>
            <w:tcW w:w="546" w:type="dxa"/>
          </w:tcPr>
          <w:p>
            <w:pPr>
              <w:pStyle w:val="TableParagraph"/>
              <w:jc w:val="right"/>
              <w:rPr>
                <w:sz w:val="20"/>
              </w:rPr>
            </w:pPr>
            <w:r>
              <w:rPr>
                <w:color w:val="231F20"/>
                <w:sz w:val="20"/>
              </w:rPr>
              <w:t>(0.10)</w:t>
            </w:r>
          </w:p>
        </w:tc>
      </w:tr>
    </w:tbl>
    <w:p>
      <w:pPr>
        <w:pStyle w:val="BodyText"/>
        <w:spacing w:before="9"/>
        <w:rPr>
          <w:sz w:val="19"/>
        </w:rPr>
      </w:pPr>
    </w:p>
    <w:p>
      <w:pPr>
        <w:pStyle w:val="BodyText"/>
        <w:spacing w:line="247" w:lineRule="auto" w:before="1"/>
        <w:ind w:left="100" w:right="117"/>
        <w:jc w:val="both"/>
      </w:pPr>
      <w:r>
        <w:rPr>
          <w:color w:val="231F20"/>
        </w:rPr>
        <w:t>The estimated impact to Depreciation and amortization expense from this change in assumption for 2017 is an approximate increase of $21 million.</w:t>
      </w:r>
    </w:p>
    <w:p>
      <w:pPr>
        <w:pStyle w:val="BodyText"/>
        <w:spacing w:line="247" w:lineRule="auto" w:before="213"/>
        <w:ind w:left="100" w:right="117"/>
        <w:jc w:val="both"/>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Heading2"/>
        <w:spacing w:before="213"/>
        <w:rPr>
          <w:i/>
        </w:rPr>
      </w:pPr>
      <w:r>
        <w:rPr>
          <w:i/>
          <w:color w:val="231F20"/>
        </w:rPr>
        <w:t>Aircraft and Engine Maintenance</w:t>
      </w:r>
    </w:p>
    <w:p>
      <w:pPr>
        <w:pStyle w:val="BodyText"/>
        <w:spacing w:before="1"/>
        <w:rPr>
          <w:b/>
          <w:i/>
          <w:sz w:val="19"/>
        </w:rPr>
      </w:pPr>
    </w:p>
    <w:p>
      <w:pPr>
        <w:pStyle w:val="BodyText"/>
        <w:spacing w:line="247" w:lineRule="auto"/>
        <w:ind w:left="100" w:right="118"/>
        <w:jc w:val="both"/>
      </w:pPr>
      <w:r>
        <w:rPr>
          <w:color w:val="231F20"/>
        </w:rPr>
        <w:t>The cost of scheduled inspections and repairs and routine maintenance costs for all aircraft and engines are charged to Maintenance materials and repairs expense as incurred. The Company also has “power- by-the-hour” agreements related to certain of its aircraft engines with external service providers. Under these agreements, which the Company has determined effectively transfer the risk and create an obligation associated with the maintenance on such engines to the counterparty, expense is recorded commensurate with each hour flown on an engine. In situations where the payments to the counterparty do not sufficiently match the level of services received during the period, expense is recorded on a straight-line basis over the term of the agreement based on the Company’s best estimate of expected future aircraft utilization. For its engine maintenance contracts that do not transfer risk to the service provider, the Company records expense on a time and materials basis when an engine repair event takes place. Modifications that significantly enhance the operating performance or extend the useful lives of aircraft or engines are capitalized and amortized over the remaining life of the</w:t>
      </w:r>
      <w:r>
        <w:rPr>
          <w:color w:val="231F20"/>
          <w:spacing w:val="-5"/>
        </w:rPr>
        <w:t> </w:t>
      </w:r>
      <w:r>
        <w:rPr>
          <w:color w:val="231F20"/>
        </w:rPr>
        <w:t>asset.</w:t>
      </w:r>
    </w:p>
    <w:p>
      <w:pPr>
        <w:pStyle w:val="Heading2"/>
        <w:spacing w:before="212"/>
        <w:rPr>
          <w:i/>
        </w:rPr>
      </w:pPr>
      <w:r>
        <w:rPr>
          <w:i/>
          <w:color w:val="231F20"/>
        </w:rPr>
        <w:t>Goodwill and Intangible Assets</w:t>
      </w:r>
    </w:p>
    <w:p>
      <w:pPr>
        <w:pStyle w:val="BodyText"/>
        <w:spacing w:before="1"/>
        <w:rPr>
          <w:b/>
          <w:i/>
          <w:sz w:val="19"/>
        </w:rPr>
      </w:pPr>
    </w:p>
    <w:p>
      <w:pPr>
        <w:pStyle w:val="BodyText"/>
        <w:spacing w:line="247" w:lineRule="auto"/>
        <w:ind w:left="100" w:right="117"/>
        <w:jc w:val="both"/>
      </w:pPr>
      <w:r>
        <w:rPr>
          <w:color w:val="231F20"/>
        </w:rPr>
        <w:t>The Company applies a fair value based impairment test to the carrying value of goodwill and indefinite-lived intangible assets</w:t>
      </w:r>
      <w:r>
        <w:rPr>
          <w:color w:val="231F20"/>
          <w:spacing w:val="50"/>
        </w:rPr>
        <w:t> </w:t>
      </w:r>
      <w:r>
        <w:rPr>
          <w:color w:val="231F20"/>
        </w:rPr>
        <w:t>annually on October 1st, or more frequently if certain events or</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circumstances indicate that an impairment loss may have been incurred. The Company assesses the value of goodwill and indefinite-lived assets under either a qualitative or quantitative approach. Under  a qualitative approach, the Company considers various market factors, including applicable key assumptions listed below. These factors are analyzed to determine if events and circumstances could reasonably have affected the fair value of goodwill and indefinite-lived intangible assets. If the Company determines that it is more likely than not that an indefinite-lived intangible asset is impaired, the quantitative approach is used to assess the asset’s implied fair value and the amount of the impairment. Under a quantitative approach, the implied fair value of the Company’s identifiable assets and liabilities is calculated based on key assumptions. If the Company assets’ carrying value exceeds the fair value calculated using the quantitative approach, an impairment charge is recorded for the difference in fair value and carrying</w:t>
      </w:r>
      <w:r>
        <w:rPr>
          <w:color w:val="231F20"/>
          <w:spacing w:val="-3"/>
        </w:rPr>
        <w:t> </w:t>
      </w:r>
      <w:r>
        <w:rPr>
          <w:color w:val="231F20"/>
        </w:rPr>
        <w:t>value.</w:t>
      </w:r>
    </w:p>
    <w:p>
      <w:pPr>
        <w:pStyle w:val="BodyText"/>
        <w:spacing w:before="9"/>
        <w:rPr>
          <w:sz w:val="20"/>
        </w:rPr>
      </w:pPr>
    </w:p>
    <w:p>
      <w:pPr>
        <w:pStyle w:val="BodyText"/>
        <w:spacing w:line="247" w:lineRule="auto"/>
        <w:ind w:left="100" w:right="118"/>
        <w:jc w:val="both"/>
      </w:pPr>
      <w:r>
        <w:rPr>
          <w:color w:val="231F20"/>
        </w:rPr>
        <w:t>The following table is a summary of the Company’s intangible assets, which are included as a component of Other assets in the Company’s Consolidated Balance Sheet, as of December 31, 2016 and 2015:</w:t>
      </w:r>
    </w:p>
    <w:p>
      <w:pPr>
        <w:pStyle w:val="BodyText"/>
        <w:spacing w:before="2"/>
        <w:rPr>
          <w:sz w:val="17"/>
        </w:rPr>
      </w:pPr>
    </w:p>
    <w:p>
      <w:pPr>
        <w:spacing w:before="1" w:after="17"/>
        <w:ind w:left="3842" w:right="0" w:firstLine="0"/>
        <w:jc w:val="left"/>
        <w:rPr>
          <w:b/>
          <w:sz w:val="20"/>
        </w:rPr>
      </w:pPr>
      <w:r>
        <w:rPr>
          <w:b/>
          <w:color w:val="231F20"/>
          <w:sz w:val="20"/>
        </w:rPr>
        <w:t>Year ended December 31, 2016  Year ended December 31, 2015</w:t>
      </w:r>
    </w:p>
    <w:p>
      <w:pPr>
        <w:pStyle w:val="BodyText"/>
        <w:spacing w:line="20" w:lineRule="exact"/>
        <w:ind w:left="3832"/>
        <w:rPr>
          <w:sz w:val="2"/>
        </w:rPr>
      </w:pPr>
      <w:r>
        <w:rPr>
          <w:sz w:val="2"/>
        </w:rPr>
        <w:pict>
          <v:group style="width:269.9pt;height:1pt;mso-position-horizontal-relative:char;mso-position-vertical-relative:line" coordorigin="0,0" coordsize="5398,20">
            <v:line style="position:absolute" from="10,10" to="2659,10" stroked="true" strokeweight="1pt" strokecolor="#231f20">
              <v:stroke dashstyle="solid"/>
            </v:line>
            <v:line style="position:absolute" from="2739,10" to="5388,10" stroked="true" strokeweight="1pt" strokecolor="#231f20">
              <v:stroke dashstyle="solid"/>
            </v:line>
          </v:group>
        </w:pict>
      </w:r>
      <w:r>
        <w:rPr>
          <w:sz w:val="2"/>
        </w:rPr>
      </w:r>
    </w:p>
    <w:p>
      <w:pPr>
        <w:spacing w:line="201" w:lineRule="exact" w:before="13"/>
        <w:ind w:left="2736" w:right="0" w:firstLine="0"/>
        <w:jc w:val="left"/>
        <w:rPr>
          <w:b/>
          <w:sz w:val="20"/>
        </w:rPr>
      </w:pPr>
      <w:r>
        <w:rPr>
          <w:b/>
          <w:color w:val="231F20"/>
          <w:sz w:val="20"/>
        </w:rPr>
        <w:t>Weighted-</w:t>
      </w:r>
    </w:p>
    <w:p>
      <w:pPr>
        <w:spacing w:after="0" w:line="201" w:lineRule="exact"/>
        <w:jc w:val="left"/>
        <w:rPr>
          <w:sz w:val="20"/>
        </w:rPr>
        <w:sectPr>
          <w:pgSz w:w="11880" w:h="15480"/>
          <w:pgMar w:header="0" w:footer="1240" w:top="1240" w:bottom="1420" w:left="1280" w:right="1260"/>
        </w:sectPr>
      </w:pPr>
    </w:p>
    <w:p>
      <w:pPr>
        <w:pStyle w:val="BodyText"/>
        <w:spacing w:before="3"/>
        <w:rPr>
          <w:b/>
          <w:sz w:val="17"/>
        </w:rPr>
      </w:pPr>
    </w:p>
    <w:p>
      <w:pPr>
        <w:spacing w:before="0"/>
        <w:ind w:left="160" w:right="0" w:firstLine="0"/>
        <w:jc w:val="left"/>
        <w:rPr>
          <w:b/>
          <w:sz w:val="20"/>
        </w:rPr>
      </w:pPr>
      <w:r>
        <w:rPr>
          <w:b/>
          <w:color w:val="231F20"/>
          <w:sz w:val="20"/>
        </w:rPr>
        <w:t>(in millions)</w:t>
      </w:r>
    </w:p>
    <w:p>
      <w:pPr>
        <w:spacing w:line="200" w:lineRule="exact" w:before="25"/>
        <w:ind w:left="211" w:right="-18" w:hanging="52"/>
        <w:jc w:val="left"/>
        <w:rPr>
          <w:b/>
          <w:sz w:val="20"/>
        </w:rPr>
      </w:pPr>
      <w:r>
        <w:rPr/>
        <w:br w:type="column"/>
      </w:r>
      <w:r>
        <w:rPr>
          <w:b/>
          <w:color w:val="231F20"/>
          <w:sz w:val="20"/>
        </w:rPr>
        <w:t>average useful life (in years)</w:t>
      </w:r>
    </w:p>
    <w:p>
      <w:pPr>
        <w:spacing w:line="200" w:lineRule="exact" w:before="25"/>
        <w:ind w:left="392"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31" w:right="-20" w:hanging="16"/>
        <w:jc w:val="left"/>
        <w:rPr>
          <w:b/>
          <w:sz w:val="20"/>
        </w:rPr>
      </w:pPr>
      <w:r>
        <w:rPr/>
        <w:br w:type="column"/>
      </w:r>
      <w:r>
        <w:rPr>
          <w:b/>
          <w:color w:val="231F20"/>
          <w:sz w:val="20"/>
        </w:rPr>
        <w:t>Accumulated</w:t>
      </w:r>
      <w:r>
        <w:rPr>
          <w:b/>
          <w:color w:val="231F20"/>
          <w:w w:val="99"/>
          <w:sz w:val="20"/>
        </w:rPr>
        <w:t> </w:t>
      </w:r>
      <w:r>
        <w:rPr>
          <w:b/>
          <w:color w:val="231F20"/>
          <w:sz w:val="20"/>
        </w:rPr>
        <w:t>amortization</w:t>
      </w:r>
    </w:p>
    <w:p>
      <w:pPr>
        <w:spacing w:line="200" w:lineRule="exact" w:before="25"/>
        <w:ind w:left="427" w:right="-18" w:hanging="315"/>
        <w:jc w:val="left"/>
        <w:rPr>
          <w:b/>
          <w:sz w:val="20"/>
        </w:rPr>
      </w:pPr>
      <w:r>
        <w:rPr/>
        <w:br w:type="column"/>
      </w:r>
      <w:r>
        <w:rPr>
          <w:b/>
          <w:color w:val="231F20"/>
          <w:sz w:val="20"/>
        </w:rPr>
        <w:t>Gross carrying</w:t>
      </w:r>
      <w:r>
        <w:rPr>
          <w:b/>
          <w:color w:val="231F20"/>
          <w:w w:val="100"/>
          <w:sz w:val="20"/>
        </w:rPr>
        <w:t> </w:t>
      </w:r>
      <w:r>
        <w:rPr>
          <w:b/>
          <w:color w:val="231F20"/>
          <w:sz w:val="20"/>
        </w:rPr>
        <w:t>amount</w:t>
      </w:r>
    </w:p>
    <w:p>
      <w:pPr>
        <w:spacing w:line="200" w:lineRule="exact" w:before="25"/>
        <w:ind w:left="109" w:right="134" w:firstLine="6"/>
        <w:jc w:val="left"/>
        <w:rPr>
          <w:b/>
          <w:sz w:val="20"/>
        </w:rPr>
      </w:pPr>
      <w:r>
        <w:rPr/>
        <w:br w:type="column"/>
      </w:r>
      <w:r>
        <w:rPr>
          <w:b/>
          <w:color w:val="231F20"/>
          <w:sz w:val="20"/>
        </w:rPr>
        <w:t>Accumulated Amortization</w:t>
      </w:r>
    </w:p>
    <w:p>
      <w:pPr>
        <w:spacing w:after="0" w:line="200" w:lineRule="exact"/>
        <w:jc w:val="left"/>
        <w:rPr>
          <w:sz w:val="20"/>
        </w:rPr>
        <w:sectPr>
          <w:type w:val="continuous"/>
          <w:pgSz w:w="11880" w:h="15480"/>
          <w:pgMar w:top="1260" w:bottom="280" w:left="1280" w:right="1260"/>
          <w:cols w:num="6" w:equalWidth="0">
            <w:col w:w="1189" w:space="1184"/>
            <w:col w:w="1389" w:space="40"/>
            <w:col w:w="1363" w:space="40"/>
            <w:col w:w="1249" w:space="40"/>
            <w:col w:w="1398" w:space="40"/>
            <w:col w:w="1408"/>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33"/>
        <w:gridCol w:w="1229"/>
        <w:gridCol w:w="1440"/>
        <w:gridCol w:w="1289"/>
        <w:gridCol w:w="1434"/>
        <w:gridCol w:w="1295"/>
      </w:tblGrid>
      <w:tr>
        <w:trPr>
          <w:trHeight w:val="610" w:hRule="exact"/>
        </w:trPr>
        <w:tc>
          <w:tcPr>
            <w:tcW w:w="2433" w:type="dxa"/>
            <w:tcBorders>
              <w:top w:val="single" w:sz="8" w:space="0" w:color="231F20"/>
            </w:tcBorders>
          </w:tcPr>
          <w:p>
            <w:pPr>
              <w:pStyle w:val="TableParagraph"/>
              <w:spacing w:line="249" w:lineRule="auto" w:before="113"/>
              <w:ind w:left="60" w:right="447"/>
              <w:rPr>
                <w:sz w:val="20"/>
              </w:rPr>
            </w:pPr>
            <w:r>
              <w:rPr>
                <w:color w:val="231F20"/>
                <w:sz w:val="20"/>
              </w:rPr>
              <w:t>Customer relationships/ marketing agreements</w:t>
            </w:r>
          </w:p>
        </w:tc>
        <w:tc>
          <w:tcPr>
            <w:tcW w:w="1229" w:type="dxa"/>
            <w:tcBorders>
              <w:top w:val="single" w:sz="8" w:space="0" w:color="231F20"/>
            </w:tcBorders>
          </w:tcPr>
          <w:p>
            <w:pPr>
              <w:pStyle w:val="TableParagraph"/>
              <w:spacing w:before="8"/>
              <w:rPr>
                <w:b/>
                <w:sz w:val="30"/>
              </w:rPr>
            </w:pPr>
          </w:p>
          <w:p>
            <w:pPr>
              <w:pStyle w:val="TableParagraph"/>
              <w:spacing w:before="0"/>
              <w:ind w:right="64"/>
              <w:jc w:val="right"/>
              <w:rPr>
                <w:sz w:val="20"/>
              </w:rPr>
            </w:pPr>
            <w:r>
              <w:rPr>
                <w:color w:val="231F20"/>
                <w:sz w:val="20"/>
              </w:rPr>
              <w:t>9</w:t>
            </w:r>
          </w:p>
        </w:tc>
        <w:tc>
          <w:tcPr>
            <w:tcW w:w="1440" w:type="dxa"/>
            <w:tcBorders>
              <w:top w:val="single" w:sz="8" w:space="0" w:color="231F20"/>
            </w:tcBorders>
          </w:tcPr>
          <w:p>
            <w:pPr>
              <w:pStyle w:val="TableParagraph"/>
              <w:spacing w:before="8"/>
              <w:rPr>
                <w:b/>
                <w:sz w:val="30"/>
              </w:rPr>
            </w:pPr>
          </w:p>
          <w:p>
            <w:pPr>
              <w:pStyle w:val="TableParagraph"/>
              <w:tabs>
                <w:tab w:pos="1092" w:val="left" w:leader="none"/>
              </w:tabs>
              <w:spacing w:before="0"/>
              <w:ind w:right="64"/>
              <w:jc w:val="right"/>
              <w:rPr>
                <w:sz w:val="20"/>
              </w:rPr>
            </w:pPr>
            <w:r>
              <w:rPr>
                <w:color w:val="231F20"/>
                <w:sz w:val="20"/>
              </w:rPr>
              <w:t>$</w:t>
              <w:tab/>
              <w:t>38</w:t>
            </w:r>
          </w:p>
        </w:tc>
        <w:tc>
          <w:tcPr>
            <w:tcW w:w="1289" w:type="dxa"/>
            <w:tcBorders>
              <w:top w:val="single" w:sz="8" w:space="0" w:color="231F20"/>
            </w:tcBorders>
          </w:tcPr>
          <w:p>
            <w:pPr>
              <w:pStyle w:val="TableParagraph"/>
              <w:spacing w:before="8"/>
              <w:rPr>
                <w:b/>
                <w:sz w:val="30"/>
              </w:rPr>
            </w:pPr>
          </w:p>
          <w:p>
            <w:pPr>
              <w:pStyle w:val="TableParagraph"/>
              <w:tabs>
                <w:tab w:pos="941" w:val="left" w:leader="none"/>
              </w:tabs>
              <w:spacing w:before="0"/>
              <w:ind w:right="64"/>
              <w:jc w:val="right"/>
              <w:rPr>
                <w:sz w:val="20"/>
              </w:rPr>
            </w:pPr>
            <w:r>
              <w:rPr>
                <w:color w:val="231F20"/>
                <w:sz w:val="20"/>
              </w:rPr>
              <w:t>$</w:t>
              <w:tab/>
              <w:t>32</w:t>
            </w:r>
          </w:p>
        </w:tc>
        <w:tc>
          <w:tcPr>
            <w:tcW w:w="1434" w:type="dxa"/>
            <w:tcBorders>
              <w:top w:val="single" w:sz="8" w:space="0" w:color="231F20"/>
            </w:tcBorders>
          </w:tcPr>
          <w:p>
            <w:pPr>
              <w:pStyle w:val="TableParagraph"/>
              <w:spacing w:before="8"/>
              <w:rPr>
                <w:b/>
                <w:sz w:val="30"/>
              </w:rPr>
            </w:pPr>
          </w:p>
          <w:p>
            <w:pPr>
              <w:pStyle w:val="TableParagraph"/>
              <w:tabs>
                <w:tab w:pos="1103" w:val="left" w:leader="none"/>
              </w:tabs>
              <w:spacing w:before="0"/>
              <w:ind w:right="47"/>
              <w:jc w:val="right"/>
              <w:rPr>
                <w:sz w:val="20"/>
              </w:rPr>
            </w:pPr>
            <w:r>
              <w:rPr>
                <w:color w:val="231F20"/>
                <w:sz w:val="20"/>
              </w:rPr>
              <w:t>$</w:t>
              <w:tab/>
            </w:r>
            <w:r>
              <w:rPr>
                <w:color w:val="231F20"/>
                <w:spacing w:val="-1"/>
                <w:sz w:val="20"/>
              </w:rPr>
              <w:t>38</w:t>
            </w:r>
          </w:p>
        </w:tc>
        <w:tc>
          <w:tcPr>
            <w:tcW w:w="1295" w:type="dxa"/>
            <w:tcBorders>
              <w:top w:val="single" w:sz="8" w:space="0" w:color="231F20"/>
            </w:tcBorders>
          </w:tcPr>
          <w:p>
            <w:pPr>
              <w:pStyle w:val="TableParagraph"/>
              <w:spacing w:before="8"/>
              <w:rPr>
                <w:b/>
                <w:sz w:val="30"/>
              </w:rPr>
            </w:pPr>
          </w:p>
          <w:p>
            <w:pPr>
              <w:pStyle w:val="TableParagraph"/>
              <w:tabs>
                <w:tab w:pos="947" w:val="left" w:leader="none"/>
              </w:tabs>
              <w:spacing w:before="0"/>
              <w:ind w:right="64"/>
              <w:jc w:val="right"/>
              <w:rPr>
                <w:sz w:val="20"/>
              </w:rPr>
            </w:pPr>
            <w:r>
              <w:rPr>
                <w:color w:val="231F20"/>
                <w:sz w:val="20"/>
              </w:rPr>
              <w:t>$</w:t>
              <w:tab/>
              <w:t>30</w:t>
            </w:r>
          </w:p>
        </w:tc>
      </w:tr>
      <w:tr>
        <w:trPr>
          <w:trHeight w:val="300" w:hRule="exact"/>
        </w:trPr>
        <w:tc>
          <w:tcPr>
            <w:tcW w:w="2433" w:type="dxa"/>
            <w:shd w:val="clear" w:color="auto" w:fill="D1D3D4"/>
          </w:tcPr>
          <w:p>
            <w:pPr>
              <w:pStyle w:val="TableParagraph"/>
              <w:ind w:left="60"/>
              <w:rPr>
                <w:sz w:val="20"/>
              </w:rPr>
            </w:pPr>
            <w:r>
              <w:rPr>
                <w:color w:val="231F20"/>
                <w:sz w:val="20"/>
              </w:rPr>
              <w:t>Trademarks/trade names</w:t>
            </w:r>
          </w:p>
        </w:tc>
        <w:tc>
          <w:tcPr>
            <w:tcW w:w="1229" w:type="dxa"/>
            <w:shd w:val="clear" w:color="auto" w:fill="D1D3D4"/>
          </w:tcPr>
          <w:p>
            <w:pPr>
              <w:pStyle w:val="TableParagraph"/>
              <w:ind w:right="64"/>
              <w:jc w:val="right"/>
              <w:rPr>
                <w:sz w:val="20"/>
              </w:rPr>
            </w:pPr>
            <w:r>
              <w:rPr>
                <w:color w:val="231F20"/>
                <w:sz w:val="20"/>
              </w:rPr>
              <w:t>6</w:t>
            </w:r>
          </w:p>
        </w:tc>
        <w:tc>
          <w:tcPr>
            <w:tcW w:w="1440" w:type="dxa"/>
            <w:shd w:val="clear" w:color="auto" w:fill="D1D3D4"/>
          </w:tcPr>
          <w:p>
            <w:pPr>
              <w:pStyle w:val="TableParagraph"/>
              <w:ind w:right="64"/>
              <w:jc w:val="right"/>
              <w:rPr>
                <w:sz w:val="20"/>
              </w:rPr>
            </w:pPr>
            <w:r>
              <w:rPr>
                <w:color w:val="231F20"/>
                <w:sz w:val="20"/>
              </w:rPr>
              <w:t>36</w:t>
            </w:r>
          </w:p>
        </w:tc>
        <w:tc>
          <w:tcPr>
            <w:tcW w:w="1289" w:type="dxa"/>
            <w:shd w:val="clear" w:color="auto" w:fill="D1D3D4"/>
          </w:tcPr>
          <w:p>
            <w:pPr>
              <w:pStyle w:val="TableParagraph"/>
              <w:ind w:right="64"/>
              <w:jc w:val="right"/>
              <w:rPr>
                <w:sz w:val="20"/>
              </w:rPr>
            </w:pPr>
            <w:r>
              <w:rPr>
                <w:color w:val="231F20"/>
                <w:sz w:val="20"/>
              </w:rPr>
              <w:t>36</w:t>
            </w:r>
          </w:p>
        </w:tc>
        <w:tc>
          <w:tcPr>
            <w:tcW w:w="1434" w:type="dxa"/>
            <w:shd w:val="clear" w:color="auto" w:fill="D1D3D4"/>
          </w:tcPr>
          <w:p>
            <w:pPr>
              <w:pStyle w:val="TableParagraph"/>
              <w:ind w:right="47"/>
              <w:jc w:val="right"/>
              <w:rPr>
                <w:sz w:val="20"/>
              </w:rPr>
            </w:pPr>
            <w:r>
              <w:rPr>
                <w:color w:val="231F20"/>
                <w:sz w:val="20"/>
              </w:rPr>
              <w:t>36</w:t>
            </w:r>
          </w:p>
        </w:tc>
        <w:tc>
          <w:tcPr>
            <w:tcW w:w="1295" w:type="dxa"/>
            <w:shd w:val="clear" w:color="auto" w:fill="D1D3D4"/>
          </w:tcPr>
          <w:p>
            <w:pPr>
              <w:pStyle w:val="TableParagraph"/>
              <w:ind w:right="64"/>
              <w:jc w:val="right"/>
              <w:rPr>
                <w:sz w:val="20"/>
              </w:rPr>
            </w:pPr>
            <w:r>
              <w:rPr>
                <w:color w:val="231F20"/>
                <w:sz w:val="20"/>
              </w:rPr>
              <w:t>34</w:t>
            </w:r>
          </w:p>
        </w:tc>
      </w:tr>
      <w:tr>
        <w:trPr>
          <w:trHeight w:val="300" w:hRule="exact"/>
        </w:trPr>
        <w:tc>
          <w:tcPr>
            <w:tcW w:w="2433" w:type="dxa"/>
          </w:tcPr>
          <w:p>
            <w:pPr>
              <w:pStyle w:val="TableParagraph"/>
              <w:ind w:left="60"/>
              <w:rPr>
                <w:sz w:val="20"/>
              </w:rPr>
            </w:pPr>
            <w:r>
              <w:rPr>
                <w:color w:val="231F20"/>
                <w:sz w:val="20"/>
              </w:rPr>
              <w:t>Owned domestic slots (a)</w:t>
            </w:r>
          </w:p>
        </w:tc>
        <w:tc>
          <w:tcPr>
            <w:tcW w:w="1229" w:type="dxa"/>
          </w:tcPr>
          <w:p>
            <w:pPr>
              <w:pStyle w:val="TableParagraph"/>
              <w:ind w:right="67"/>
              <w:jc w:val="right"/>
              <w:rPr>
                <w:sz w:val="20"/>
              </w:rPr>
            </w:pPr>
            <w:r>
              <w:rPr>
                <w:color w:val="231F20"/>
                <w:sz w:val="20"/>
              </w:rPr>
              <w:t>Indefinite</w:t>
            </w:r>
          </w:p>
        </w:tc>
        <w:tc>
          <w:tcPr>
            <w:tcW w:w="1440" w:type="dxa"/>
          </w:tcPr>
          <w:p>
            <w:pPr>
              <w:pStyle w:val="TableParagraph"/>
              <w:ind w:right="64"/>
              <w:jc w:val="right"/>
              <w:rPr>
                <w:sz w:val="20"/>
              </w:rPr>
            </w:pPr>
            <w:r>
              <w:rPr>
                <w:color w:val="231F20"/>
                <w:sz w:val="20"/>
              </w:rPr>
              <w:t>295</w:t>
            </w:r>
          </w:p>
        </w:tc>
        <w:tc>
          <w:tcPr>
            <w:tcW w:w="1289" w:type="dxa"/>
          </w:tcPr>
          <w:p>
            <w:pPr>
              <w:pStyle w:val="TableParagraph"/>
              <w:ind w:right="64"/>
              <w:jc w:val="right"/>
              <w:rPr>
                <w:sz w:val="20"/>
              </w:rPr>
            </w:pPr>
            <w:r>
              <w:rPr>
                <w:color w:val="231F20"/>
                <w:sz w:val="20"/>
              </w:rPr>
              <w:t>—</w:t>
            </w:r>
          </w:p>
        </w:tc>
        <w:tc>
          <w:tcPr>
            <w:tcW w:w="1434" w:type="dxa"/>
          </w:tcPr>
          <w:p>
            <w:pPr>
              <w:pStyle w:val="TableParagraph"/>
              <w:ind w:right="47"/>
              <w:jc w:val="right"/>
              <w:rPr>
                <w:sz w:val="20"/>
              </w:rPr>
            </w:pPr>
            <w:r>
              <w:rPr>
                <w:color w:val="231F20"/>
                <w:sz w:val="20"/>
              </w:rPr>
              <w:t>303</w:t>
            </w:r>
          </w:p>
        </w:tc>
        <w:tc>
          <w:tcPr>
            <w:tcW w:w="1295" w:type="dxa"/>
          </w:tcPr>
          <w:p>
            <w:pPr>
              <w:pStyle w:val="TableParagraph"/>
              <w:ind w:right="65"/>
              <w:jc w:val="right"/>
              <w:rPr>
                <w:sz w:val="20"/>
              </w:rPr>
            </w:pPr>
            <w:r>
              <w:rPr>
                <w:color w:val="231F20"/>
                <w:sz w:val="20"/>
              </w:rPr>
              <w:t>n/a</w:t>
            </w:r>
          </w:p>
        </w:tc>
      </w:tr>
      <w:tr>
        <w:trPr>
          <w:trHeight w:val="300" w:hRule="exact"/>
        </w:trPr>
        <w:tc>
          <w:tcPr>
            <w:tcW w:w="2433" w:type="dxa"/>
            <w:shd w:val="clear" w:color="auto" w:fill="D1D3D4"/>
          </w:tcPr>
          <w:p>
            <w:pPr>
              <w:pStyle w:val="TableParagraph"/>
              <w:ind w:left="60"/>
              <w:rPr>
                <w:sz w:val="20"/>
              </w:rPr>
            </w:pPr>
            <w:r>
              <w:rPr>
                <w:color w:val="231F20"/>
                <w:sz w:val="20"/>
              </w:rPr>
              <w:t>Leased domestic slots (a)</w:t>
            </w:r>
          </w:p>
        </w:tc>
        <w:tc>
          <w:tcPr>
            <w:tcW w:w="1229" w:type="dxa"/>
            <w:shd w:val="clear" w:color="auto" w:fill="D1D3D4"/>
          </w:tcPr>
          <w:p>
            <w:pPr>
              <w:pStyle w:val="TableParagraph"/>
              <w:ind w:right="66"/>
              <w:jc w:val="right"/>
              <w:rPr>
                <w:sz w:val="20"/>
              </w:rPr>
            </w:pPr>
            <w:r>
              <w:rPr>
                <w:color w:val="231F20"/>
                <w:sz w:val="20"/>
              </w:rPr>
              <w:t>—</w:t>
            </w:r>
          </w:p>
        </w:tc>
        <w:tc>
          <w:tcPr>
            <w:tcW w:w="1440" w:type="dxa"/>
            <w:shd w:val="clear" w:color="auto" w:fill="D1D3D4"/>
          </w:tcPr>
          <w:p>
            <w:pPr>
              <w:pStyle w:val="TableParagraph"/>
              <w:ind w:right="66"/>
              <w:jc w:val="right"/>
              <w:rPr>
                <w:sz w:val="20"/>
              </w:rPr>
            </w:pPr>
            <w:r>
              <w:rPr>
                <w:color w:val="231F20"/>
                <w:sz w:val="20"/>
              </w:rPr>
              <w:t>—</w:t>
            </w:r>
          </w:p>
        </w:tc>
        <w:tc>
          <w:tcPr>
            <w:tcW w:w="1289" w:type="dxa"/>
            <w:shd w:val="clear" w:color="auto" w:fill="D1D3D4"/>
          </w:tcPr>
          <w:p>
            <w:pPr>
              <w:pStyle w:val="TableParagraph"/>
              <w:ind w:right="66"/>
              <w:jc w:val="right"/>
              <w:rPr>
                <w:sz w:val="20"/>
              </w:rPr>
            </w:pPr>
            <w:r>
              <w:rPr>
                <w:color w:val="231F20"/>
                <w:sz w:val="20"/>
              </w:rPr>
              <w:t>—</w:t>
            </w:r>
          </w:p>
        </w:tc>
        <w:tc>
          <w:tcPr>
            <w:tcW w:w="1434" w:type="dxa"/>
            <w:shd w:val="clear" w:color="auto" w:fill="D1D3D4"/>
          </w:tcPr>
          <w:p>
            <w:pPr>
              <w:pStyle w:val="TableParagraph"/>
              <w:ind w:right="49"/>
              <w:jc w:val="right"/>
              <w:rPr>
                <w:sz w:val="20"/>
              </w:rPr>
            </w:pPr>
            <w:r>
              <w:rPr>
                <w:color w:val="231F20"/>
                <w:sz w:val="20"/>
              </w:rPr>
              <w:t>17</w:t>
            </w:r>
          </w:p>
        </w:tc>
        <w:tc>
          <w:tcPr>
            <w:tcW w:w="1295" w:type="dxa"/>
            <w:shd w:val="clear" w:color="auto" w:fill="D1D3D4"/>
          </w:tcPr>
          <w:p>
            <w:pPr>
              <w:pStyle w:val="TableParagraph"/>
              <w:ind w:right="66"/>
              <w:jc w:val="right"/>
              <w:rPr>
                <w:sz w:val="20"/>
              </w:rPr>
            </w:pPr>
            <w:r>
              <w:rPr>
                <w:color w:val="231F20"/>
                <w:sz w:val="20"/>
              </w:rPr>
              <w:t>3</w:t>
            </w:r>
          </w:p>
        </w:tc>
      </w:tr>
      <w:tr>
        <w:trPr>
          <w:trHeight w:val="315" w:hRule="exact"/>
        </w:trPr>
        <w:tc>
          <w:tcPr>
            <w:tcW w:w="2433" w:type="dxa"/>
          </w:tcPr>
          <w:p>
            <w:pPr>
              <w:pStyle w:val="TableParagraph"/>
              <w:ind w:left="60"/>
              <w:rPr>
                <w:sz w:val="20"/>
              </w:rPr>
            </w:pPr>
            <w:r>
              <w:rPr>
                <w:color w:val="231F20"/>
                <w:sz w:val="20"/>
              </w:rPr>
              <w:t>Gate leasehold rights (b)</w:t>
            </w:r>
          </w:p>
        </w:tc>
        <w:tc>
          <w:tcPr>
            <w:tcW w:w="1229" w:type="dxa"/>
            <w:tcBorders>
              <w:bottom w:val="single" w:sz="4" w:space="0" w:color="231F20"/>
            </w:tcBorders>
          </w:tcPr>
          <w:p>
            <w:pPr>
              <w:pStyle w:val="TableParagraph"/>
              <w:ind w:right="66"/>
              <w:jc w:val="right"/>
              <w:rPr>
                <w:sz w:val="20"/>
              </w:rPr>
            </w:pPr>
            <w:r>
              <w:rPr>
                <w:color w:val="231F20"/>
                <w:sz w:val="20"/>
              </w:rPr>
              <w:t>15</w:t>
            </w:r>
          </w:p>
        </w:tc>
        <w:tc>
          <w:tcPr>
            <w:tcW w:w="1440" w:type="dxa"/>
            <w:tcBorders>
              <w:bottom w:val="single" w:sz="4" w:space="0" w:color="231F20"/>
            </w:tcBorders>
          </w:tcPr>
          <w:p>
            <w:pPr>
              <w:pStyle w:val="TableParagraph"/>
              <w:ind w:right="66"/>
              <w:jc w:val="right"/>
              <w:rPr>
                <w:sz w:val="20"/>
              </w:rPr>
            </w:pPr>
            <w:r>
              <w:rPr>
                <w:color w:val="231F20"/>
                <w:sz w:val="20"/>
              </w:rPr>
              <w:t>180</w:t>
            </w:r>
          </w:p>
        </w:tc>
        <w:tc>
          <w:tcPr>
            <w:tcW w:w="1289" w:type="dxa"/>
            <w:tcBorders>
              <w:bottom w:val="single" w:sz="4" w:space="0" w:color="231F20"/>
            </w:tcBorders>
          </w:tcPr>
          <w:p>
            <w:pPr>
              <w:pStyle w:val="TableParagraph"/>
              <w:ind w:right="66"/>
              <w:jc w:val="right"/>
              <w:rPr>
                <w:sz w:val="20"/>
              </w:rPr>
            </w:pPr>
            <w:r>
              <w:rPr>
                <w:color w:val="231F20"/>
                <w:sz w:val="20"/>
              </w:rPr>
              <w:t>55</w:t>
            </w:r>
          </w:p>
        </w:tc>
        <w:tc>
          <w:tcPr>
            <w:tcW w:w="1434" w:type="dxa"/>
            <w:tcBorders>
              <w:bottom w:val="single" w:sz="4" w:space="0" w:color="231F20"/>
            </w:tcBorders>
          </w:tcPr>
          <w:p>
            <w:pPr>
              <w:pStyle w:val="TableParagraph"/>
              <w:ind w:right="49"/>
              <w:jc w:val="right"/>
              <w:rPr>
                <w:sz w:val="20"/>
              </w:rPr>
            </w:pPr>
            <w:r>
              <w:rPr>
                <w:color w:val="231F20"/>
                <w:sz w:val="20"/>
              </w:rPr>
              <w:t>180</w:t>
            </w:r>
          </w:p>
        </w:tc>
        <w:tc>
          <w:tcPr>
            <w:tcW w:w="1295" w:type="dxa"/>
            <w:tcBorders>
              <w:bottom w:val="single" w:sz="4" w:space="0" w:color="231F20"/>
            </w:tcBorders>
          </w:tcPr>
          <w:p>
            <w:pPr>
              <w:pStyle w:val="TableParagraph"/>
              <w:ind w:right="66"/>
              <w:jc w:val="right"/>
              <w:rPr>
                <w:sz w:val="20"/>
              </w:rPr>
            </w:pPr>
            <w:r>
              <w:rPr>
                <w:color w:val="231F20"/>
                <w:sz w:val="20"/>
              </w:rPr>
              <w:t>43</w:t>
            </w:r>
          </w:p>
        </w:tc>
      </w:tr>
      <w:tr>
        <w:trPr>
          <w:trHeight w:val="360" w:hRule="exact"/>
        </w:trPr>
        <w:tc>
          <w:tcPr>
            <w:tcW w:w="2433" w:type="dxa"/>
            <w:shd w:val="clear" w:color="auto" w:fill="D1D3D4"/>
          </w:tcPr>
          <w:p>
            <w:pPr>
              <w:pStyle w:val="TableParagraph"/>
              <w:ind w:left="260"/>
              <w:rPr>
                <w:sz w:val="20"/>
              </w:rPr>
            </w:pPr>
            <w:r>
              <w:rPr>
                <w:color w:val="231F20"/>
                <w:sz w:val="20"/>
              </w:rPr>
              <w:t>Total</w:t>
            </w:r>
          </w:p>
        </w:tc>
        <w:tc>
          <w:tcPr>
            <w:tcW w:w="1229"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13</w:t>
            </w:r>
          </w:p>
        </w:tc>
        <w:tc>
          <w:tcPr>
            <w:tcW w:w="1440" w:type="dxa"/>
            <w:tcBorders>
              <w:top w:val="single" w:sz="4" w:space="0" w:color="231F20"/>
              <w:bottom w:val="single" w:sz="4" w:space="0" w:color="231F20"/>
            </w:tcBorders>
            <w:shd w:val="clear" w:color="auto" w:fill="D1D3D4"/>
          </w:tcPr>
          <w:p>
            <w:pPr>
              <w:pStyle w:val="TableParagraph"/>
              <w:tabs>
                <w:tab w:pos="992" w:val="left" w:leader="none"/>
              </w:tabs>
              <w:ind w:right="66"/>
              <w:jc w:val="right"/>
              <w:rPr>
                <w:sz w:val="20"/>
              </w:rPr>
            </w:pPr>
            <w:r>
              <w:rPr>
                <w:color w:val="231F20"/>
                <w:sz w:val="20"/>
              </w:rPr>
              <w:t>$</w:t>
              <w:tab/>
              <w:t>549</w:t>
            </w:r>
          </w:p>
        </w:tc>
        <w:tc>
          <w:tcPr>
            <w:tcW w:w="1289" w:type="dxa"/>
            <w:tcBorders>
              <w:top w:val="single" w:sz="4" w:space="0" w:color="231F20"/>
              <w:bottom w:val="single" w:sz="4" w:space="0" w:color="231F20"/>
            </w:tcBorders>
            <w:shd w:val="clear" w:color="auto" w:fill="D1D3D4"/>
          </w:tcPr>
          <w:p>
            <w:pPr>
              <w:pStyle w:val="TableParagraph"/>
              <w:tabs>
                <w:tab w:pos="841" w:val="left" w:leader="none"/>
              </w:tabs>
              <w:ind w:right="66"/>
              <w:jc w:val="right"/>
              <w:rPr>
                <w:sz w:val="20"/>
              </w:rPr>
            </w:pPr>
            <w:r>
              <w:rPr>
                <w:color w:val="231F20"/>
                <w:sz w:val="20"/>
              </w:rPr>
              <w:t>$</w:t>
              <w:tab/>
              <w:t>123</w:t>
            </w:r>
          </w:p>
        </w:tc>
        <w:tc>
          <w:tcPr>
            <w:tcW w:w="1434" w:type="dxa"/>
            <w:tcBorders>
              <w:top w:val="single" w:sz="4" w:space="0" w:color="231F20"/>
              <w:bottom w:val="single" w:sz="4" w:space="0" w:color="231F20"/>
            </w:tcBorders>
            <w:shd w:val="clear" w:color="auto" w:fill="D1D3D4"/>
          </w:tcPr>
          <w:p>
            <w:pPr>
              <w:pStyle w:val="TableParagraph"/>
              <w:tabs>
                <w:tab w:pos="1003" w:val="left" w:leader="none"/>
              </w:tabs>
              <w:ind w:right="49"/>
              <w:jc w:val="right"/>
              <w:rPr>
                <w:sz w:val="20"/>
              </w:rPr>
            </w:pPr>
            <w:r>
              <w:rPr>
                <w:color w:val="231F20"/>
                <w:sz w:val="20"/>
              </w:rPr>
              <w:t>$</w:t>
              <w:tab/>
            </w:r>
            <w:r>
              <w:rPr>
                <w:color w:val="231F20"/>
                <w:spacing w:val="-1"/>
                <w:sz w:val="20"/>
              </w:rPr>
              <w:t>574</w:t>
            </w:r>
          </w:p>
        </w:tc>
        <w:tc>
          <w:tcPr>
            <w:tcW w:w="1295" w:type="dxa"/>
            <w:tcBorders>
              <w:top w:val="single" w:sz="4" w:space="0" w:color="231F20"/>
              <w:bottom w:val="single" w:sz="4" w:space="0" w:color="231F20"/>
            </w:tcBorders>
            <w:shd w:val="clear" w:color="auto" w:fill="D1D3D4"/>
          </w:tcPr>
          <w:p>
            <w:pPr>
              <w:pStyle w:val="TableParagraph"/>
              <w:tabs>
                <w:tab w:pos="847" w:val="left" w:leader="none"/>
              </w:tabs>
              <w:spacing w:before="48"/>
              <w:ind w:right="66"/>
              <w:jc w:val="right"/>
              <w:rPr>
                <w:sz w:val="20"/>
              </w:rPr>
            </w:pPr>
            <w:r>
              <w:rPr>
                <w:color w:val="231F20"/>
                <w:sz w:val="20"/>
              </w:rPr>
              <w:t>$</w:t>
              <w:tab/>
              <w:t>110</w:t>
            </w:r>
          </w:p>
        </w:tc>
      </w:tr>
    </w:tbl>
    <w:p>
      <w:pPr>
        <w:pStyle w:val="BodyText"/>
        <w:spacing w:before="1"/>
        <w:rPr>
          <w:b/>
          <w:sz w:val="17"/>
        </w:rPr>
      </w:pPr>
    </w:p>
    <w:p>
      <w:pPr>
        <w:pStyle w:val="ListParagraph"/>
        <w:numPr>
          <w:ilvl w:val="0"/>
          <w:numId w:val="14"/>
        </w:numPr>
        <w:tabs>
          <w:tab w:pos="453" w:val="left" w:leader="none"/>
        </w:tabs>
        <w:spacing w:line="247" w:lineRule="auto" w:before="93" w:after="0"/>
        <w:ind w:left="100" w:right="118" w:firstLine="0"/>
        <w:jc w:val="both"/>
        <w:rPr>
          <w:sz w:val="22"/>
        </w:rPr>
      </w:pPr>
      <w:r>
        <w:rPr/>
        <w:pict>
          <v:line style="position:absolute;mso-position-horizontal-relative:page;mso-position-vertical-relative:paragraph;z-index:-375496" from="190.649994pt,-12.330469pt" to="252.099994pt,-12.330469pt" stroked="true" strokeweight=".5pt" strokecolor="#231f20">
            <v:stroke dashstyle="solid"/>
            <w10:wrap type="none"/>
          </v:line>
        </w:pict>
      </w:r>
      <w:r>
        <w:rPr/>
        <w:pict>
          <v:line style="position:absolute;mso-position-horizontal-relative:page;mso-position-vertical-relative:paragraph;z-index:-375472" from="256.100006pt,-12.330469pt" to="324.100006pt,-12.330469pt" stroked="true" strokeweight=".5pt" strokecolor="#231f20">
            <v:stroke dashstyle="solid"/>
            <w10:wrap type="none"/>
          </v:line>
        </w:pict>
      </w:r>
      <w:r>
        <w:rPr/>
        <w:pict>
          <v:line style="position:absolute;mso-position-horizontal-relative:page;mso-position-vertical-relative:paragraph;z-index:-375448" from="328.100006pt,-12.330469pt" to="388.550006pt,-12.330469pt" stroked="true" strokeweight=".5pt" strokecolor="#231f20">
            <v:stroke dashstyle="solid"/>
            <w10:wrap type="none"/>
          </v:line>
        </w:pict>
      </w:r>
      <w:r>
        <w:rPr/>
        <w:pict>
          <v:line style="position:absolute;mso-position-horizontal-relative:page;mso-position-vertical-relative:paragraph;z-index:-375424" from="392.549988pt,-12.330469pt" to="460.249988pt,-12.330469pt" stroked="true" strokeweight=".5pt" strokecolor="#231f20">
            <v:stroke dashstyle="solid"/>
            <w10:wrap type="none"/>
          </v:line>
        </w:pict>
      </w:r>
      <w:r>
        <w:rPr>
          <w:color w:val="231F20"/>
          <w:sz w:val="22"/>
        </w:rPr>
        <w:t>The Company recorded a $21 million impairment associated with owned and leased slots at Newark Liberty International Airport as a result of the FAA announcement, in April 2016, that this airport was being changed to a Level 2 schedule-facilitated airport from its previous designation as Level 3.</w:t>
      </w:r>
    </w:p>
    <w:p>
      <w:pPr>
        <w:pStyle w:val="ListParagraph"/>
        <w:numPr>
          <w:ilvl w:val="0"/>
          <w:numId w:val="14"/>
        </w:numPr>
        <w:tabs>
          <w:tab w:pos="457" w:val="left" w:leader="none"/>
        </w:tabs>
        <w:spacing w:line="247" w:lineRule="auto" w:before="0" w:after="0"/>
        <w:ind w:left="100" w:right="117" w:firstLine="0"/>
        <w:jc w:val="both"/>
        <w:rPr>
          <w:sz w:val="22"/>
        </w:rPr>
      </w:pPr>
      <w:r>
        <w:rPr>
          <w:color w:val="231F20"/>
          <w:sz w:val="22"/>
        </w:rPr>
        <w:t>Intangible assets primarily consist of acquired leasehold rights to certain airport owned gates, takeoff and landing slots (a “slot” is the right of an air carrier, pursuant to regulations of the FAA, to operate a takeoff or landing at a specific time at certain airports) at certain domestic slot-controlled airports, and certain intangible assets acquired.</w:t>
      </w:r>
    </w:p>
    <w:p>
      <w:pPr>
        <w:pStyle w:val="BodyText"/>
        <w:spacing w:before="10"/>
        <w:rPr>
          <w:sz w:val="20"/>
        </w:rPr>
      </w:pPr>
    </w:p>
    <w:p>
      <w:pPr>
        <w:pStyle w:val="BodyText"/>
        <w:spacing w:line="247" w:lineRule="auto"/>
        <w:ind w:left="100" w:right="118"/>
        <w:jc w:val="both"/>
      </w:pPr>
      <w:r>
        <w:rPr>
          <w:color w:val="231F20"/>
        </w:rPr>
        <w:t>The aggregate amortization expense for 2016, 2015, and 2014 was $17 million, $19 million, and $13 million, respectively. Estimated aggregate amortization expense for the five succeeding years and thereafter is as follows: 2017 – $13 million, 2018 – $13 million, 2019 – $13 million, 2020 – $12 million, 2021 – $12 million, and thereafter – $68 million.</w:t>
      </w:r>
    </w:p>
    <w:p>
      <w:pPr>
        <w:pStyle w:val="BodyText"/>
        <w:spacing w:before="9"/>
        <w:rPr>
          <w:sz w:val="20"/>
        </w:rPr>
      </w:pPr>
    </w:p>
    <w:p>
      <w:pPr>
        <w:pStyle w:val="Heading2"/>
        <w:rPr>
          <w:i/>
        </w:rPr>
      </w:pPr>
      <w:r>
        <w:rPr>
          <w:i/>
          <w:color w:val="231F20"/>
        </w:rPr>
        <w:t>Revenue Recognition</w:t>
      </w:r>
    </w:p>
    <w:p>
      <w:pPr>
        <w:pStyle w:val="BodyText"/>
        <w:spacing w:before="5"/>
        <w:rPr>
          <w:b/>
          <w:i/>
          <w:sz w:val="21"/>
        </w:rPr>
      </w:pPr>
    </w:p>
    <w:p>
      <w:pPr>
        <w:pStyle w:val="BodyText"/>
        <w:spacing w:line="247" w:lineRule="auto"/>
        <w:ind w:left="100" w:right="118"/>
        <w:jc w:val="both"/>
      </w:pPr>
      <w:r>
        <w:rPr>
          <w:color w:val="231F20"/>
        </w:rPr>
        <w:t>Tickets sold are initially deferred as Air traffic liability. Passenger revenue is recognized when transportation is provided. Air traffic liability primarily represents tickets sold for future travel dates and funds that are past flight date and remain unused. The majority of the Company’s tickets sold are</w:t>
      </w:r>
    </w:p>
    <w:p>
      <w:pPr>
        <w:spacing w:after="0" w:line="247" w:lineRule="auto"/>
        <w:jc w:val="both"/>
        <w:sectPr>
          <w:type w:val="continuous"/>
          <w:pgSz w:w="11880" w:h="15480"/>
          <w:pgMar w:top="1260" w:bottom="280" w:left="1280" w:right="1260"/>
        </w:sectPr>
      </w:pPr>
    </w:p>
    <w:p>
      <w:pPr>
        <w:pStyle w:val="BodyText"/>
        <w:spacing w:line="247" w:lineRule="auto" w:before="74"/>
        <w:ind w:left="100" w:right="117"/>
        <w:jc w:val="both"/>
      </w:pPr>
      <w:r>
        <w:rPr>
          <w:color w:val="231F20"/>
        </w:rPr>
        <w:t>nonrefundable. Refundable tickets that are sold but not flown on the travel date can be reused for another flight, up to a year from the date of sale, or refunded. A small percentage of tickets (or partial tickets) expire unused. The Company estimates the amount of tickets that expire unused and recognizes such amounts in Passenger revenue using the redemption method based on the scheduled flight date. Southwest has a No Show policy that applies to certain nonrefundable fares that are not canceled or changed by a Customer at least ten minutes prior to a flight’s scheduled departure. Based on the Company’s revenue recognition policy, revenue is recorded at the flight date for a Customer who does not change his/her itinerary and loses his/her funds. Amounts collected from passengers for ancillary service fees are generally recognized as Other revenue when the service is provided, which is typically the flight date.</w:t>
      </w:r>
    </w:p>
    <w:p>
      <w:pPr>
        <w:pStyle w:val="BodyText"/>
        <w:spacing w:before="9"/>
        <w:rPr>
          <w:sz w:val="20"/>
        </w:rPr>
      </w:pPr>
    </w:p>
    <w:p>
      <w:pPr>
        <w:pStyle w:val="BodyText"/>
        <w:spacing w:line="247" w:lineRule="auto"/>
        <w:ind w:left="100" w:right="117"/>
        <w:jc w:val="both"/>
      </w:pPr>
      <w:r>
        <w:rPr>
          <w:color w:val="231F20"/>
        </w:rPr>
        <w:t>The Company’s policy is to record revenue for the estimated spoilage of tickets (including partial tickets) once the flight date has passed, under the redemption method. Initial spoilage estimates are routinely adjusted and ultimately finalized once the tickets expire, which is typically twelve months after the original purchase date. Spoilage estimates are based on the Customers’ historical travel behavior as well as assumptions about the Customers’ future travel behavior. Assumptions used to generate spoilage estimates can be impacted by several factors including, but not limited to: fare increases, fare sales, changes to the Company’s ticketing policies, changes to the Company’s refund, exchange and unused funds policies, and economic factors.</w:t>
      </w:r>
    </w:p>
    <w:p>
      <w:pPr>
        <w:pStyle w:val="BodyText"/>
        <w:spacing w:before="9"/>
        <w:rPr>
          <w:sz w:val="20"/>
        </w:rPr>
      </w:pPr>
    </w:p>
    <w:p>
      <w:pPr>
        <w:pStyle w:val="BodyText"/>
        <w:spacing w:line="247" w:lineRule="auto"/>
        <w:ind w:left="100" w:right="117"/>
        <w:jc w:val="both"/>
      </w:pPr>
      <w:r>
        <w:rPr>
          <w:color w:val="231F20"/>
        </w:rPr>
        <w:t>The Company is also required to collect certain taxes and fees from Customers on behalf of  government agencies and remit these back to the applicable governmental entity on a periodic basis. These taxes and fees include foreign and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9"/>
        <w:rPr>
          <w:sz w:val="20"/>
        </w:rPr>
      </w:pPr>
    </w:p>
    <w:p>
      <w:pPr>
        <w:pStyle w:val="Heading2"/>
        <w:rPr>
          <w:i/>
        </w:rPr>
      </w:pPr>
      <w:r>
        <w:rPr>
          <w:i/>
          <w:color w:val="231F20"/>
        </w:rPr>
        <w:t>Frequent Flyer Program</w:t>
      </w:r>
    </w:p>
    <w:p>
      <w:pPr>
        <w:pStyle w:val="BodyText"/>
        <w:spacing w:before="5"/>
        <w:rPr>
          <w:b/>
          <w:i/>
          <w:sz w:val="21"/>
        </w:rPr>
      </w:pPr>
    </w:p>
    <w:p>
      <w:pPr>
        <w:pStyle w:val="BodyText"/>
        <w:spacing w:line="247" w:lineRule="auto"/>
        <w:ind w:left="100" w:right="117"/>
        <w:jc w:val="both"/>
      </w:pPr>
      <w:r>
        <w:rPr>
          <w:color w:val="231F20"/>
        </w:rPr>
        <w:t>The Company records a liability for the estimated incremental cost of providing free travel under its frequent flyer program for all amounts earned from flight activity that are expected to be redeemed for future travel. The estimated incremental cost includes direct passenger costs such as fuel, food, and other operational costs, but does not include any contribution to fixed overhead costs or profit.</w:t>
      </w:r>
    </w:p>
    <w:p>
      <w:pPr>
        <w:pStyle w:val="BodyText"/>
        <w:spacing w:before="9"/>
        <w:rPr>
          <w:sz w:val="20"/>
        </w:rPr>
      </w:pPr>
    </w:p>
    <w:p>
      <w:pPr>
        <w:pStyle w:val="BodyText"/>
        <w:spacing w:line="247" w:lineRule="auto"/>
        <w:ind w:left="100" w:right="117"/>
        <w:jc w:val="both"/>
      </w:pPr>
      <w:r>
        <w:rPr>
          <w:color w:val="231F20"/>
        </w:rPr>
        <w:t>Southwest also sells frequent flyer points and related services to companies participating in its frequent flyer program. Historically, until July 1, 2015, funds received from the sale of points associated with these agreements were accounted for under the residual method. Under this method, the Company estimated the portion of the amounts received from the sale of frequent flyer points that related to free travel and these amounts were deferred and recognized as Passenger revenue when the ultimate free travel awards were flown. Effective July 1, 2015, the Company entered into an amended co-branded credit card agreement (“Agreement”) with Chase Bank USA, N.A. (“Chase”), through which the Company sells loyalty points and other items to Chase. This material modification triggered an accounting change under ASU 2009-13, which was recorded on a prospective basis. The impact of the accounting change is that the Company estimated the selling prices and volumes over the term of the Agreement in order to determine the allocation of proceeds to each of the deliverables (travel points to be awarded; use of the Southwest Airlines’ brand and access to Rapid Reward Member lists; advertising elements; and the Company’s resource team). The Company records passenger revenue</w:t>
      </w:r>
    </w:p>
    <w:p>
      <w:pPr>
        <w:spacing w:after="0" w:line="247" w:lineRule="auto"/>
        <w:jc w:val="both"/>
        <w:sectPr>
          <w:pgSz w:w="11880" w:h="15480"/>
          <w:pgMar w:header="0" w:footer="1240" w:top="1240" w:bottom="1420" w:left="1280" w:right="1260"/>
        </w:sectPr>
      </w:pPr>
    </w:p>
    <w:p>
      <w:pPr>
        <w:pStyle w:val="BodyText"/>
        <w:spacing w:line="247" w:lineRule="auto" w:before="74"/>
        <w:ind w:left="120" w:right="178"/>
        <w:jc w:val="both"/>
      </w:pPr>
      <w:r>
        <w:rPr>
          <w:color w:val="231F20"/>
        </w:rPr>
        <w:t>related to air transportation and certificates for discounted companion travel when the transportation is delivered. The other elements are recognized as Other—net revenue when earned.</w:t>
      </w:r>
    </w:p>
    <w:p>
      <w:pPr>
        <w:pStyle w:val="BodyText"/>
        <w:spacing w:before="9"/>
        <w:rPr>
          <w:sz w:val="20"/>
        </w:rPr>
      </w:pPr>
    </w:p>
    <w:p>
      <w:pPr>
        <w:pStyle w:val="BodyText"/>
        <w:spacing w:line="247" w:lineRule="auto"/>
        <w:ind w:left="120" w:right="178"/>
        <w:jc w:val="both"/>
      </w:pPr>
      <w:r>
        <w:rPr/>
        <w:pict>
          <v:rect style="position:absolute;margin-left:69pt;margin-top:139.270020pt;width:456pt;height:15pt;mso-position-horizontal-relative:page;mso-position-vertical-relative:paragraph;z-index:-375400" filled="true" fillcolor="#d1d3d4" stroked="false">
            <v:fill type="solid"/>
            <w10:wrap type="none"/>
          </v:rect>
        </w:pict>
      </w:r>
      <w:r>
        <w:rPr/>
        <w:pict>
          <v:rect style="position:absolute;margin-left:69pt;margin-top:169.27002pt;width:456pt;height:15pt;mso-position-horizontal-relative:page;mso-position-vertical-relative:paragraph;z-index:-375376" filled="true" fillcolor="#d1d3d4" stroked="false">
            <v:fill type="solid"/>
            <w10:wrap type="none"/>
          </v:rect>
        </w:pict>
      </w:r>
      <w:r>
        <w:rPr>
          <w:color w:val="231F20"/>
        </w:rPr>
        <w:t>The Company followed the transition approach of ASU 2009-13, which required that the Company adjust the existing deferred revenue balance, classified within Air traffic liability, to reflect the value, on a relative selling price basis, of any undelivered element remaining at the date of contract modification. The relative selling price of the undelivered element (air transportation) was lower than the rate at which it had been deferred under the residual method, and the Company recorded a one- time, non-cash adjustment to decrease frequent flyer deferred revenue and increase revenue through the recording of a Special revenue adjustment of $172 million in 2015. The estimated impacts on revenue and earnings associated with the Agreement and this change in accounting principle recognized subsequent to the effective date of July 1, 2015, are as 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6"/>
        <w:gridCol w:w="156"/>
        <w:gridCol w:w="2857"/>
        <w:gridCol w:w="2857"/>
      </w:tblGrid>
      <w:tr>
        <w:trPr>
          <w:trHeight w:val="241" w:hRule="exact"/>
        </w:trPr>
        <w:tc>
          <w:tcPr>
            <w:tcW w:w="3316" w:type="dxa"/>
            <w:tcBorders>
              <w:bottom w:val="single" w:sz="4" w:space="0" w:color="231F20"/>
            </w:tcBorders>
          </w:tcPr>
          <w:p>
            <w:pPr>
              <w:pStyle w:val="TableParagraph"/>
              <w:spacing w:line="229" w:lineRule="exact" w:before="0"/>
              <w:rPr>
                <w:b/>
                <w:sz w:val="20"/>
              </w:rPr>
            </w:pPr>
            <w:r>
              <w:rPr>
                <w:b/>
                <w:color w:val="231F20"/>
                <w:sz w:val="20"/>
              </w:rPr>
              <w:t>(in millions, except per share amounts)</w:t>
            </w:r>
          </w:p>
        </w:tc>
        <w:tc>
          <w:tcPr>
            <w:tcW w:w="156" w:type="dxa"/>
          </w:tcPr>
          <w:p>
            <w:pPr/>
          </w:p>
        </w:tc>
        <w:tc>
          <w:tcPr>
            <w:tcW w:w="2857" w:type="dxa"/>
          </w:tcPr>
          <w:p>
            <w:pPr>
              <w:pStyle w:val="TableParagraph"/>
              <w:spacing w:line="229" w:lineRule="exact" w:before="0"/>
              <w:rPr>
                <w:b/>
                <w:sz w:val="20"/>
              </w:rPr>
            </w:pPr>
            <w:r>
              <w:rPr>
                <w:b/>
                <w:color w:val="231F20"/>
                <w:sz w:val="20"/>
                <w:u w:val="single" w:color="231F20"/>
              </w:rPr>
              <w:t> Year ended December 31, 2016 </w:t>
            </w:r>
          </w:p>
        </w:tc>
        <w:tc>
          <w:tcPr>
            <w:tcW w:w="2857" w:type="dxa"/>
            <w:tcBorders>
              <w:bottom w:val="single" w:sz="4" w:space="0" w:color="231F20"/>
            </w:tcBorders>
          </w:tcPr>
          <w:p>
            <w:pPr>
              <w:pStyle w:val="TableParagraph"/>
              <w:spacing w:line="229" w:lineRule="exact" w:before="0"/>
              <w:ind w:left="73"/>
              <w:rPr>
                <w:b/>
                <w:sz w:val="20"/>
              </w:rPr>
            </w:pPr>
            <w:r>
              <w:rPr>
                <w:b/>
                <w:color w:val="231F20"/>
                <w:sz w:val="20"/>
              </w:rPr>
              <w:t>Year ended December 31, 2015</w:t>
            </w:r>
          </w:p>
        </w:tc>
      </w:tr>
      <w:tr>
        <w:trPr>
          <w:trHeight w:val="305" w:hRule="exact"/>
        </w:trPr>
        <w:tc>
          <w:tcPr>
            <w:tcW w:w="3316" w:type="dxa"/>
            <w:tcBorders>
              <w:top w:val="single" w:sz="4" w:space="0" w:color="231F20"/>
            </w:tcBorders>
            <w:shd w:val="clear" w:color="auto" w:fill="D1D3D4"/>
          </w:tcPr>
          <w:p>
            <w:pPr>
              <w:pStyle w:val="TableParagraph"/>
              <w:rPr>
                <w:sz w:val="20"/>
              </w:rPr>
            </w:pPr>
            <w:r>
              <w:rPr>
                <w:color w:val="231F20"/>
                <w:sz w:val="20"/>
              </w:rPr>
              <w:t>Passenger revenue</w:t>
            </w:r>
          </w:p>
        </w:tc>
        <w:tc>
          <w:tcPr>
            <w:tcW w:w="156" w:type="dxa"/>
            <w:shd w:val="clear" w:color="auto" w:fill="D1D3D4"/>
          </w:tcPr>
          <w:p>
            <w:pPr/>
          </w:p>
        </w:tc>
        <w:tc>
          <w:tcPr>
            <w:tcW w:w="2857" w:type="dxa"/>
            <w:shd w:val="clear" w:color="auto" w:fill="D1D3D4"/>
          </w:tcPr>
          <w:p>
            <w:pPr>
              <w:pStyle w:val="TableParagraph"/>
              <w:tabs>
                <w:tab w:pos="2416" w:val="left" w:leader="none"/>
              </w:tabs>
              <w:spacing w:before="58"/>
              <w:rPr>
                <w:sz w:val="20"/>
              </w:rPr>
            </w:pPr>
            <w:r>
              <w:rPr>
                <w:color w:val="231F20"/>
                <w:sz w:val="20"/>
              </w:rPr>
              <w:t>$</w:t>
              <w:tab/>
              <w:t>(250)</w:t>
            </w:r>
          </w:p>
        </w:tc>
        <w:tc>
          <w:tcPr>
            <w:tcW w:w="2857" w:type="dxa"/>
            <w:tcBorders>
              <w:top w:val="single" w:sz="4" w:space="0" w:color="231F20"/>
            </w:tcBorders>
            <w:shd w:val="clear" w:color="auto" w:fill="D1D3D4"/>
          </w:tcPr>
          <w:p>
            <w:pPr>
              <w:pStyle w:val="TableParagraph"/>
              <w:tabs>
                <w:tab w:pos="2523" w:val="left" w:leader="none"/>
              </w:tabs>
              <w:ind w:left="6"/>
              <w:rPr>
                <w:sz w:val="20"/>
              </w:rPr>
            </w:pPr>
            <w:r>
              <w:rPr>
                <w:color w:val="231F20"/>
                <w:sz w:val="20"/>
              </w:rPr>
              <w:t>$</w:t>
              <w:tab/>
              <w:t>(89)</w:t>
            </w:r>
          </w:p>
        </w:tc>
      </w:tr>
      <w:tr>
        <w:trPr>
          <w:trHeight w:val="300" w:hRule="exact"/>
        </w:trPr>
        <w:tc>
          <w:tcPr>
            <w:tcW w:w="3316" w:type="dxa"/>
          </w:tcPr>
          <w:p>
            <w:pPr>
              <w:pStyle w:val="TableParagraph"/>
              <w:rPr>
                <w:sz w:val="20"/>
              </w:rPr>
            </w:pPr>
            <w:r>
              <w:rPr>
                <w:color w:val="231F20"/>
                <w:sz w:val="20"/>
              </w:rPr>
              <w:t>Special revenue adjustment</w:t>
            </w:r>
          </w:p>
        </w:tc>
        <w:tc>
          <w:tcPr>
            <w:tcW w:w="156" w:type="dxa"/>
          </w:tcPr>
          <w:p>
            <w:pPr/>
          </w:p>
        </w:tc>
        <w:tc>
          <w:tcPr>
            <w:tcW w:w="2857" w:type="dxa"/>
          </w:tcPr>
          <w:p>
            <w:pPr>
              <w:pStyle w:val="TableParagraph"/>
              <w:ind w:right="138"/>
              <w:jc w:val="right"/>
              <w:rPr>
                <w:sz w:val="20"/>
              </w:rPr>
            </w:pPr>
            <w:r>
              <w:rPr>
                <w:color w:val="231F20"/>
                <w:sz w:val="20"/>
              </w:rPr>
              <w:t>—</w:t>
            </w:r>
          </w:p>
        </w:tc>
        <w:tc>
          <w:tcPr>
            <w:tcW w:w="2857" w:type="dxa"/>
          </w:tcPr>
          <w:p>
            <w:pPr>
              <w:pStyle w:val="TableParagraph"/>
              <w:ind w:right="131"/>
              <w:jc w:val="right"/>
              <w:rPr>
                <w:sz w:val="20"/>
              </w:rPr>
            </w:pPr>
            <w:r>
              <w:rPr>
                <w:color w:val="231F20"/>
                <w:sz w:val="20"/>
              </w:rPr>
              <w:t>172</w:t>
            </w:r>
          </w:p>
        </w:tc>
      </w:tr>
      <w:tr>
        <w:trPr>
          <w:trHeight w:val="315" w:hRule="exact"/>
        </w:trPr>
        <w:tc>
          <w:tcPr>
            <w:tcW w:w="3316" w:type="dxa"/>
            <w:shd w:val="clear" w:color="auto" w:fill="D1D3D4"/>
          </w:tcPr>
          <w:p>
            <w:pPr>
              <w:pStyle w:val="TableParagraph"/>
              <w:rPr>
                <w:sz w:val="20"/>
              </w:rPr>
            </w:pPr>
            <w:r>
              <w:rPr>
                <w:color w:val="231F20"/>
                <w:sz w:val="20"/>
              </w:rPr>
              <w:t>Other revenue</w:t>
            </w:r>
          </w:p>
        </w:tc>
        <w:tc>
          <w:tcPr>
            <w:tcW w:w="156" w:type="dxa"/>
            <w:shd w:val="clear" w:color="auto" w:fill="D1D3D4"/>
          </w:tcPr>
          <w:p>
            <w:pPr/>
          </w:p>
        </w:tc>
        <w:tc>
          <w:tcPr>
            <w:tcW w:w="2857" w:type="dxa"/>
            <w:tcBorders>
              <w:bottom w:val="single" w:sz="4" w:space="0" w:color="231F20"/>
            </w:tcBorders>
            <w:shd w:val="clear" w:color="auto" w:fill="D1D3D4"/>
          </w:tcPr>
          <w:p>
            <w:pPr>
              <w:pStyle w:val="TableParagraph"/>
              <w:ind w:right="138"/>
              <w:jc w:val="right"/>
              <w:rPr>
                <w:sz w:val="20"/>
              </w:rPr>
            </w:pPr>
            <w:r>
              <w:rPr>
                <w:color w:val="231F20"/>
                <w:sz w:val="20"/>
              </w:rPr>
              <w:t>794</w:t>
            </w:r>
          </w:p>
        </w:tc>
        <w:tc>
          <w:tcPr>
            <w:tcW w:w="2857" w:type="dxa"/>
            <w:tcBorders>
              <w:bottom w:val="single" w:sz="4" w:space="0" w:color="231F20"/>
            </w:tcBorders>
            <w:shd w:val="clear" w:color="auto" w:fill="D1D3D4"/>
          </w:tcPr>
          <w:p>
            <w:pPr>
              <w:pStyle w:val="TableParagraph"/>
              <w:ind w:right="131"/>
              <w:jc w:val="right"/>
              <w:rPr>
                <w:sz w:val="20"/>
              </w:rPr>
            </w:pPr>
            <w:r>
              <w:rPr>
                <w:color w:val="231F20"/>
                <w:sz w:val="20"/>
              </w:rPr>
              <w:t>344</w:t>
            </w:r>
          </w:p>
        </w:tc>
      </w:tr>
      <w:tr>
        <w:trPr>
          <w:trHeight w:val="305" w:hRule="exact"/>
        </w:trPr>
        <w:tc>
          <w:tcPr>
            <w:tcW w:w="3316" w:type="dxa"/>
          </w:tcPr>
          <w:p>
            <w:pPr>
              <w:pStyle w:val="TableParagraph"/>
              <w:spacing w:before="58"/>
              <w:rPr>
                <w:sz w:val="20"/>
              </w:rPr>
            </w:pPr>
            <w:r>
              <w:rPr>
                <w:color w:val="231F20"/>
                <w:sz w:val="20"/>
              </w:rPr>
              <w:t>Operating revenues</w:t>
            </w:r>
          </w:p>
        </w:tc>
        <w:tc>
          <w:tcPr>
            <w:tcW w:w="156" w:type="dxa"/>
          </w:tcPr>
          <w:p>
            <w:pPr/>
          </w:p>
        </w:tc>
        <w:tc>
          <w:tcPr>
            <w:tcW w:w="2857" w:type="dxa"/>
            <w:tcBorders>
              <w:top w:val="single" w:sz="4" w:space="0" w:color="231F20"/>
            </w:tcBorders>
          </w:tcPr>
          <w:p>
            <w:pPr>
              <w:pStyle w:val="TableParagraph"/>
              <w:tabs>
                <w:tab w:pos="2416" w:val="left" w:leader="none"/>
              </w:tabs>
              <w:rPr>
                <w:sz w:val="20"/>
              </w:rPr>
            </w:pPr>
            <w:r>
              <w:rPr>
                <w:color w:val="231F20"/>
                <w:sz w:val="20"/>
              </w:rPr>
              <w:t>$</w:t>
              <w:tab/>
              <w:t>544</w:t>
            </w:r>
          </w:p>
        </w:tc>
        <w:tc>
          <w:tcPr>
            <w:tcW w:w="2857" w:type="dxa"/>
            <w:tcBorders>
              <w:top w:val="single" w:sz="4" w:space="0" w:color="231F20"/>
            </w:tcBorders>
          </w:tcPr>
          <w:p>
            <w:pPr>
              <w:pStyle w:val="TableParagraph"/>
              <w:tabs>
                <w:tab w:pos="2423" w:val="left" w:leader="none"/>
              </w:tabs>
              <w:ind w:left="6"/>
              <w:rPr>
                <w:sz w:val="20"/>
              </w:rPr>
            </w:pPr>
            <w:r>
              <w:rPr>
                <w:color w:val="231F20"/>
                <w:sz w:val="20"/>
              </w:rPr>
              <w:t>$</w:t>
              <w:tab/>
              <w:t>427</w:t>
            </w:r>
          </w:p>
        </w:tc>
      </w:tr>
      <w:tr>
        <w:trPr>
          <w:trHeight w:val="355" w:hRule="exact"/>
        </w:trPr>
        <w:tc>
          <w:tcPr>
            <w:tcW w:w="3316" w:type="dxa"/>
            <w:shd w:val="clear" w:color="auto" w:fill="D1D3D4"/>
          </w:tcPr>
          <w:p>
            <w:pPr>
              <w:pStyle w:val="TableParagraph"/>
              <w:rPr>
                <w:sz w:val="20"/>
              </w:rPr>
            </w:pPr>
            <w:r>
              <w:rPr>
                <w:color w:val="231F20"/>
                <w:sz w:val="20"/>
              </w:rPr>
              <w:t>Net income</w:t>
            </w:r>
          </w:p>
        </w:tc>
        <w:tc>
          <w:tcPr>
            <w:tcW w:w="156" w:type="dxa"/>
            <w:shd w:val="clear" w:color="auto" w:fill="D1D3D4"/>
          </w:tcPr>
          <w:p>
            <w:pPr/>
          </w:p>
        </w:tc>
        <w:tc>
          <w:tcPr>
            <w:tcW w:w="2857" w:type="dxa"/>
            <w:tcBorders>
              <w:bottom w:val="single" w:sz="4" w:space="0" w:color="231F20"/>
            </w:tcBorders>
            <w:shd w:val="clear" w:color="auto" w:fill="D1D3D4"/>
          </w:tcPr>
          <w:p>
            <w:pPr>
              <w:pStyle w:val="TableParagraph"/>
              <w:tabs>
                <w:tab w:pos="2416" w:val="left" w:leader="none"/>
              </w:tabs>
              <w:rPr>
                <w:sz w:val="20"/>
              </w:rPr>
            </w:pPr>
            <w:r>
              <w:rPr>
                <w:color w:val="231F20"/>
                <w:sz w:val="20"/>
              </w:rPr>
              <w:t>$</w:t>
              <w:tab/>
              <w:t>293</w:t>
            </w:r>
          </w:p>
        </w:tc>
        <w:tc>
          <w:tcPr>
            <w:tcW w:w="2857" w:type="dxa"/>
            <w:tcBorders>
              <w:bottom w:val="single" w:sz="4" w:space="0" w:color="231F20"/>
            </w:tcBorders>
            <w:shd w:val="clear" w:color="auto" w:fill="D1D3D4"/>
          </w:tcPr>
          <w:p>
            <w:pPr>
              <w:pStyle w:val="TableParagraph"/>
              <w:tabs>
                <w:tab w:pos="2423" w:val="left" w:leader="none"/>
              </w:tabs>
              <w:ind w:left="6"/>
              <w:rPr>
                <w:sz w:val="20"/>
              </w:rPr>
            </w:pPr>
            <w:r>
              <w:rPr>
                <w:color w:val="231F20"/>
                <w:sz w:val="20"/>
              </w:rPr>
              <w:t>$</w:t>
              <w:tab/>
              <w:t>227</w:t>
            </w:r>
          </w:p>
        </w:tc>
      </w:tr>
      <w:tr>
        <w:trPr>
          <w:trHeight w:val="305" w:hRule="exact"/>
        </w:trPr>
        <w:tc>
          <w:tcPr>
            <w:tcW w:w="3316" w:type="dxa"/>
          </w:tcPr>
          <w:p>
            <w:pPr>
              <w:pStyle w:val="TableParagraph"/>
              <w:spacing w:before="58"/>
              <w:rPr>
                <w:sz w:val="20"/>
              </w:rPr>
            </w:pPr>
            <w:r>
              <w:rPr>
                <w:color w:val="231F20"/>
                <w:sz w:val="20"/>
              </w:rPr>
              <w:t>Net income per basic share</w:t>
            </w:r>
          </w:p>
        </w:tc>
        <w:tc>
          <w:tcPr>
            <w:tcW w:w="156" w:type="dxa"/>
          </w:tcPr>
          <w:p>
            <w:pPr/>
          </w:p>
        </w:tc>
        <w:tc>
          <w:tcPr>
            <w:tcW w:w="2857" w:type="dxa"/>
            <w:tcBorders>
              <w:top w:val="single" w:sz="4" w:space="0" w:color="231F20"/>
            </w:tcBorders>
          </w:tcPr>
          <w:p>
            <w:pPr>
              <w:pStyle w:val="TableParagraph"/>
              <w:tabs>
                <w:tab w:pos="2366" w:val="left" w:leader="none"/>
              </w:tabs>
              <w:rPr>
                <w:sz w:val="20"/>
              </w:rPr>
            </w:pPr>
            <w:r>
              <w:rPr>
                <w:color w:val="231F20"/>
                <w:sz w:val="20"/>
              </w:rPr>
              <w:t>$</w:t>
              <w:tab/>
              <w:t>0.47</w:t>
            </w:r>
          </w:p>
        </w:tc>
        <w:tc>
          <w:tcPr>
            <w:tcW w:w="2857" w:type="dxa"/>
            <w:tcBorders>
              <w:top w:val="single" w:sz="4" w:space="0" w:color="231F20"/>
            </w:tcBorders>
          </w:tcPr>
          <w:p>
            <w:pPr>
              <w:pStyle w:val="TableParagraph"/>
              <w:tabs>
                <w:tab w:pos="2373" w:val="left" w:leader="none"/>
              </w:tabs>
              <w:ind w:left="6"/>
              <w:rPr>
                <w:sz w:val="20"/>
              </w:rPr>
            </w:pPr>
            <w:r>
              <w:rPr>
                <w:color w:val="231F20"/>
                <w:sz w:val="20"/>
              </w:rPr>
              <w:t>$</w:t>
              <w:tab/>
              <w:t>0.34</w:t>
            </w:r>
          </w:p>
        </w:tc>
      </w:tr>
      <w:tr>
        <w:trPr>
          <w:trHeight w:val="300" w:hRule="exact"/>
        </w:trPr>
        <w:tc>
          <w:tcPr>
            <w:tcW w:w="3316" w:type="dxa"/>
            <w:shd w:val="clear" w:color="auto" w:fill="D1D3D4"/>
          </w:tcPr>
          <w:p>
            <w:pPr>
              <w:pStyle w:val="TableParagraph"/>
              <w:rPr>
                <w:sz w:val="20"/>
              </w:rPr>
            </w:pPr>
            <w:r>
              <w:rPr>
                <w:color w:val="231F20"/>
                <w:sz w:val="20"/>
              </w:rPr>
              <w:t>Net income per diluted share</w:t>
            </w:r>
          </w:p>
        </w:tc>
        <w:tc>
          <w:tcPr>
            <w:tcW w:w="156" w:type="dxa"/>
            <w:shd w:val="clear" w:color="auto" w:fill="D1D3D4"/>
          </w:tcPr>
          <w:p>
            <w:pPr/>
          </w:p>
        </w:tc>
        <w:tc>
          <w:tcPr>
            <w:tcW w:w="2857" w:type="dxa"/>
            <w:shd w:val="clear" w:color="auto" w:fill="D1D3D4"/>
          </w:tcPr>
          <w:p>
            <w:pPr>
              <w:pStyle w:val="TableParagraph"/>
              <w:tabs>
                <w:tab w:pos="2366" w:val="left" w:leader="none"/>
              </w:tabs>
              <w:rPr>
                <w:sz w:val="20"/>
              </w:rPr>
            </w:pPr>
            <w:r>
              <w:rPr>
                <w:color w:val="231F20"/>
                <w:sz w:val="20"/>
              </w:rPr>
              <w:t>$</w:t>
              <w:tab/>
              <w:t>0.46</w:t>
            </w:r>
          </w:p>
        </w:tc>
        <w:tc>
          <w:tcPr>
            <w:tcW w:w="2857" w:type="dxa"/>
            <w:shd w:val="clear" w:color="auto" w:fill="D1D3D4"/>
          </w:tcPr>
          <w:p>
            <w:pPr>
              <w:pStyle w:val="TableParagraph"/>
              <w:tabs>
                <w:tab w:pos="2373" w:val="left" w:leader="none"/>
              </w:tabs>
              <w:ind w:left="6"/>
              <w:rPr>
                <w:sz w:val="20"/>
              </w:rPr>
            </w:pPr>
            <w:r>
              <w:rPr>
                <w:color w:val="231F20"/>
                <w:sz w:val="20"/>
              </w:rPr>
              <w:t>$</w:t>
              <w:tab/>
              <w:t>0.34</w:t>
            </w:r>
          </w:p>
        </w:tc>
      </w:tr>
    </w:tbl>
    <w:p>
      <w:pPr>
        <w:pStyle w:val="BodyText"/>
        <w:spacing w:before="7"/>
        <w:rPr>
          <w:sz w:val="25"/>
        </w:rPr>
      </w:pPr>
    </w:p>
    <w:p>
      <w:pPr>
        <w:pStyle w:val="BodyText"/>
        <w:spacing w:line="247" w:lineRule="auto"/>
        <w:ind w:left="120" w:right="177"/>
        <w:jc w:val="both"/>
      </w:pPr>
      <w:r>
        <w:rPr/>
        <w:pict>
          <v:group style="position:absolute;margin-left:69pt;margin-top:-62.730469pt;width:456.25pt;height:16pt;mso-position-horizontal-relative:page;mso-position-vertical-relative:paragraph;z-index:-375352" coordorigin="1380,-1255" coordsize="9125,320">
            <v:rect style="position:absolute;left:1380;top:-1255;width:9120;height:300" filled="true" fillcolor="#d1d3d4" stroked="false">
              <v:fill type="solid"/>
            </v:rect>
            <v:line style="position:absolute" from="4852,-940" to="7636,-940" stroked="true" strokeweight=".5pt" strokecolor="#231f20">
              <v:stroke dashstyle="solid"/>
            </v:line>
            <v:line style="position:absolute" from="7716,-940" to="10500,-940" stroked="true" strokeweight=".5pt" strokecolor="#231f20">
              <v:stroke dashstyle="solid"/>
            </v:line>
            <w10:wrap type="none"/>
          </v:group>
        </w:pict>
      </w:r>
      <w:r>
        <w:rPr/>
        <w:pict>
          <v:rect style="position:absolute;margin-left:69pt;margin-top:-29.730469pt;width:456pt;height:15pt;mso-position-horizontal-relative:page;mso-position-vertical-relative:paragraph;z-index:-375328" filled="true" fillcolor="#d1d3d4" stroked="false">
            <v:fill type="solid"/>
            <w10:wrap type="none"/>
          </v:rect>
        </w:pict>
      </w:r>
      <w:r>
        <w:rPr/>
        <w:pict>
          <v:line style="position:absolute;mso-position-horizontal-relative:page;mso-position-vertical-relative:paragraph;z-index:-375304" from="234.8pt,126.019531pt" to="69pt,126.019531pt" stroked="true" strokeweight=".5pt" strokecolor="#231f20">
            <v:stroke dashstyle="solid"/>
            <w10:wrap type="none"/>
          </v:line>
        </w:pict>
      </w:r>
      <w:r>
        <w:rPr>
          <w:color w:val="231F20"/>
        </w:rPr>
        <w:t>For all points sold to business partners that are expected to expire unused, the Company recognizes spoilage in accordance with the redemption method. The Company’s consolidated liability associated with the sale of frequent flyer points, was approximately $1.4 billion and $1.3  billion  as  of  December 31, 2016, and 2015, respectively, which is classified within Air traffic liability. During fourth quarter 2014, the Company obtained sufficient historical behavioral data to develop a predictive statistical model to analyze the amount of spoilage expected for points sold to business partners, which indicated an increase in the expected spoilage rate. This change in estimate was recorded on a prospective basis, as of October 1, 2014. The impacts on revenue and earnings were as</w:t>
      </w:r>
      <w:r>
        <w:rPr>
          <w:color w:val="231F20"/>
          <w:spacing w:val="-1"/>
        </w:rPr>
        <w:t> </w:t>
      </w:r>
      <w:r>
        <w:rPr>
          <w:color w:val="231F20"/>
        </w:rPr>
        <w:t>follows: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16"/>
        <w:gridCol w:w="2990"/>
        <w:gridCol w:w="2814"/>
      </w:tblGrid>
      <w:tr>
        <w:trPr>
          <w:trHeight w:val="241" w:hRule="exact"/>
        </w:trPr>
        <w:tc>
          <w:tcPr>
            <w:tcW w:w="3316" w:type="dxa"/>
          </w:tcPr>
          <w:p>
            <w:pPr>
              <w:pStyle w:val="TableParagraph"/>
              <w:spacing w:line="229" w:lineRule="exact" w:before="0"/>
              <w:rPr>
                <w:b/>
                <w:sz w:val="20"/>
              </w:rPr>
            </w:pPr>
            <w:r>
              <w:rPr>
                <w:b/>
                <w:color w:val="231F20"/>
                <w:sz w:val="20"/>
              </w:rPr>
              <w:t>(in millions, except per share amounts)</w:t>
            </w:r>
          </w:p>
        </w:tc>
        <w:tc>
          <w:tcPr>
            <w:tcW w:w="2990" w:type="dxa"/>
          </w:tcPr>
          <w:p>
            <w:pPr>
              <w:pStyle w:val="TableParagraph"/>
              <w:spacing w:line="229" w:lineRule="exact" w:before="0"/>
              <w:ind w:left="175"/>
              <w:rPr>
                <w:b/>
                <w:sz w:val="20"/>
              </w:rPr>
            </w:pPr>
            <w:r>
              <w:rPr>
                <w:b/>
                <w:color w:val="231F20"/>
                <w:sz w:val="20"/>
                <w:u w:val="single" w:color="231F20"/>
              </w:rPr>
              <w:t> Year ended December 31, 2015 </w:t>
            </w:r>
          </w:p>
        </w:tc>
        <w:tc>
          <w:tcPr>
            <w:tcW w:w="2814" w:type="dxa"/>
            <w:tcBorders>
              <w:bottom w:val="single" w:sz="4" w:space="0" w:color="231F20"/>
            </w:tcBorders>
          </w:tcPr>
          <w:p>
            <w:pPr>
              <w:pStyle w:val="TableParagraph"/>
              <w:spacing w:line="229" w:lineRule="exact" w:before="0"/>
              <w:ind w:right="64"/>
              <w:jc w:val="right"/>
              <w:rPr>
                <w:b/>
                <w:sz w:val="20"/>
              </w:rPr>
            </w:pPr>
            <w:r>
              <w:rPr>
                <w:b/>
                <w:color w:val="231F20"/>
                <w:sz w:val="20"/>
              </w:rPr>
              <w:t>Year ended December 31, 2014</w:t>
            </w:r>
          </w:p>
        </w:tc>
      </w:tr>
      <w:tr>
        <w:trPr>
          <w:trHeight w:val="305" w:hRule="exact"/>
        </w:trPr>
        <w:tc>
          <w:tcPr>
            <w:tcW w:w="3316" w:type="dxa"/>
            <w:shd w:val="clear" w:color="auto" w:fill="D1D3D4"/>
          </w:tcPr>
          <w:p>
            <w:pPr>
              <w:pStyle w:val="TableParagraph"/>
              <w:rPr>
                <w:sz w:val="20"/>
              </w:rPr>
            </w:pPr>
            <w:r>
              <w:rPr>
                <w:color w:val="231F20"/>
                <w:sz w:val="20"/>
              </w:rPr>
              <w:t>Passenger revenue</w:t>
            </w:r>
          </w:p>
        </w:tc>
        <w:tc>
          <w:tcPr>
            <w:tcW w:w="2990" w:type="dxa"/>
            <w:shd w:val="clear" w:color="auto" w:fill="D1D3D4"/>
          </w:tcPr>
          <w:p>
            <w:pPr>
              <w:pStyle w:val="TableParagraph"/>
              <w:tabs>
                <w:tab w:pos="2592" w:val="left" w:leader="none"/>
              </w:tabs>
              <w:ind w:left="176"/>
              <w:rPr>
                <w:sz w:val="20"/>
              </w:rPr>
            </w:pPr>
            <w:r>
              <w:rPr>
                <w:color w:val="231F20"/>
                <w:sz w:val="20"/>
              </w:rPr>
              <w:t>$</w:t>
              <w:tab/>
              <w:t>115</w:t>
            </w:r>
          </w:p>
        </w:tc>
        <w:tc>
          <w:tcPr>
            <w:tcW w:w="2814" w:type="dxa"/>
            <w:tcBorders>
              <w:top w:val="single" w:sz="4" w:space="0" w:color="231F20"/>
            </w:tcBorders>
            <w:shd w:val="clear" w:color="auto" w:fill="D1D3D4"/>
          </w:tcPr>
          <w:p>
            <w:pPr>
              <w:pStyle w:val="TableParagraph"/>
              <w:tabs>
                <w:tab w:pos="2516" w:val="left" w:leader="none"/>
              </w:tabs>
              <w:ind w:right="64"/>
              <w:jc w:val="right"/>
              <w:rPr>
                <w:sz w:val="20"/>
              </w:rPr>
            </w:pPr>
            <w:r>
              <w:rPr>
                <w:color w:val="231F20"/>
                <w:sz w:val="20"/>
              </w:rPr>
              <w:t>$</w:t>
              <w:tab/>
            </w:r>
            <w:r>
              <w:rPr>
                <w:color w:val="231F20"/>
                <w:spacing w:val="-1"/>
                <w:sz w:val="20"/>
              </w:rPr>
              <w:t>55</w:t>
            </w:r>
          </w:p>
        </w:tc>
      </w:tr>
      <w:tr>
        <w:trPr>
          <w:trHeight w:val="300" w:hRule="exact"/>
        </w:trPr>
        <w:tc>
          <w:tcPr>
            <w:tcW w:w="3316" w:type="dxa"/>
          </w:tcPr>
          <w:p>
            <w:pPr>
              <w:pStyle w:val="TableParagraph"/>
              <w:rPr>
                <w:sz w:val="20"/>
              </w:rPr>
            </w:pPr>
            <w:r>
              <w:rPr>
                <w:color w:val="231F20"/>
                <w:sz w:val="20"/>
              </w:rPr>
              <w:t>Net income</w:t>
            </w:r>
          </w:p>
        </w:tc>
        <w:tc>
          <w:tcPr>
            <w:tcW w:w="2990" w:type="dxa"/>
          </w:tcPr>
          <w:p>
            <w:pPr>
              <w:pStyle w:val="TableParagraph"/>
              <w:tabs>
                <w:tab w:pos="2692" w:val="left" w:leader="none"/>
              </w:tabs>
              <w:ind w:left="176"/>
              <w:rPr>
                <w:sz w:val="20"/>
              </w:rPr>
            </w:pPr>
            <w:r>
              <w:rPr>
                <w:color w:val="231F20"/>
                <w:sz w:val="20"/>
              </w:rPr>
              <w:t>$</w:t>
              <w:tab/>
              <w:t>61</w:t>
            </w:r>
          </w:p>
        </w:tc>
        <w:tc>
          <w:tcPr>
            <w:tcW w:w="2814" w:type="dxa"/>
          </w:tcPr>
          <w:p>
            <w:pPr>
              <w:pStyle w:val="TableParagraph"/>
              <w:tabs>
                <w:tab w:pos="2516" w:val="left" w:leader="none"/>
              </w:tabs>
              <w:ind w:right="66"/>
              <w:jc w:val="right"/>
              <w:rPr>
                <w:sz w:val="20"/>
              </w:rPr>
            </w:pPr>
            <w:r>
              <w:rPr>
                <w:color w:val="231F20"/>
                <w:sz w:val="20"/>
              </w:rPr>
              <w:t>$</w:t>
              <w:tab/>
            </w:r>
            <w:r>
              <w:rPr>
                <w:color w:val="231F20"/>
                <w:spacing w:val="-1"/>
                <w:sz w:val="20"/>
              </w:rPr>
              <w:t>29</w:t>
            </w:r>
          </w:p>
        </w:tc>
      </w:tr>
      <w:tr>
        <w:trPr>
          <w:trHeight w:val="300" w:hRule="exact"/>
        </w:trPr>
        <w:tc>
          <w:tcPr>
            <w:tcW w:w="3316" w:type="dxa"/>
            <w:shd w:val="clear" w:color="auto" w:fill="D1D3D4"/>
          </w:tcPr>
          <w:p>
            <w:pPr>
              <w:pStyle w:val="TableParagraph"/>
              <w:rPr>
                <w:sz w:val="20"/>
              </w:rPr>
            </w:pPr>
            <w:r>
              <w:rPr>
                <w:color w:val="231F20"/>
                <w:sz w:val="20"/>
              </w:rPr>
              <w:t>Net income per basic share</w:t>
            </w:r>
          </w:p>
        </w:tc>
        <w:tc>
          <w:tcPr>
            <w:tcW w:w="2990" w:type="dxa"/>
            <w:shd w:val="clear" w:color="auto" w:fill="D1D3D4"/>
          </w:tcPr>
          <w:p>
            <w:pPr>
              <w:pStyle w:val="TableParagraph"/>
              <w:tabs>
                <w:tab w:pos="2542" w:val="left" w:leader="none"/>
              </w:tabs>
              <w:ind w:left="176"/>
              <w:rPr>
                <w:sz w:val="20"/>
              </w:rPr>
            </w:pPr>
            <w:r>
              <w:rPr>
                <w:color w:val="231F20"/>
                <w:sz w:val="20"/>
              </w:rPr>
              <w:t>$</w:t>
              <w:tab/>
              <w:t>0.09</w:t>
            </w:r>
          </w:p>
        </w:tc>
        <w:tc>
          <w:tcPr>
            <w:tcW w:w="2814" w:type="dxa"/>
            <w:shd w:val="clear" w:color="auto" w:fill="D1D3D4"/>
          </w:tcPr>
          <w:p>
            <w:pPr>
              <w:pStyle w:val="TableParagraph"/>
              <w:tabs>
                <w:tab w:pos="2366" w:val="left" w:leader="none"/>
              </w:tabs>
              <w:ind w:right="66"/>
              <w:jc w:val="right"/>
              <w:rPr>
                <w:sz w:val="20"/>
              </w:rPr>
            </w:pPr>
            <w:r>
              <w:rPr>
                <w:color w:val="231F20"/>
                <w:sz w:val="20"/>
              </w:rPr>
              <w:t>$</w:t>
              <w:tab/>
            </w:r>
            <w:r>
              <w:rPr>
                <w:color w:val="231F20"/>
                <w:spacing w:val="-1"/>
                <w:sz w:val="20"/>
              </w:rPr>
              <w:t>0.04</w:t>
            </w:r>
          </w:p>
        </w:tc>
      </w:tr>
      <w:tr>
        <w:trPr>
          <w:trHeight w:val="284" w:hRule="exact"/>
        </w:trPr>
        <w:tc>
          <w:tcPr>
            <w:tcW w:w="3316" w:type="dxa"/>
          </w:tcPr>
          <w:p>
            <w:pPr>
              <w:pStyle w:val="TableParagraph"/>
              <w:rPr>
                <w:sz w:val="20"/>
              </w:rPr>
            </w:pPr>
            <w:r>
              <w:rPr>
                <w:color w:val="231F20"/>
                <w:sz w:val="20"/>
              </w:rPr>
              <w:t>Net income per diluted share</w:t>
            </w:r>
          </w:p>
        </w:tc>
        <w:tc>
          <w:tcPr>
            <w:tcW w:w="2990" w:type="dxa"/>
          </w:tcPr>
          <w:p>
            <w:pPr>
              <w:pStyle w:val="TableParagraph"/>
              <w:tabs>
                <w:tab w:pos="2542" w:val="left" w:leader="none"/>
              </w:tabs>
              <w:ind w:left="176"/>
              <w:rPr>
                <w:sz w:val="20"/>
              </w:rPr>
            </w:pPr>
            <w:r>
              <w:rPr>
                <w:color w:val="231F20"/>
                <w:sz w:val="20"/>
              </w:rPr>
              <w:t>$</w:t>
              <w:tab/>
              <w:t>0.09</w:t>
            </w:r>
          </w:p>
        </w:tc>
        <w:tc>
          <w:tcPr>
            <w:tcW w:w="2814" w:type="dxa"/>
          </w:tcPr>
          <w:p>
            <w:pPr>
              <w:pStyle w:val="TableParagraph"/>
              <w:tabs>
                <w:tab w:pos="2366" w:val="left" w:leader="none"/>
              </w:tabs>
              <w:ind w:right="66"/>
              <w:jc w:val="right"/>
              <w:rPr>
                <w:sz w:val="20"/>
              </w:rPr>
            </w:pPr>
            <w:r>
              <w:rPr>
                <w:color w:val="231F20"/>
                <w:sz w:val="20"/>
              </w:rPr>
              <w:t>$</w:t>
              <w:tab/>
            </w:r>
            <w:r>
              <w:rPr>
                <w:color w:val="231F20"/>
                <w:spacing w:val="-1"/>
                <w:sz w:val="20"/>
              </w:rPr>
              <w:t>0.04</w:t>
            </w:r>
          </w:p>
        </w:tc>
      </w:tr>
    </w:tbl>
    <w:p>
      <w:pPr>
        <w:pStyle w:val="BodyText"/>
        <w:rPr>
          <w:sz w:val="27"/>
        </w:rPr>
      </w:pPr>
    </w:p>
    <w:p>
      <w:pPr>
        <w:pStyle w:val="BodyText"/>
        <w:spacing w:line="247" w:lineRule="auto"/>
        <w:ind w:left="120" w:right="678"/>
      </w:pPr>
      <w:r>
        <w:rPr>
          <w:color w:val="231F20"/>
        </w:rPr>
        <w:t>The Company continues to evaluate annually in October, but these analyses have not resulted in a material adjustment.</w:t>
      </w:r>
    </w:p>
    <w:p>
      <w:pPr>
        <w:pStyle w:val="BodyText"/>
        <w:spacing w:before="9"/>
        <w:rPr>
          <w:sz w:val="20"/>
        </w:rPr>
      </w:pPr>
    </w:p>
    <w:p>
      <w:pPr>
        <w:pStyle w:val="Heading2"/>
        <w:ind w:left="480"/>
        <w:rPr>
          <w:i/>
        </w:rPr>
      </w:pPr>
      <w:r>
        <w:rPr>
          <w:i/>
          <w:color w:val="231F20"/>
        </w:rPr>
        <w:t>Advertising</w:t>
      </w:r>
    </w:p>
    <w:p>
      <w:pPr>
        <w:pStyle w:val="BodyText"/>
        <w:spacing w:before="5"/>
        <w:rPr>
          <w:b/>
          <w:i/>
          <w:sz w:val="21"/>
        </w:rPr>
      </w:pPr>
    </w:p>
    <w:p>
      <w:pPr>
        <w:pStyle w:val="BodyText"/>
        <w:spacing w:line="247" w:lineRule="auto"/>
        <w:ind w:left="120" w:right="177"/>
        <w:jc w:val="both"/>
      </w:pPr>
      <w:r>
        <w:rPr>
          <w:color w:val="231F20"/>
        </w:rPr>
        <w:t>Advertising costs are charged to expense as incurred. Advertising and promotions expense for the  years ended December 31, 2016, 2015, and 2014 was $232 million, $218 million, and $207 million, respectively, and is included as a component of Other operating expense in the accompanying Consolidated Statement of</w:t>
      </w:r>
      <w:r>
        <w:rPr>
          <w:color w:val="231F20"/>
          <w:spacing w:val="-1"/>
        </w:rPr>
        <w:t> </w:t>
      </w:r>
      <w:r>
        <w:rPr>
          <w:color w:val="231F20"/>
        </w:rPr>
        <w:t>Income.</w:t>
      </w:r>
    </w:p>
    <w:p>
      <w:pPr>
        <w:spacing w:after="0" w:line="247" w:lineRule="auto"/>
        <w:jc w:val="both"/>
        <w:sectPr>
          <w:pgSz w:w="11880" w:h="15480"/>
          <w:pgMar w:header="0" w:footer="1240" w:top="1240" w:bottom="1420" w:left="1260" w:right="1200"/>
        </w:sectPr>
      </w:pPr>
    </w:p>
    <w:p>
      <w:pPr>
        <w:pStyle w:val="Heading2"/>
        <w:spacing w:before="74"/>
        <w:ind w:left="480"/>
        <w:rPr>
          <w:i/>
        </w:rPr>
      </w:pPr>
      <w:r>
        <w:rPr>
          <w:i/>
          <w:color w:val="231F20"/>
        </w:rPr>
        <w:t>Share-based Employee Compensation</w:t>
      </w:r>
    </w:p>
    <w:p>
      <w:pPr>
        <w:pStyle w:val="BodyText"/>
        <w:spacing w:before="3"/>
        <w:rPr>
          <w:b/>
          <w:i/>
          <w:sz w:val="20"/>
        </w:rPr>
      </w:pPr>
    </w:p>
    <w:p>
      <w:pPr>
        <w:pStyle w:val="BodyText"/>
        <w:spacing w:line="247" w:lineRule="auto"/>
        <w:ind w:left="119" w:right="118"/>
        <w:jc w:val="both"/>
      </w:pPr>
      <w:r>
        <w:rPr>
          <w:color w:val="231F20"/>
        </w:rPr>
        <w:t>The Company has share-based compensation plans covering certain Employees, including a plan that also covers the Company’s Board of Directors. The Company accounts for share-based compensation based on its grant date fair value. See Note 9 for further information.</w:t>
      </w:r>
    </w:p>
    <w:p>
      <w:pPr>
        <w:pStyle w:val="BodyText"/>
        <w:spacing w:before="7"/>
        <w:rPr>
          <w:sz w:val="19"/>
        </w:rPr>
      </w:pPr>
    </w:p>
    <w:p>
      <w:pPr>
        <w:pStyle w:val="Heading2"/>
        <w:ind w:left="480"/>
        <w:rPr>
          <w:i/>
        </w:rPr>
      </w:pPr>
      <w:r>
        <w:rPr>
          <w:i/>
          <w:color w:val="231F20"/>
        </w:rPr>
        <w:t>Financial Derivative Instruments</w:t>
      </w:r>
    </w:p>
    <w:p>
      <w:pPr>
        <w:pStyle w:val="BodyText"/>
        <w:spacing w:before="3"/>
        <w:rPr>
          <w:b/>
          <w:i/>
          <w:sz w:val="20"/>
        </w:rPr>
      </w:pPr>
    </w:p>
    <w:p>
      <w:pPr>
        <w:pStyle w:val="BodyText"/>
        <w:spacing w:line="247" w:lineRule="auto"/>
        <w:ind w:left="119" w:right="117"/>
        <w:jc w:val="both"/>
      </w:pPr>
      <w:r>
        <w:rPr>
          <w:color w:val="231F20"/>
        </w:rPr>
        <w:t>The Company accounts for financial derivative instruments at fair value and applies hedge accounting rules where appropriate. The Company utilizes various derivative instruments, including jet fuel, crude oil, unleaded gasoline, and heating oil-based derivatives, to attempt to reduce the risk of its exposure to jet fuel price increases. These instruments consist primarily of purchased call options, collar structures, call spreads, put spreads, and fixed price swap agreements, and upon proper qualification are  accounted for as cash-flow hedges. The Company also has interest rate swap agreements to convert a portion of its fixed-rate debt to floating rates and has swap agreements that convert certain floating-rate debt to a fixed-rate. These interest rate hedges are appropriately designated as either fair value hedges or as cash flow</w:t>
      </w:r>
      <w:r>
        <w:rPr>
          <w:color w:val="231F20"/>
          <w:spacing w:val="-1"/>
        </w:rPr>
        <w:t> </w:t>
      </w:r>
      <w:r>
        <w:rPr>
          <w:color w:val="231F20"/>
        </w:rPr>
        <w:t>hedges.</w:t>
      </w:r>
    </w:p>
    <w:p>
      <w:pPr>
        <w:pStyle w:val="BodyText"/>
        <w:spacing w:before="8"/>
        <w:rPr>
          <w:sz w:val="19"/>
        </w:rPr>
      </w:pPr>
    </w:p>
    <w:p>
      <w:pPr>
        <w:pStyle w:val="BodyText"/>
        <w:spacing w:line="247" w:lineRule="auto"/>
        <w:ind w:left="119" w:right="117"/>
        <w:jc w:val="both"/>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before="8"/>
        <w:rPr>
          <w:sz w:val="19"/>
        </w:rPr>
      </w:pPr>
    </w:p>
    <w:p>
      <w:pPr>
        <w:pStyle w:val="BodyText"/>
        <w:spacing w:line="247" w:lineRule="auto"/>
        <w:ind w:left="119" w:right="117"/>
        <w:jc w:val="both"/>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8"/>
        <w:rPr>
          <w:sz w:val="19"/>
        </w:rPr>
      </w:pPr>
    </w:p>
    <w:p>
      <w:pPr>
        <w:pStyle w:val="BodyText"/>
        <w:spacing w:line="247" w:lineRule="auto"/>
        <w:ind w:left="119" w:right="117"/>
        <w:jc w:val="both"/>
      </w:pPr>
      <w:r>
        <w:rPr>
          <w:color w:val="231F20"/>
        </w:rPr>
        <w:t>The Company classifies its cash collateral provided to or held from counterparties in a “net” presentation on the Consolidated Balance Sheet against the fair value of the derivative positions with those counterparties. See Note 10 for further information.</w:t>
      </w:r>
    </w:p>
    <w:p>
      <w:pPr>
        <w:pStyle w:val="BodyText"/>
        <w:spacing w:before="8"/>
        <w:rPr>
          <w:sz w:val="19"/>
        </w:rPr>
      </w:pPr>
    </w:p>
    <w:p>
      <w:pPr>
        <w:pStyle w:val="Heading2"/>
        <w:ind w:left="480"/>
        <w:rPr>
          <w:i/>
        </w:rPr>
      </w:pPr>
      <w:r>
        <w:rPr>
          <w:i/>
          <w:color w:val="231F20"/>
        </w:rPr>
        <w:t>Software Capitalization</w:t>
      </w:r>
    </w:p>
    <w:p>
      <w:pPr>
        <w:pStyle w:val="BodyText"/>
        <w:spacing w:before="3"/>
        <w:rPr>
          <w:b/>
          <w:i/>
          <w:sz w:val="20"/>
        </w:rPr>
      </w:pPr>
    </w:p>
    <w:p>
      <w:pPr>
        <w:pStyle w:val="BodyText"/>
        <w:spacing w:line="247" w:lineRule="auto"/>
        <w:ind w:left="119" w:right="118"/>
        <w:jc w:val="both"/>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is</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typically five to fifteen years. Costs incurred during the preliminary project or the post- implementation/operation stages of the project are expensed as incurred. Capitalized computer software, included as a component of Ground property and equipment in the accompanying Consolidated Balance Sheet, net of accumulated depreciation, was $544 million and $378 million at December   31,   2016,   and   2015,   respectively.   Computer   software   depreciation   expense    was</w:t>
      </w:r>
    </w:p>
    <w:p>
      <w:pPr>
        <w:pStyle w:val="BodyText"/>
        <w:spacing w:line="247" w:lineRule="auto"/>
        <w:ind w:left="100" w:right="117"/>
        <w:jc w:val="both"/>
      </w:pPr>
      <w:r>
        <w:rPr>
          <w:color w:val="231F20"/>
        </w:rPr>
        <w:t>$111 million, $106 million, and $122 million for the years ended December 31, 2016, 2015, and 2014, respectively, and is included as a component of Depreciation and amortization expense in the accompanying Consolidated Statement of Income. The Company evaluates internal use software for impairment on a quarterly basis; if it is determined the value of an asset was not recoverable or it qualifies for impairment, a charge would be recorded to write down the software to the lower of its carrying value or fair value. The Company had no significant impairments during 2016, 2015, or 2014.</w:t>
      </w:r>
    </w:p>
    <w:p>
      <w:pPr>
        <w:pStyle w:val="BodyText"/>
        <w:spacing w:before="4"/>
        <w:rPr>
          <w:sz w:val="19"/>
        </w:rPr>
      </w:pPr>
    </w:p>
    <w:p>
      <w:pPr>
        <w:pStyle w:val="Heading2"/>
        <w:rPr>
          <w:i/>
        </w:rPr>
      </w:pPr>
      <w:r>
        <w:rPr>
          <w:i/>
          <w:color w:val="231F20"/>
        </w:rPr>
        <w:t>Income Taxes</w:t>
      </w:r>
    </w:p>
    <w:p>
      <w:pPr>
        <w:pStyle w:val="BodyText"/>
        <w:spacing w:before="10"/>
        <w:rPr>
          <w:b/>
          <w:i/>
          <w:sz w:val="19"/>
        </w:rPr>
      </w:pPr>
    </w:p>
    <w:p>
      <w:pPr>
        <w:pStyle w:val="BodyText"/>
        <w:spacing w:line="247" w:lineRule="auto"/>
        <w:ind w:left="100" w:right="117"/>
        <w:jc w:val="both"/>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 See “Basis of Presentation” for further information on current presentation of deferred income</w:t>
      </w:r>
      <w:r>
        <w:rPr>
          <w:color w:val="231F20"/>
          <w:spacing w:val="-2"/>
        </w:rPr>
        <w:t> </w:t>
      </w:r>
      <w:r>
        <w:rPr>
          <w:color w:val="231F20"/>
        </w:rPr>
        <w:t>taxes.</w:t>
      </w:r>
    </w:p>
    <w:p>
      <w:pPr>
        <w:pStyle w:val="BodyText"/>
        <w:spacing w:before="2"/>
        <w:rPr>
          <w:sz w:val="19"/>
        </w:rPr>
      </w:pPr>
    </w:p>
    <w:p>
      <w:pPr>
        <w:pStyle w:val="BodyText"/>
        <w:spacing w:line="247" w:lineRule="auto" w:before="1"/>
        <w:ind w:left="100" w:right="117"/>
        <w:jc w:val="both"/>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 See Note 14 for further information.</w:t>
      </w:r>
    </w:p>
    <w:p>
      <w:pPr>
        <w:pStyle w:val="BodyText"/>
        <w:spacing w:before="3"/>
        <w:rPr>
          <w:sz w:val="19"/>
        </w:rPr>
      </w:pPr>
    </w:p>
    <w:p>
      <w:pPr>
        <w:pStyle w:val="Heading2"/>
        <w:rPr>
          <w:i/>
        </w:rPr>
      </w:pPr>
      <w:r>
        <w:rPr>
          <w:i/>
          <w:color w:val="231F20"/>
        </w:rPr>
        <w:t>Concentration Risk</w:t>
      </w:r>
    </w:p>
    <w:p>
      <w:pPr>
        <w:pStyle w:val="BodyText"/>
        <w:spacing w:before="10"/>
        <w:rPr>
          <w:b/>
          <w:i/>
          <w:sz w:val="19"/>
        </w:rPr>
      </w:pPr>
    </w:p>
    <w:p>
      <w:pPr>
        <w:pStyle w:val="BodyText"/>
        <w:spacing w:line="247" w:lineRule="auto"/>
        <w:ind w:left="100" w:right="117"/>
        <w:jc w:val="both"/>
      </w:pPr>
      <w:r>
        <w:rPr>
          <w:color w:val="231F20"/>
        </w:rPr>
        <w:t>Approximately 83 percent of the Company’s full-time equivalent Employees are unionized and are covered by collective-bargaining agreements. A small percentage of the Company’s unionized Employees, including its Mechanics, Material Specialists, and Facilities Maintenance Technicians, are in discussions on labor agreements. These Employee groups represent approximately five percent of  the Company’s full-time equivalent Employees as of December 31,</w:t>
      </w:r>
      <w:r>
        <w:rPr>
          <w:color w:val="231F20"/>
          <w:spacing w:val="-1"/>
        </w:rPr>
        <w:t> </w:t>
      </w:r>
      <w:r>
        <w:rPr>
          <w:color w:val="231F20"/>
        </w:rPr>
        <w:t>2016.</w:t>
      </w:r>
    </w:p>
    <w:p>
      <w:pPr>
        <w:pStyle w:val="BodyText"/>
        <w:spacing w:before="3"/>
        <w:rPr>
          <w:sz w:val="19"/>
        </w:rPr>
      </w:pPr>
    </w:p>
    <w:p>
      <w:pPr>
        <w:pStyle w:val="BodyText"/>
        <w:spacing w:line="247" w:lineRule="auto"/>
        <w:ind w:left="100" w:right="117"/>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3"/>
        <w:rPr>
          <w:sz w:val="19"/>
        </w:rPr>
      </w:pPr>
    </w:p>
    <w:p>
      <w:pPr>
        <w:pStyle w:val="BodyText"/>
        <w:spacing w:line="247" w:lineRule="auto"/>
        <w:ind w:left="100" w:right="117"/>
        <w:jc w:val="both"/>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w:t>
      </w:r>
      <w:r>
        <w:rPr>
          <w:color w:val="231F20"/>
          <w:spacing w:val="-3"/>
        </w:rPr>
        <w:t> </w:t>
      </w:r>
      <w:r>
        <w:rPr>
          <w:color w:val="231F20"/>
        </w:rPr>
        <w:t>information.</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bookmarkStart w:name="2. NEW ACCOUNTING PRONOUNCEMENTS AND ACC" w:id="25"/>
      <w:bookmarkEnd w:id="25"/>
      <w:r>
        <w:rPr/>
      </w:r>
      <w:r>
        <w:rPr>
          <w:color w:val="231F20"/>
        </w:rPr>
        <w:t>As of December 31, 2016, the Company operated an all-Boeing fleet, all of which are variations of the Boeing 737.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aircraft type, whether as a result of downtime for part or all of the Company’s fleet, increased maintenance costs,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w:t>
      </w:r>
      <w:r>
        <w:rPr>
          <w:color w:val="231F20"/>
          <w:spacing w:val="-2"/>
        </w:rPr>
        <w:t> </w:t>
      </w:r>
      <w:r>
        <w:rPr>
          <w:color w:val="231F20"/>
        </w:rPr>
        <w:t>parts.</w:t>
      </w:r>
    </w:p>
    <w:p>
      <w:pPr>
        <w:pStyle w:val="BodyText"/>
        <w:spacing w:before="9"/>
        <w:rPr>
          <w:sz w:val="20"/>
        </w:rPr>
      </w:pPr>
    </w:p>
    <w:p>
      <w:pPr>
        <w:pStyle w:val="BodyText"/>
        <w:spacing w:line="247" w:lineRule="auto"/>
        <w:ind w:left="100" w:right="117"/>
        <w:jc w:val="both"/>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agreements, none of which currently extend beyond May 2022. The Company believes the financial benefits generated by the exclusivity aspects of these  arrangements outweigh the risks involved with such</w:t>
      </w:r>
      <w:r>
        <w:rPr>
          <w:color w:val="231F20"/>
          <w:spacing w:val="-1"/>
        </w:rPr>
        <w:t> </w:t>
      </w:r>
      <w:r>
        <w:rPr>
          <w:color w:val="231F20"/>
        </w:rPr>
        <w:t>agreements.</w:t>
      </w:r>
    </w:p>
    <w:p>
      <w:pPr>
        <w:pStyle w:val="BodyText"/>
        <w:spacing w:before="9"/>
        <w:rPr>
          <w:sz w:val="20"/>
        </w:rPr>
      </w:pPr>
    </w:p>
    <w:p>
      <w:pPr>
        <w:pStyle w:val="Heading1"/>
        <w:numPr>
          <w:ilvl w:val="0"/>
          <w:numId w:val="13"/>
        </w:numPr>
        <w:tabs>
          <w:tab w:pos="320" w:val="left" w:leader="none"/>
        </w:tabs>
        <w:spacing w:line="240" w:lineRule="auto" w:before="0" w:after="0"/>
        <w:ind w:left="320" w:right="0" w:hanging="220"/>
        <w:jc w:val="both"/>
      </w:pPr>
      <w:r>
        <w:rPr>
          <w:color w:val="231F20"/>
        </w:rPr>
        <w:t>NEW ACCOUNTING PRONOUNCEMENTS AND ACCOUNTING</w:t>
      </w:r>
      <w:r>
        <w:rPr>
          <w:color w:val="231F20"/>
          <w:spacing w:val="2"/>
        </w:rPr>
        <w:t> </w:t>
      </w:r>
      <w:r>
        <w:rPr>
          <w:color w:val="231F20"/>
        </w:rPr>
        <w:t>CHANGES</w:t>
      </w:r>
    </w:p>
    <w:p>
      <w:pPr>
        <w:pStyle w:val="BodyText"/>
        <w:spacing w:before="4"/>
        <w:rPr>
          <w:b/>
          <w:sz w:val="21"/>
        </w:rPr>
      </w:pPr>
    </w:p>
    <w:p>
      <w:pPr>
        <w:pStyle w:val="BodyText"/>
        <w:spacing w:line="247" w:lineRule="auto" w:before="1"/>
        <w:ind w:left="100" w:right="117"/>
        <w:jc w:val="both"/>
      </w:pPr>
      <w:r>
        <w:rPr>
          <w:color w:val="231F20"/>
        </w:rPr>
        <w:t>On August 26, 2016, the Financial Accounting Standards Board (“FASB”) issued Accounting Standards Update (“ASU”) No. 2016-15, Statement of Cash Flows. The standard is intended to reduce diversity in practice in how certain transactions are classified in the statement of cash flows. This ASU is effective for fiscal years, and interim periods within those years, beginning after December 15, 2017, with early adoption permitted. The Company is evaluating the new guidance, but does not expect it to have a significant impact on its financial statement presentation or results.</w:t>
      </w:r>
    </w:p>
    <w:p>
      <w:pPr>
        <w:pStyle w:val="BodyText"/>
        <w:spacing w:before="9"/>
        <w:rPr>
          <w:sz w:val="20"/>
        </w:rPr>
      </w:pPr>
    </w:p>
    <w:p>
      <w:pPr>
        <w:pStyle w:val="BodyText"/>
        <w:spacing w:line="247" w:lineRule="auto" w:before="1"/>
        <w:ind w:left="100" w:right="117"/>
        <w:jc w:val="both"/>
      </w:pPr>
      <w:r>
        <w:rPr>
          <w:color w:val="231F20"/>
        </w:rPr>
        <w:t>On June 16, 2016, the FASB issued ASU No. 2016-13, Accounting for Credit Losses. The new standard requires the use of an “expected loss” model on certain types of financial instruments. The standard also amends the impairment model for available-for-sale debt securities and requires estimated credit losses to be recorded as allowances instead of reductions to amortized cost of the securities. This ASU is effective for fiscal years, and interim periods within those years, beginning after December 15, 2019, with early adoption permitted. The Company is evaluating the new guidance, but does not expect it to have a significant impact on its financial statement presentation or</w:t>
      </w:r>
      <w:r>
        <w:rPr>
          <w:color w:val="231F20"/>
          <w:spacing w:val="-4"/>
        </w:rPr>
        <w:t> </w:t>
      </w:r>
      <w:r>
        <w:rPr>
          <w:color w:val="231F20"/>
        </w:rPr>
        <w:t>results.</w:t>
      </w:r>
    </w:p>
    <w:p>
      <w:pPr>
        <w:pStyle w:val="BodyText"/>
        <w:spacing w:before="9"/>
        <w:rPr>
          <w:sz w:val="20"/>
        </w:rPr>
      </w:pPr>
    </w:p>
    <w:p>
      <w:pPr>
        <w:pStyle w:val="BodyText"/>
        <w:spacing w:line="247" w:lineRule="auto" w:before="1"/>
        <w:ind w:left="100" w:right="117"/>
        <w:jc w:val="both"/>
      </w:pPr>
      <w:r>
        <w:rPr>
          <w:color w:val="231F20"/>
        </w:rPr>
        <w:t>On March 30, 2016, the FASB issued ASU No. 2016-09, Improvements to Employee Share-Based Payment Accounting. The standard is part of the FASB effort to simplify various aspects related to  how share-based payments are accounted for and presented in the financial statements. This ASU is effective for fiscal years, and interim periods within those years, beginning after December 15, 2016. Early adoption is permitted in any interim or annual period, with any adjustments reflected as of the beginning of the fiscal year of adoption.  The  Company  early  adopted  this  standard  during  the  three months ended June 30, 2016, with an effective date as of January 1, 2016. The prospective method of adoption of this standard resulted in the recognition of $7 million of excess tax benefits to the Company’s income tax provision for the year ended December 31,</w:t>
      </w:r>
      <w:r>
        <w:rPr>
          <w:color w:val="231F20"/>
          <w:spacing w:val="-1"/>
        </w:rPr>
        <w:t> </w:t>
      </w:r>
      <w:r>
        <w:rPr>
          <w:color w:val="231F20"/>
        </w:rPr>
        <w:t>2016.</w:t>
      </w:r>
    </w:p>
    <w:p>
      <w:pPr>
        <w:pStyle w:val="BodyText"/>
        <w:spacing w:before="9"/>
        <w:rPr>
          <w:sz w:val="20"/>
        </w:rPr>
      </w:pPr>
    </w:p>
    <w:p>
      <w:pPr>
        <w:pStyle w:val="BodyText"/>
        <w:spacing w:line="247" w:lineRule="auto" w:before="1"/>
        <w:ind w:left="100" w:right="118"/>
        <w:jc w:val="both"/>
      </w:pPr>
      <w:r>
        <w:rPr>
          <w:color w:val="231F20"/>
        </w:rPr>
        <w:t>On February 25, 2016, the FASB issued ASU No. 2016-02, Leases. The standard is effective for fiscal years, and interim periods within those years, beginning after December 15, 2018, with early adoption permitted. The Company believes the most significant impact of this ASU on its accounting will be 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8"/>
        <w:jc w:val="both"/>
      </w:pPr>
      <w:r>
        <w:rPr>
          <w:color w:val="231F20"/>
        </w:rPr>
        <w:t>presentation of operating leases with durations greater than twelve months, with certain exceptions, on the balance sheet. A portion of the Company’s aircraft fleet is on operating lease, and it has contractual lease agreements associated with the majority of space from which it operates at the airports it serves. See Note 7 for more information on the Company’s lease arrangements. The Company has formed a project team to evaluate and implement the standard and plans to provide additional information about its expected financial impact at a future date.</w:t>
      </w:r>
    </w:p>
    <w:p>
      <w:pPr>
        <w:pStyle w:val="BodyText"/>
        <w:spacing w:before="9"/>
        <w:rPr>
          <w:sz w:val="20"/>
        </w:rPr>
      </w:pPr>
    </w:p>
    <w:p>
      <w:pPr>
        <w:pStyle w:val="BodyText"/>
        <w:spacing w:line="247" w:lineRule="auto"/>
        <w:ind w:left="100" w:right="117"/>
        <w:jc w:val="both"/>
      </w:pPr>
      <w:r>
        <w:rPr>
          <w:color w:val="231F20"/>
        </w:rPr>
        <w:t>On May 28, 2014, the FASB issued ASU No. 2014-09, Revenue from Contracts with Customers. Following the FASB’s finalization of a one year deferral of this standard, the ASU is now effective for fiscal years, and interim periods within those years, beginning on or after December 15, 2017, with early adoption permitted for fiscal years, and interim periods within those years, beginning on or after December 15, 2016. The Company has formed a project team to evaluate and implement the standard, and currently believes the most significant impact of this ASU on its accounting will be the elimination of the incremental cost method for frequent flyer accounting, which will require the Company to re-value its liabilities associated with Customer flight points with a relative fair value approach, resulting in a significant increase in the liabilities. The Company’s liabilities associated with these flight points was $63 million at December 31, 2016, and the Company currently estimates  that applying a relative fair value would increase the liabilities by approximately twenty times that value. The adoption of the new standard is also expected to result in different income statement classification for certain types of revenues, such as ancillary revenues, which are currently classified as Other revenues. The Company currently anticipates utilizing the full retrospective method of adoption allowed by the standard, in order to provide for comparative results in all periods presented, and plans to adopt the standard as of January 1, 2018. The Company is continuing to evaluate the new guidance both internally and through its participation in an industry working group, and plans to provide additional information at a future</w:t>
      </w:r>
      <w:r>
        <w:rPr>
          <w:color w:val="231F20"/>
          <w:spacing w:val="-2"/>
        </w:rPr>
        <w:t> </w:t>
      </w:r>
      <w:r>
        <w:rPr>
          <w:color w:val="231F20"/>
        </w:rPr>
        <w:t>date.</w:t>
      </w:r>
    </w:p>
    <w:p>
      <w:pPr>
        <w:spacing w:after="0" w:line="247" w:lineRule="auto"/>
        <w:jc w:val="both"/>
        <w:sectPr>
          <w:pgSz w:w="11880" w:h="15480"/>
          <w:pgMar w:header="0" w:footer="1240" w:top="1240" w:bottom="1420" w:left="1280" w:right="1260"/>
        </w:sectPr>
      </w:pPr>
    </w:p>
    <w:p>
      <w:pPr>
        <w:pStyle w:val="Heading1"/>
        <w:numPr>
          <w:ilvl w:val="0"/>
          <w:numId w:val="13"/>
        </w:numPr>
        <w:tabs>
          <w:tab w:pos="320" w:val="left" w:leader="none"/>
        </w:tabs>
        <w:spacing w:line="240" w:lineRule="auto" w:before="74" w:after="0"/>
        <w:ind w:left="320" w:right="0" w:hanging="220"/>
        <w:jc w:val="left"/>
      </w:pPr>
      <w:bookmarkStart w:name="3. NET INCOME PER SHARE" w:id="26"/>
      <w:bookmarkEnd w:id="26"/>
      <w:r>
        <w:rPr>
          <w:b w:val="0"/>
        </w:rPr>
      </w:r>
      <w:bookmarkStart w:name="4. COMMITMENTS AND CONTINGENCIES" w:id="27"/>
      <w:bookmarkEnd w:id="27"/>
      <w:r>
        <w:rPr>
          <w:b w:val="0"/>
        </w:rPr>
      </w:r>
      <w:bookmarkStart w:name="4. COMMITMENTS AND CONTINGENCIES" w:id="28"/>
      <w:bookmarkEnd w:id="28"/>
      <w:r>
        <w:rPr>
          <w:color w:val="231F20"/>
        </w:rPr>
        <w:t>NET</w:t>
      </w:r>
      <w:r>
        <w:rPr>
          <w:color w:val="231F20"/>
        </w:rPr>
        <w:t> INCOME PER</w:t>
      </w:r>
      <w:r>
        <w:rPr>
          <w:color w:val="231F20"/>
          <w:spacing w:val="1"/>
        </w:rPr>
        <w:t> </w:t>
      </w:r>
      <w:r>
        <w:rPr>
          <w:color w:val="231F20"/>
        </w:rPr>
        <w:t>SHARE</w:t>
      </w:r>
    </w:p>
    <w:p>
      <w:pPr>
        <w:pStyle w:val="BodyText"/>
        <w:spacing w:before="4"/>
        <w:rPr>
          <w:b/>
          <w:sz w:val="21"/>
        </w:rPr>
      </w:pPr>
    </w:p>
    <w:p>
      <w:pPr>
        <w:pStyle w:val="BodyText"/>
        <w:spacing w:line="247" w:lineRule="auto" w:before="1"/>
        <w:ind w:left="100" w:right="335"/>
      </w:pPr>
      <w:r>
        <w:rPr>
          <w:color w:val="231F20"/>
        </w:rPr>
        <w:t>The following table sets forth the computation of basic and diluted net income per share (in millions except per share amounts):</w:t>
      </w:r>
    </w:p>
    <w:p>
      <w:pPr>
        <w:pStyle w:val="BodyText"/>
        <w:spacing w:before="3"/>
        <w:rPr>
          <w:sz w:val="17"/>
        </w:rPr>
      </w:pPr>
    </w:p>
    <w:p>
      <w:pPr>
        <w:spacing w:before="0" w:after="27"/>
        <w:ind w:left="0" w:right="593" w:firstLine="0"/>
        <w:jc w:val="right"/>
        <w:rPr>
          <w:b/>
          <w:sz w:val="20"/>
        </w:rPr>
      </w:pPr>
      <w:r>
        <w:rPr/>
        <w:pict>
          <v:rect style="position:absolute;margin-left:69pt;margin-top:135.335938pt;width:456pt;height:15pt;mso-position-horizontal-relative:page;mso-position-vertical-relative:paragraph;z-index:-375232" filled="true" fillcolor="#d1d3d4" stroked="false">
            <v:fill type="solid"/>
            <w10:wrap type="none"/>
          </v:rect>
        </w:pict>
      </w:r>
      <w:r>
        <w:rPr>
          <w:b/>
          <w:color w:val="231F20"/>
          <w:sz w:val="20"/>
        </w:rPr>
        <w:t>Year ended December 31,</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69"/>
        <w:gridCol w:w="917"/>
        <w:gridCol w:w="200"/>
        <w:gridCol w:w="917"/>
        <w:gridCol w:w="200"/>
        <w:gridCol w:w="917"/>
      </w:tblGrid>
      <w:tr>
        <w:trPr>
          <w:trHeight w:val="280" w:hRule="exact"/>
        </w:trPr>
        <w:tc>
          <w:tcPr>
            <w:tcW w:w="5969" w:type="dxa"/>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2016</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7"/>
              <w:rPr>
                <w:b/>
                <w:sz w:val="20"/>
              </w:rPr>
            </w:pPr>
            <w:r>
              <w:rPr>
                <w:b/>
                <w:color w:val="231F20"/>
                <w:sz w:val="20"/>
              </w:rPr>
              <w:t>2015</w:t>
            </w:r>
          </w:p>
        </w:tc>
        <w:tc>
          <w:tcPr>
            <w:tcW w:w="200" w:type="dxa"/>
            <w:tcBorders>
              <w:top w:val="single" w:sz="8" w:space="0" w:color="231F20"/>
            </w:tcBorders>
          </w:tcPr>
          <w:p>
            <w:pPr/>
          </w:p>
        </w:tc>
        <w:tc>
          <w:tcPr>
            <w:tcW w:w="917" w:type="dxa"/>
            <w:tcBorders>
              <w:top w:val="single" w:sz="8" w:space="0" w:color="231F20"/>
              <w:bottom w:val="single" w:sz="8" w:space="0" w:color="231F20"/>
            </w:tcBorders>
          </w:tcPr>
          <w:p>
            <w:pPr>
              <w:pStyle w:val="TableParagraph"/>
              <w:spacing w:before="13"/>
              <w:ind w:left="258"/>
              <w:rPr>
                <w:b/>
                <w:sz w:val="20"/>
              </w:rPr>
            </w:pPr>
            <w:r>
              <w:rPr>
                <w:b/>
                <w:color w:val="231F20"/>
                <w:sz w:val="20"/>
              </w:rPr>
              <w:t>2014</w:t>
            </w:r>
          </w:p>
        </w:tc>
      </w:tr>
      <w:tr>
        <w:trPr>
          <w:trHeight w:val="310" w:hRule="exact"/>
        </w:trPr>
        <w:tc>
          <w:tcPr>
            <w:tcW w:w="5969" w:type="dxa"/>
          </w:tcPr>
          <w:p>
            <w:pPr>
              <w:pStyle w:val="TableParagraph"/>
              <w:spacing w:before="63"/>
              <w:rPr>
                <w:b/>
                <w:sz w:val="20"/>
              </w:rPr>
            </w:pPr>
            <w:r>
              <w:rPr>
                <w:b/>
                <w:color w:val="231F20"/>
                <w:sz w:val="20"/>
              </w:rPr>
              <w:t>NUMERATOR:</w:t>
            </w: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c>
          <w:tcPr>
            <w:tcW w:w="200" w:type="dxa"/>
          </w:tcPr>
          <w:p>
            <w:pPr/>
          </w:p>
        </w:tc>
        <w:tc>
          <w:tcPr>
            <w:tcW w:w="917" w:type="dxa"/>
            <w:tcBorders>
              <w:top w:val="single" w:sz="8" w:space="0" w:color="231F20"/>
            </w:tcBorders>
          </w:tcPr>
          <w:p>
            <w:pPr/>
          </w:p>
        </w:tc>
      </w:tr>
      <w:tr>
        <w:trPr>
          <w:trHeight w:val="300" w:hRule="exact"/>
        </w:trPr>
        <w:tc>
          <w:tcPr>
            <w:tcW w:w="5969" w:type="dxa"/>
            <w:shd w:val="clear" w:color="auto" w:fill="D1D3D4"/>
          </w:tcPr>
          <w:p>
            <w:pPr>
              <w:pStyle w:val="TableParagraph"/>
              <w:ind w:left="200"/>
              <w:rPr>
                <w:sz w:val="20"/>
              </w:rPr>
            </w:pPr>
            <w:r>
              <w:rPr>
                <w:color w:val="231F20"/>
                <w:sz w:val="20"/>
              </w:rPr>
              <w:t>Net income</w:t>
            </w: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2,244</w:t>
            </w:r>
          </w:p>
        </w:tc>
        <w:tc>
          <w:tcPr>
            <w:tcW w:w="200" w:type="dxa"/>
            <w:shd w:val="clear" w:color="auto" w:fill="D1D3D4"/>
          </w:tcPr>
          <w:p>
            <w:pP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2,181</w:t>
            </w:r>
          </w:p>
        </w:tc>
        <w:tc>
          <w:tcPr>
            <w:tcW w:w="200" w:type="dxa"/>
            <w:shd w:val="clear" w:color="auto" w:fill="D1D3D4"/>
          </w:tcPr>
          <w:p>
            <w:pPr/>
          </w:p>
        </w:tc>
        <w:tc>
          <w:tcPr>
            <w:tcW w:w="917" w:type="dxa"/>
            <w:shd w:val="clear" w:color="auto" w:fill="D1D3D4"/>
          </w:tcPr>
          <w:p>
            <w:pPr>
              <w:pStyle w:val="TableParagraph"/>
              <w:tabs>
                <w:tab w:pos="399" w:val="left" w:leader="none"/>
              </w:tabs>
              <w:ind w:right="66"/>
              <w:jc w:val="right"/>
              <w:rPr>
                <w:sz w:val="20"/>
              </w:rPr>
            </w:pPr>
            <w:r>
              <w:rPr>
                <w:color w:val="231F20"/>
                <w:sz w:val="20"/>
              </w:rPr>
              <w:t>$</w:t>
              <w:tab/>
            </w:r>
            <w:r>
              <w:rPr>
                <w:color w:val="231F20"/>
                <w:spacing w:val="-1"/>
                <w:sz w:val="20"/>
              </w:rPr>
              <w:t>1,136</w:t>
            </w:r>
          </w:p>
        </w:tc>
      </w:tr>
      <w:tr>
        <w:trPr>
          <w:trHeight w:val="315" w:hRule="exact"/>
        </w:trPr>
        <w:tc>
          <w:tcPr>
            <w:tcW w:w="5969" w:type="dxa"/>
          </w:tcPr>
          <w:p>
            <w:pPr>
              <w:pStyle w:val="TableParagraph"/>
              <w:ind w:left="200"/>
              <w:rPr>
                <w:sz w:val="20"/>
              </w:rPr>
            </w:pPr>
            <w:r>
              <w:rPr>
                <w:color w:val="231F20"/>
                <w:sz w:val="20"/>
              </w:rPr>
              <w:t>Incremental income effect of interest on 5.25% convertible notes (a)</w:t>
            </w:r>
          </w:p>
        </w:tc>
        <w:tc>
          <w:tcPr>
            <w:tcW w:w="917" w:type="dxa"/>
            <w:tcBorders>
              <w:bottom w:val="single" w:sz="4" w:space="0" w:color="231F20"/>
            </w:tcBorders>
          </w:tcPr>
          <w:p>
            <w:pPr>
              <w:pStyle w:val="TableParagraph"/>
              <w:ind w:right="64"/>
              <w:jc w:val="right"/>
              <w:rPr>
                <w:sz w:val="20"/>
              </w:rPr>
            </w:pPr>
            <w:r>
              <w:rPr>
                <w:color w:val="231F20"/>
                <w:sz w:val="20"/>
              </w:rPr>
              <w:t>2</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4</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4</w:t>
            </w:r>
          </w:p>
        </w:tc>
      </w:tr>
      <w:tr>
        <w:trPr>
          <w:trHeight w:val="320" w:hRule="exact"/>
        </w:trPr>
        <w:tc>
          <w:tcPr>
            <w:tcW w:w="5969" w:type="dxa"/>
            <w:shd w:val="clear" w:color="auto" w:fill="D1D3D4"/>
          </w:tcPr>
          <w:p>
            <w:pPr>
              <w:pStyle w:val="TableParagraph"/>
              <w:ind w:left="200"/>
              <w:rPr>
                <w:sz w:val="20"/>
              </w:rPr>
            </w:pPr>
            <w:r>
              <w:rPr>
                <w:color w:val="231F20"/>
                <w:sz w:val="20"/>
              </w:rPr>
              <w:t>Net income after assumed conversion</w:t>
            </w: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2,246</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2,185</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399" w:val="left" w:leader="none"/>
              </w:tabs>
              <w:ind w:right="64"/>
              <w:jc w:val="right"/>
              <w:rPr>
                <w:sz w:val="20"/>
              </w:rPr>
            </w:pPr>
            <w:r>
              <w:rPr>
                <w:color w:val="231F20"/>
                <w:sz w:val="20"/>
              </w:rPr>
              <w:t>$</w:t>
              <w:tab/>
            </w:r>
            <w:r>
              <w:rPr>
                <w:color w:val="231F20"/>
                <w:spacing w:val="-1"/>
                <w:sz w:val="20"/>
              </w:rPr>
              <w:t>1,140</w:t>
            </w:r>
          </w:p>
        </w:tc>
      </w:tr>
    </w:tbl>
    <w:p>
      <w:pPr>
        <w:pStyle w:val="BodyText"/>
        <w:spacing w:before="6"/>
        <w:rPr>
          <w:b/>
          <w:sz w:val="23"/>
        </w:rPr>
      </w:pPr>
      <w:r>
        <w:rPr/>
        <w:pict>
          <v:shape style="position:absolute;margin-left:69pt;margin-top:14.75pt;width:456pt;height:15pt;mso-position-horizontal-relative:page;mso-position-vertical-relative:paragraph;z-index:3808;mso-wrap-distance-left:0;mso-wrap-distance-right:0" type="#_x0000_t202" filled="true" fillcolor="#d1d3d4" stroked="false">
            <v:textbox inset="0,0,0,0">
              <w:txbxContent>
                <w:p>
                  <w:pPr>
                    <w:spacing w:before="53"/>
                    <w:ind w:left="0" w:right="0" w:firstLine="0"/>
                    <w:jc w:val="left"/>
                    <w:rPr>
                      <w:b/>
                      <w:sz w:val="20"/>
                    </w:rPr>
                  </w:pPr>
                  <w:r>
                    <w:rPr>
                      <w:b/>
                      <w:color w:val="231F20"/>
                      <w:sz w:val="20"/>
                    </w:rPr>
                    <w:t>DENOMINATOR:</w:t>
                  </w:r>
                </w:p>
              </w:txbxContent>
            </v:textbox>
            <v:fill type="solid"/>
            <w10:wrap type="topAndBottom"/>
          </v:shape>
        </w:pict>
      </w:r>
    </w:p>
    <w:p>
      <w:pPr>
        <w:pStyle w:val="BodyText"/>
        <w:spacing w:before="10"/>
        <w:rPr>
          <w:b/>
          <w:sz w:val="3"/>
        </w:rPr>
      </w:pPr>
    </w:p>
    <w:tbl>
      <w:tblPr>
        <w:tblW w:w="0" w:type="auto"/>
        <w:jc w:val="left"/>
        <w:tblInd w:w="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19"/>
        <w:gridCol w:w="917"/>
        <w:gridCol w:w="200"/>
        <w:gridCol w:w="917"/>
        <w:gridCol w:w="200"/>
        <w:gridCol w:w="917"/>
      </w:tblGrid>
      <w:tr>
        <w:trPr>
          <w:trHeight w:val="255" w:hRule="exact"/>
        </w:trPr>
        <w:tc>
          <w:tcPr>
            <w:tcW w:w="5819" w:type="dxa"/>
          </w:tcPr>
          <w:p>
            <w:pPr>
              <w:pStyle w:val="TableParagraph"/>
              <w:spacing w:line="223" w:lineRule="exact" w:before="0"/>
              <w:ind w:left="50"/>
              <w:rPr>
                <w:sz w:val="20"/>
              </w:rPr>
            </w:pPr>
            <w:r>
              <w:rPr>
                <w:color w:val="231F20"/>
                <w:sz w:val="20"/>
              </w:rPr>
              <w:t>Weighted-average shares outstanding, basic</w:t>
            </w:r>
          </w:p>
        </w:tc>
        <w:tc>
          <w:tcPr>
            <w:tcW w:w="917" w:type="dxa"/>
            <w:tcBorders>
              <w:bottom w:val="single" w:sz="4" w:space="0" w:color="231F20"/>
            </w:tcBorders>
          </w:tcPr>
          <w:p>
            <w:pPr>
              <w:pStyle w:val="TableParagraph"/>
              <w:spacing w:line="223" w:lineRule="exact" w:before="0"/>
              <w:ind w:right="64"/>
              <w:jc w:val="right"/>
              <w:rPr>
                <w:sz w:val="20"/>
              </w:rPr>
            </w:pPr>
            <w:r>
              <w:rPr>
                <w:color w:val="231F20"/>
                <w:sz w:val="20"/>
              </w:rPr>
              <w:t>627</w:t>
            </w:r>
          </w:p>
        </w:tc>
        <w:tc>
          <w:tcPr>
            <w:tcW w:w="200" w:type="dxa"/>
          </w:tcPr>
          <w:p>
            <w:pPr/>
          </w:p>
        </w:tc>
        <w:tc>
          <w:tcPr>
            <w:tcW w:w="917" w:type="dxa"/>
            <w:tcBorders>
              <w:bottom w:val="single" w:sz="4" w:space="0" w:color="231F20"/>
            </w:tcBorders>
          </w:tcPr>
          <w:p>
            <w:pPr>
              <w:pStyle w:val="TableParagraph"/>
              <w:spacing w:line="223" w:lineRule="exact" w:before="0"/>
              <w:ind w:right="64"/>
              <w:jc w:val="right"/>
              <w:rPr>
                <w:sz w:val="20"/>
              </w:rPr>
            </w:pPr>
            <w:r>
              <w:rPr>
                <w:color w:val="231F20"/>
                <w:sz w:val="20"/>
              </w:rPr>
              <w:t>661</w:t>
            </w:r>
          </w:p>
        </w:tc>
        <w:tc>
          <w:tcPr>
            <w:tcW w:w="200" w:type="dxa"/>
          </w:tcPr>
          <w:p>
            <w:pPr/>
          </w:p>
        </w:tc>
        <w:tc>
          <w:tcPr>
            <w:tcW w:w="917" w:type="dxa"/>
            <w:tcBorders>
              <w:bottom w:val="single" w:sz="4" w:space="0" w:color="231F20"/>
            </w:tcBorders>
          </w:tcPr>
          <w:p>
            <w:pPr>
              <w:pStyle w:val="TableParagraph"/>
              <w:spacing w:line="223" w:lineRule="exact" w:before="0"/>
              <w:ind w:right="64"/>
              <w:jc w:val="right"/>
              <w:rPr>
                <w:sz w:val="20"/>
              </w:rPr>
            </w:pPr>
            <w:r>
              <w:rPr>
                <w:color w:val="231F20"/>
                <w:sz w:val="20"/>
              </w:rPr>
              <w:t>687</w:t>
            </w:r>
          </w:p>
        </w:tc>
      </w:tr>
      <w:tr>
        <w:trPr>
          <w:trHeight w:val="305" w:hRule="exact"/>
        </w:trPr>
        <w:tc>
          <w:tcPr>
            <w:tcW w:w="5819" w:type="dxa"/>
            <w:shd w:val="clear" w:color="auto" w:fill="D1D3D4"/>
          </w:tcPr>
          <w:p>
            <w:pPr>
              <w:pStyle w:val="TableParagraph"/>
              <w:spacing w:before="58"/>
              <w:ind w:left="50"/>
              <w:rPr>
                <w:sz w:val="20"/>
              </w:rPr>
            </w:pPr>
            <w:r>
              <w:rPr>
                <w:color w:val="231F20"/>
                <w:sz w:val="20"/>
              </w:rPr>
              <w:t>Dilutive effect of Employee stock options and restricted stock units</w:t>
            </w:r>
          </w:p>
        </w:tc>
        <w:tc>
          <w:tcPr>
            <w:tcW w:w="917" w:type="dxa"/>
            <w:tcBorders>
              <w:top w:val="single" w:sz="4" w:space="0" w:color="231F20"/>
            </w:tcBorders>
            <w:shd w:val="clear" w:color="auto" w:fill="D1D3D4"/>
          </w:tcPr>
          <w:p>
            <w:pPr>
              <w:pStyle w:val="TableParagraph"/>
              <w:ind w:right="64"/>
              <w:jc w:val="right"/>
              <w:rPr>
                <w:sz w:val="20"/>
              </w:rPr>
            </w:pPr>
            <w:r>
              <w:rPr>
                <w:color w:val="231F20"/>
                <w:sz w:val="20"/>
              </w:rPr>
              <w:t>1</w:t>
            </w:r>
          </w:p>
        </w:tc>
        <w:tc>
          <w:tcPr>
            <w:tcW w:w="200" w:type="dxa"/>
            <w:shd w:val="clear" w:color="auto" w:fill="D1D3D4"/>
          </w:tcPr>
          <w:p>
            <w:pPr/>
          </w:p>
        </w:tc>
        <w:tc>
          <w:tcPr>
            <w:tcW w:w="917" w:type="dxa"/>
            <w:tcBorders>
              <w:top w:val="single" w:sz="4" w:space="0" w:color="231F20"/>
            </w:tcBorders>
            <w:shd w:val="clear" w:color="auto" w:fill="D1D3D4"/>
          </w:tcPr>
          <w:p>
            <w:pPr>
              <w:pStyle w:val="TableParagraph"/>
              <w:ind w:right="64"/>
              <w:jc w:val="right"/>
              <w:rPr>
                <w:sz w:val="20"/>
              </w:rPr>
            </w:pPr>
            <w:r>
              <w:rPr>
                <w:color w:val="231F20"/>
                <w:sz w:val="20"/>
              </w:rPr>
              <w:t>2</w:t>
            </w:r>
          </w:p>
        </w:tc>
        <w:tc>
          <w:tcPr>
            <w:tcW w:w="200" w:type="dxa"/>
            <w:shd w:val="clear" w:color="auto" w:fill="D1D3D4"/>
          </w:tcPr>
          <w:p>
            <w:pPr/>
          </w:p>
        </w:tc>
        <w:tc>
          <w:tcPr>
            <w:tcW w:w="917" w:type="dxa"/>
            <w:tcBorders>
              <w:top w:val="single" w:sz="4" w:space="0" w:color="231F20"/>
            </w:tcBorders>
            <w:shd w:val="clear" w:color="auto" w:fill="D1D3D4"/>
          </w:tcPr>
          <w:p>
            <w:pPr>
              <w:pStyle w:val="TableParagraph"/>
              <w:ind w:right="64"/>
              <w:jc w:val="right"/>
              <w:rPr>
                <w:sz w:val="20"/>
              </w:rPr>
            </w:pPr>
            <w:r>
              <w:rPr>
                <w:color w:val="231F20"/>
                <w:sz w:val="20"/>
              </w:rPr>
              <w:t>3</w:t>
            </w:r>
          </w:p>
        </w:tc>
      </w:tr>
      <w:tr>
        <w:trPr>
          <w:trHeight w:val="315" w:hRule="exact"/>
        </w:trPr>
        <w:tc>
          <w:tcPr>
            <w:tcW w:w="5819" w:type="dxa"/>
          </w:tcPr>
          <w:p>
            <w:pPr>
              <w:pStyle w:val="TableParagraph"/>
              <w:ind w:left="50"/>
              <w:rPr>
                <w:sz w:val="20"/>
              </w:rPr>
            </w:pPr>
            <w:r>
              <w:rPr>
                <w:color w:val="231F20"/>
                <w:sz w:val="20"/>
              </w:rPr>
              <w:t>Dilutive effect of 5.25% convertible notes (a)</w:t>
            </w:r>
          </w:p>
        </w:tc>
        <w:tc>
          <w:tcPr>
            <w:tcW w:w="917" w:type="dxa"/>
            <w:tcBorders>
              <w:bottom w:val="single" w:sz="4" w:space="0" w:color="231F20"/>
            </w:tcBorders>
          </w:tcPr>
          <w:p>
            <w:pPr>
              <w:pStyle w:val="TableParagraph"/>
              <w:ind w:right="64"/>
              <w:jc w:val="right"/>
              <w:rPr>
                <w:sz w:val="20"/>
              </w:rPr>
            </w:pPr>
            <w:r>
              <w:rPr>
                <w:color w:val="231F20"/>
                <w:sz w:val="20"/>
              </w:rPr>
              <w:t>5</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6</w:t>
            </w:r>
          </w:p>
        </w:tc>
        <w:tc>
          <w:tcPr>
            <w:tcW w:w="200" w:type="dxa"/>
          </w:tcPr>
          <w:p>
            <w:pPr/>
          </w:p>
        </w:tc>
        <w:tc>
          <w:tcPr>
            <w:tcW w:w="917" w:type="dxa"/>
            <w:tcBorders>
              <w:bottom w:val="single" w:sz="4" w:space="0" w:color="231F20"/>
            </w:tcBorders>
          </w:tcPr>
          <w:p>
            <w:pPr>
              <w:pStyle w:val="TableParagraph"/>
              <w:ind w:right="64"/>
              <w:jc w:val="right"/>
              <w:rPr>
                <w:sz w:val="20"/>
              </w:rPr>
            </w:pPr>
            <w:r>
              <w:rPr>
                <w:color w:val="231F20"/>
                <w:sz w:val="20"/>
              </w:rPr>
              <w:t>6</w:t>
            </w:r>
          </w:p>
        </w:tc>
      </w:tr>
      <w:tr>
        <w:trPr>
          <w:trHeight w:val="360" w:hRule="exact"/>
        </w:trPr>
        <w:tc>
          <w:tcPr>
            <w:tcW w:w="5819" w:type="dxa"/>
            <w:shd w:val="clear" w:color="auto" w:fill="D1D3D4"/>
          </w:tcPr>
          <w:p>
            <w:pPr>
              <w:pStyle w:val="TableParagraph"/>
              <w:spacing w:before="58"/>
              <w:ind w:left="50"/>
              <w:rPr>
                <w:sz w:val="20"/>
              </w:rPr>
            </w:pPr>
            <w:r>
              <w:rPr>
                <w:color w:val="231F20"/>
                <w:sz w:val="20"/>
              </w:rPr>
              <w:t>Adjusted weighted-average shares outstanding, diluted</w:t>
            </w:r>
          </w:p>
        </w:tc>
        <w:tc>
          <w:tcPr>
            <w:tcW w:w="917"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633</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669</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696</w:t>
            </w:r>
          </w:p>
        </w:tc>
      </w:tr>
    </w:tbl>
    <w:p>
      <w:pPr>
        <w:pStyle w:val="BodyText"/>
        <w:spacing w:before="7"/>
        <w:rPr>
          <w:b/>
          <w:sz w:val="23"/>
        </w:rPr>
      </w:pPr>
      <w:r>
        <w:rPr/>
        <w:pict>
          <v:shape style="position:absolute;margin-left:69pt;margin-top:14.785147pt;width:456pt;height:15pt;mso-position-horizontal-relative:page;mso-position-vertical-relative:paragraph;z-index:3832;mso-wrap-distance-left:0;mso-wrap-distance-right:0" type="#_x0000_t202" filled="true" fillcolor="#d1d3d4" stroked="false">
            <v:textbox inset="0,0,0,0">
              <w:txbxContent>
                <w:p>
                  <w:pPr>
                    <w:spacing w:before="53"/>
                    <w:ind w:left="0" w:right="0" w:firstLine="0"/>
                    <w:jc w:val="left"/>
                    <w:rPr>
                      <w:b/>
                      <w:sz w:val="20"/>
                    </w:rPr>
                  </w:pPr>
                  <w:r>
                    <w:rPr>
                      <w:b/>
                      <w:color w:val="231F20"/>
                      <w:sz w:val="20"/>
                    </w:rPr>
                    <w:t>NET INCOME PER SHARE:</w:t>
                  </w:r>
                </w:p>
              </w:txbxContent>
            </v:textbox>
            <v:fill type="solid"/>
            <w10:wrap type="topAndBottom"/>
          </v:shape>
        </w:pict>
      </w:r>
    </w:p>
    <w:p>
      <w:pPr>
        <w:pStyle w:val="BodyText"/>
        <w:spacing w:before="10"/>
        <w:rPr>
          <w:b/>
          <w:sz w:val="3"/>
        </w:rPr>
      </w:pPr>
    </w:p>
    <w:tbl>
      <w:tblPr>
        <w:tblW w:w="0" w:type="auto"/>
        <w:jc w:val="left"/>
        <w:tblInd w:w="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19"/>
        <w:gridCol w:w="917"/>
        <w:gridCol w:w="200"/>
        <w:gridCol w:w="917"/>
        <w:gridCol w:w="200"/>
        <w:gridCol w:w="917"/>
      </w:tblGrid>
      <w:tr>
        <w:trPr>
          <w:trHeight w:val="295" w:hRule="exact"/>
        </w:trPr>
        <w:tc>
          <w:tcPr>
            <w:tcW w:w="5819" w:type="dxa"/>
          </w:tcPr>
          <w:p>
            <w:pPr>
              <w:pStyle w:val="TableParagraph"/>
              <w:spacing w:line="223" w:lineRule="exact" w:before="0"/>
              <w:ind w:left="50"/>
              <w:rPr>
                <w:sz w:val="20"/>
              </w:rPr>
            </w:pPr>
            <w:r>
              <w:rPr>
                <w:color w:val="231F20"/>
                <w:sz w:val="20"/>
              </w:rPr>
              <w:t>Basic</w:t>
            </w:r>
          </w:p>
        </w:tc>
        <w:tc>
          <w:tcPr>
            <w:tcW w:w="917" w:type="dxa"/>
            <w:tcBorders>
              <w:bottom w:val="single" w:sz="4" w:space="0" w:color="231F20"/>
            </w:tcBorders>
          </w:tcPr>
          <w:p>
            <w:pPr>
              <w:pStyle w:val="TableParagraph"/>
              <w:tabs>
                <w:tab w:pos="499" w:val="left" w:leader="none"/>
              </w:tabs>
              <w:spacing w:line="223" w:lineRule="exact" w:before="0"/>
              <w:rPr>
                <w:sz w:val="20"/>
              </w:rPr>
            </w:pPr>
            <w:r>
              <w:rPr>
                <w:color w:val="231F20"/>
                <w:sz w:val="20"/>
              </w:rPr>
              <w:t>$</w:t>
              <w:tab/>
              <w:t>3.58</w:t>
            </w:r>
          </w:p>
        </w:tc>
        <w:tc>
          <w:tcPr>
            <w:tcW w:w="200" w:type="dxa"/>
          </w:tcPr>
          <w:p>
            <w:pPr/>
          </w:p>
        </w:tc>
        <w:tc>
          <w:tcPr>
            <w:tcW w:w="917" w:type="dxa"/>
            <w:tcBorders>
              <w:bottom w:val="single" w:sz="4" w:space="0" w:color="231F20"/>
            </w:tcBorders>
          </w:tcPr>
          <w:p>
            <w:pPr>
              <w:pStyle w:val="TableParagraph"/>
              <w:tabs>
                <w:tab w:pos="499" w:val="left" w:leader="none"/>
              </w:tabs>
              <w:spacing w:line="223" w:lineRule="exact" w:before="0"/>
              <w:rPr>
                <w:sz w:val="20"/>
              </w:rPr>
            </w:pPr>
            <w:r>
              <w:rPr>
                <w:color w:val="231F20"/>
                <w:sz w:val="20"/>
              </w:rPr>
              <w:t>$</w:t>
              <w:tab/>
              <w:t>3.30</w:t>
            </w:r>
          </w:p>
        </w:tc>
        <w:tc>
          <w:tcPr>
            <w:tcW w:w="200" w:type="dxa"/>
          </w:tcPr>
          <w:p>
            <w:pPr/>
          </w:p>
        </w:tc>
        <w:tc>
          <w:tcPr>
            <w:tcW w:w="917" w:type="dxa"/>
          </w:tcPr>
          <w:p>
            <w:pPr>
              <w:pStyle w:val="TableParagraph"/>
              <w:tabs>
                <w:tab w:pos="499" w:val="left" w:leader="none"/>
              </w:tabs>
              <w:spacing w:line="223" w:lineRule="exact" w:before="0"/>
              <w:rPr>
                <w:sz w:val="20"/>
              </w:rPr>
            </w:pPr>
            <w:r>
              <w:rPr>
                <w:color w:val="231F20"/>
                <w:sz w:val="20"/>
              </w:rPr>
              <w:t>$</w:t>
              <w:tab/>
              <w:t>1.65</w:t>
            </w:r>
          </w:p>
        </w:tc>
      </w:tr>
      <w:tr>
        <w:trPr>
          <w:trHeight w:val="360" w:hRule="exact"/>
        </w:trPr>
        <w:tc>
          <w:tcPr>
            <w:tcW w:w="5819" w:type="dxa"/>
            <w:shd w:val="clear" w:color="auto" w:fill="D1D3D4"/>
          </w:tcPr>
          <w:p>
            <w:pPr>
              <w:pStyle w:val="TableParagraph"/>
              <w:spacing w:before="58"/>
              <w:ind w:left="50"/>
              <w:rPr>
                <w:sz w:val="20"/>
              </w:rPr>
            </w:pPr>
            <w:r>
              <w:rPr>
                <w:color w:val="231F20"/>
                <w:sz w:val="20"/>
              </w:rPr>
              <w:t>Diluted</w:t>
            </w:r>
          </w:p>
        </w:tc>
        <w:tc>
          <w:tcPr>
            <w:tcW w:w="917" w:type="dxa"/>
            <w:tcBorders>
              <w:top w:val="single" w:sz="4" w:space="0" w:color="231F20"/>
              <w:bottom w:val="single" w:sz="4" w:space="0" w:color="231F20"/>
            </w:tcBorders>
            <w:shd w:val="clear" w:color="auto" w:fill="D1D3D4"/>
          </w:tcPr>
          <w:p>
            <w:pPr>
              <w:pStyle w:val="TableParagraph"/>
              <w:tabs>
                <w:tab w:pos="499" w:val="left" w:leader="none"/>
              </w:tabs>
              <w:rPr>
                <w:sz w:val="20"/>
              </w:rPr>
            </w:pPr>
            <w:r>
              <w:rPr>
                <w:color w:val="231F20"/>
                <w:sz w:val="20"/>
              </w:rPr>
              <w:t>$</w:t>
              <w:tab/>
              <w:t>3.55</w:t>
            </w:r>
          </w:p>
        </w:tc>
        <w:tc>
          <w:tcPr>
            <w:tcW w:w="200" w:type="dxa"/>
            <w:shd w:val="clear" w:color="auto" w:fill="D1D3D4"/>
          </w:tcPr>
          <w:p>
            <w:pPr/>
          </w:p>
        </w:tc>
        <w:tc>
          <w:tcPr>
            <w:tcW w:w="917" w:type="dxa"/>
            <w:tcBorders>
              <w:top w:val="single" w:sz="4" w:space="0" w:color="231F20"/>
              <w:bottom w:val="single" w:sz="4" w:space="0" w:color="231F20"/>
            </w:tcBorders>
            <w:shd w:val="clear" w:color="auto" w:fill="D1D3D4"/>
          </w:tcPr>
          <w:p>
            <w:pPr>
              <w:pStyle w:val="TableParagraph"/>
              <w:tabs>
                <w:tab w:pos="499" w:val="left" w:leader="none"/>
              </w:tabs>
              <w:rPr>
                <w:sz w:val="20"/>
              </w:rPr>
            </w:pPr>
            <w:r>
              <w:rPr>
                <w:color w:val="231F20"/>
                <w:sz w:val="20"/>
              </w:rPr>
              <w:t>$</w:t>
              <w:tab/>
              <w:t>3.27</w:t>
            </w:r>
          </w:p>
        </w:tc>
        <w:tc>
          <w:tcPr>
            <w:tcW w:w="200" w:type="dxa"/>
            <w:shd w:val="clear" w:color="auto" w:fill="D1D3D4"/>
          </w:tcPr>
          <w:p>
            <w:pPr/>
          </w:p>
        </w:tc>
        <w:tc>
          <w:tcPr>
            <w:tcW w:w="917" w:type="dxa"/>
            <w:tcBorders>
              <w:bottom w:val="single" w:sz="4" w:space="0" w:color="231F20"/>
            </w:tcBorders>
            <w:shd w:val="clear" w:color="auto" w:fill="D1D3D4"/>
          </w:tcPr>
          <w:p>
            <w:pPr>
              <w:pStyle w:val="TableParagraph"/>
              <w:tabs>
                <w:tab w:pos="499" w:val="left" w:leader="none"/>
              </w:tabs>
              <w:spacing w:before="58"/>
              <w:rPr>
                <w:sz w:val="20"/>
              </w:rPr>
            </w:pPr>
            <w:r>
              <w:rPr>
                <w:color w:val="231F20"/>
                <w:sz w:val="20"/>
              </w:rPr>
              <w:t>$</w:t>
              <w:tab/>
              <w:t>1.64</w:t>
            </w:r>
          </w:p>
        </w:tc>
      </w:tr>
    </w:tbl>
    <w:p>
      <w:pPr>
        <w:pStyle w:val="BodyText"/>
        <w:spacing w:before="2"/>
        <w:rPr>
          <w:b/>
          <w:sz w:val="25"/>
        </w:rPr>
      </w:pPr>
    </w:p>
    <w:p>
      <w:pPr>
        <w:pStyle w:val="BodyText"/>
        <w:spacing w:before="1"/>
        <w:ind w:left="100"/>
        <w:jc w:val="both"/>
      </w:pPr>
      <w:r>
        <w:rPr/>
        <w:pict>
          <v:group style="position:absolute;margin-left:69pt;margin-top:-98.680466pt;width:456.25pt;height:16pt;mso-position-horizontal-relative:page;mso-position-vertical-relative:paragraph;z-index:-375208" coordorigin="1380,-1974" coordsize="9125,320">
            <v:rect style="position:absolute;left:1380;top:-1974;width:9120;height:300" filled="true" fillcolor="#d1d3d4" stroked="false">
              <v:fill type="solid"/>
            </v:rect>
            <v:line style="position:absolute" from="7349,-1659" to="8266,-1659" stroked="true" strokeweight=".5pt" strokecolor="#231f20">
              <v:stroke dashstyle="solid"/>
            </v:line>
            <v:line style="position:absolute" from="8466,-1659" to="9383,-1659" stroked="true" strokeweight=".5pt" strokecolor="#231f20">
              <v:stroke dashstyle="solid"/>
            </v:line>
            <v:line style="position:absolute" from="9583,-1659" to="10500,-1659" stroked="true" strokeweight=".5pt" strokecolor="#231f20">
              <v:stroke dashstyle="solid"/>
            </v:line>
            <w10:wrap type="none"/>
          </v:group>
        </w:pict>
      </w:r>
      <w:r>
        <w:rPr/>
        <w:pict>
          <v:group style="position:absolute;margin-left:69pt;margin-top:-35.18047pt;width:456.25pt;height:18.5pt;mso-position-horizontal-relative:page;mso-position-vertical-relative:paragraph;z-index:-375184" coordorigin="1380,-704" coordsize="9125,370">
            <v:rect style="position:absolute;left:1380;top:-654;width:9120;height:300" filled="true" fillcolor="#d1d3d4" stroked="false">
              <v:fill type="solid"/>
            </v:rect>
            <v:line style="position:absolute" from="7349,-699" to="8266,-699" stroked="true" strokeweight=".5pt" strokecolor="#231f20">
              <v:stroke dashstyle="solid"/>
            </v:line>
            <v:line style="position:absolute" from="8466,-699" to="9383,-699" stroked="true" strokeweight=".5pt" strokecolor="#231f20">
              <v:stroke dashstyle="solid"/>
            </v:line>
            <v:line style="position:absolute" from="9583,-699" to="10500,-699" stroked="true" strokeweight=".5pt" strokecolor="#231f20">
              <v:stroke dashstyle="solid"/>
            </v:line>
            <v:line style="position:absolute" from="9583,-659" to="10500,-659" stroked="true" strokeweight=".5pt" strokecolor="#231f20">
              <v:stroke dashstyle="solid"/>
            </v:line>
            <v:line style="position:absolute" from="7349,-339" to="8266,-339" stroked="true" strokeweight=".5pt" strokecolor="#231f20">
              <v:stroke dashstyle="solid"/>
            </v:line>
            <v:line style="position:absolute" from="8466,-339" to="9383,-339" stroked="true" strokeweight=".5pt" strokecolor="#231f20">
              <v:stroke dashstyle="solid"/>
            </v:line>
            <v:line style="position:absolute" from="9583,-339" to="10500,-339" stroked="true" strokeweight=".5pt" strokecolor="#231f20">
              <v:stroke dashstyle="solid"/>
            </v:line>
            <w10:wrap type="none"/>
          </v:group>
        </w:pict>
      </w:r>
      <w:r>
        <w:rPr>
          <w:color w:val="231F20"/>
        </w:rPr>
        <w:t>(a) See Note 6 for further information related to the convertible notes.</w:t>
      </w:r>
    </w:p>
    <w:p>
      <w:pPr>
        <w:pStyle w:val="BodyText"/>
        <w:spacing w:before="5"/>
        <w:rPr>
          <w:sz w:val="21"/>
        </w:rPr>
      </w:pPr>
    </w:p>
    <w:p>
      <w:pPr>
        <w:pStyle w:val="Heading1"/>
        <w:numPr>
          <w:ilvl w:val="0"/>
          <w:numId w:val="13"/>
        </w:numPr>
        <w:tabs>
          <w:tab w:pos="320" w:val="left" w:leader="none"/>
        </w:tabs>
        <w:spacing w:line="240" w:lineRule="auto" w:before="0" w:after="0"/>
        <w:ind w:left="320" w:right="0" w:hanging="220"/>
        <w:jc w:val="both"/>
      </w:pPr>
      <w:r>
        <w:rPr>
          <w:color w:val="231F20"/>
        </w:rPr>
        <w:t>COMMITMENTS AND</w:t>
      </w:r>
      <w:r>
        <w:rPr>
          <w:color w:val="231F20"/>
          <w:spacing w:val="1"/>
        </w:rPr>
        <w:t> </w:t>
      </w:r>
      <w:r>
        <w:rPr>
          <w:color w:val="231F20"/>
        </w:rPr>
        <w:t>CONTINGENCIES</w:t>
      </w:r>
    </w:p>
    <w:p>
      <w:pPr>
        <w:pStyle w:val="BodyText"/>
        <w:spacing w:before="4"/>
        <w:rPr>
          <w:b/>
          <w:sz w:val="21"/>
        </w:rPr>
      </w:pPr>
    </w:p>
    <w:p>
      <w:pPr>
        <w:pStyle w:val="Heading2"/>
        <w:spacing w:before="1"/>
        <w:ind w:left="100"/>
        <w:jc w:val="both"/>
        <w:rPr>
          <w:i/>
        </w:rPr>
      </w:pPr>
      <w:r>
        <w:rPr>
          <w:i/>
          <w:color w:val="231F20"/>
        </w:rPr>
        <w:t>Commitments</w:t>
      </w:r>
    </w:p>
    <w:p>
      <w:pPr>
        <w:pStyle w:val="BodyText"/>
        <w:spacing w:before="5"/>
        <w:rPr>
          <w:b/>
          <w:i/>
          <w:sz w:val="21"/>
        </w:rPr>
      </w:pPr>
    </w:p>
    <w:p>
      <w:pPr>
        <w:pStyle w:val="BodyText"/>
        <w:spacing w:line="247" w:lineRule="auto"/>
        <w:ind w:left="100" w:right="117"/>
        <w:jc w:val="both"/>
      </w:pPr>
      <w:r>
        <w:rPr>
          <w:color w:val="231F20"/>
        </w:rPr>
        <w:t>The Company has contractual obligations and commitments primarily with regard to future purchases of aircraft, repayment of debt (see Note 6), and lease arrangements (see Note 7). During the year ended December 31, 2016, the Company purchased 38 new 737-800 aircraft from Boeing and acquired 23 used  737-700  aircraft from third parties  under  capital  leases.  In addition, the  Company retired from</w:t>
      </w:r>
    </w:p>
    <w:p>
      <w:pPr>
        <w:spacing w:after="0" w:line="247" w:lineRule="auto"/>
        <w:jc w:val="both"/>
        <w:sectPr>
          <w:pgSz w:w="11880" w:h="15480"/>
          <w:pgMar w:header="0" w:footer="1240" w:top="1240" w:bottom="1420" w:left="1280" w:right="1260"/>
        </w:sectPr>
      </w:pPr>
    </w:p>
    <w:p>
      <w:pPr>
        <w:pStyle w:val="BodyText"/>
        <w:spacing w:line="247" w:lineRule="auto" w:before="74"/>
        <w:ind w:left="100" w:right="171"/>
      </w:pPr>
      <w:r>
        <w:rPr>
          <w:color w:val="231F20"/>
        </w:rPr>
        <w:t>service 42 of its older aircraft (31 737-300 and 11 737-500). As of December 31, 2016, the Company had firm deliveries and options for Boeing 737-700, 737-800, 737-7, and 737-8 aircraft as follows:</w:t>
      </w:r>
    </w:p>
    <w:p>
      <w:pPr>
        <w:spacing w:before="180"/>
        <w:ind w:left="152" w:right="1244" w:firstLine="0"/>
        <w:jc w:val="center"/>
        <w:rPr>
          <w:b/>
          <w:sz w:val="20"/>
        </w:rPr>
      </w:pPr>
      <w:r>
        <w:rPr/>
        <w:pict>
          <v:line style="position:absolute;mso-position-horizontal-relative:page;mso-position-vertical-relative:paragraph;z-index:3928" from="139.300003pt,21.835913pt" to="401.000003pt,21.835913pt" stroked="true" strokeweight="1pt" strokecolor="#231f20">
            <v:stroke dashstyle="solid"/>
            <w10:wrap type="none"/>
          </v:line>
        </w:pict>
      </w:r>
      <w:r>
        <w:rPr>
          <w:b/>
          <w:color w:val="231F20"/>
          <w:sz w:val="20"/>
        </w:rPr>
        <w:t>The Boeing Company</w:t>
      </w:r>
    </w:p>
    <w:p>
      <w:pPr>
        <w:spacing w:after="0"/>
        <w:jc w:val="center"/>
        <w:rPr>
          <w:sz w:val="20"/>
        </w:rPr>
        <w:sectPr>
          <w:pgSz w:w="11880" w:h="15480"/>
          <w:pgMar w:header="0" w:footer="1240" w:top="1240" w:bottom="1420" w:left="1280" w:right="1260"/>
        </w:sectPr>
      </w:pPr>
    </w:p>
    <w:p>
      <w:pPr>
        <w:spacing w:line="215" w:lineRule="exact" w:before="49"/>
        <w:ind w:left="0" w:right="120" w:firstLine="0"/>
        <w:jc w:val="right"/>
        <w:rPr>
          <w:b/>
          <w:sz w:val="20"/>
        </w:rPr>
      </w:pPr>
      <w:r>
        <w:rPr>
          <w:b/>
          <w:color w:val="231F20"/>
          <w:sz w:val="20"/>
        </w:rPr>
        <w:t>-800</w:t>
      </w:r>
    </w:p>
    <w:p>
      <w:pPr>
        <w:spacing w:line="200" w:lineRule="exact" w:before="11"/>
        <w:ind w:left="1506" w:right="-19" w:firstLine="89"/>
        <w:jc w:val="left"/>
        <w:rPr>
          <w:b/>
          <w:sz w:val="20"/>
        </w:rPr>
      </w:pPr>
      <w:r>
        <w:rPr>
          <w:b/>
          <w:color w:val="231F20"/>
          <w:sz w:val="20"/>
        </w:rPr>
        <w:t>Firm Orders</w:t>
      </w:r>
    </w:p>
    <w:p>
      <w:pPr>
        <w:pStyle w:val="BodyText"/>
        <w:spacing w:before="7"/>
        <w:rPr>
          <w:b/>
          <w:sz w:val="21"/>
        </w:rPr>
      </w:pPr>
      <w:r>
        <w:rPr/>
        <w:br w:type="column"/>
      </w:r>
      <w:r>
        <w:rPr>
          <w:b/>
          <w:sz w:val="21"/>
        </w:rPr>
      </w:r>
    </w:p>
    <w:p>
      <w:pPr>
        <w:spacing w:line="215" w:lineRule="exact" w:before="0"/>
        <w:ind w:left="361" w:right="0" w:firstLine="0"/>
        <w:jc w:val="center"/>
        <w:rPr>
          <w:b/>
          <w:sz w:val="20"/>
        </w:rPr>
      </w:pPr>
      <w:r>
        <w:rPr>
          <w:b/>
          <w:color w:val="231F20"/>
          <w:sz w:val="20"/>
        </w:rPr>
        <w:t>-800</w:t>
      </w:r>
    </w:p>
    <w:p>
      <w:pPr>
        <w:spacing w:line="215" w:lineRule="exact" w:before="0"/>
        <w:ind w:left="360" w:right="0" w:firstLine="0"/>
        <w:jc w:val="center"/>
        <w:rPr>
          <w:b/>
          <w:sz w:val="20"/>
        </w:rPr>
      </w:pPr>
      <w:r>
        <w:rPr>
          <w:b/>
          <w:color w:val="231F20"/>
          <w:sz w:val="20"/>
        </w:rPr>
        <w:t>Options</w:t>
      </w:r>
    </w:p>
    <w:p>
      <w:pPr>
        <w:spacing w:line="215" w:lineRule="exact" w:before="49"/>
        <w:ind w:left="588" w:right="202" w:firstLine="0"/>
        <w:jc w:val="center"/>
        <w:rPr>
          <w:b/>
          <w:sz w:val="20"/>
        </w:rPr>
      </w:pPr>
      <w:r>
        <w:rPr/>
        <w:br w:type="column"/>
      </w:r>
      <w:r>
        <w:rPr>
          <w:b/>
          <w:color w:val="231F20"/>
          <w:sz w:val="20"/>
        </w:rPr>
        <w:t>-7</w:t>
      </w:r>
    </w:p>
    <w:p>
      <w:pPr>
        <w:spacing w:line="200" w:lineRule="exact" w:before="11"/>
        <w:ind w:left="386" w:right="0" w:hanging="50"/>
        <w:jc w:val="center"/>
        <w:rPr>
          <w:b/>
          <w:sz w:val="20"/>
        </w:rPr>
      </w:pPr>
      <w:r>
        <w:rPr>
          <w:b/>
          <w:color w:val="231F20"/>
          <w:sz w:val="20"/>
        </w:rPr>
        <w:t>Firm Orders</w:t>
      </w:r>
    </w:p>
    <w:p>
      <w:pPr>
        <w:spacing w:line="215" w:lineRule="exact" w:before="49"/>
        <w:ind w:left="399" w:right="0" w:firstLine="0"/>
        <w:jc w:val="center"/>
        <w:rPr>
          <w:b/>
          <w:sz w:val="20"/>
        </w:rPr>
      </w:pPr>
      <w:r>
        <w:rPr/>
        <w:br w:type="column"/>
      </w:r>
      <w:r>
        <w:rPr>
          <w:b/>
          <w:color w:val="231F20"/>
          <w:sz w:val="20"/>
        </w:rPr>
        <w:t>-8</w:t>
      </w:r>
    </w:p>
    <w:p>
      <w:pPr>
        <w:spacing w:line="200" w:lineRule="exact" w:before="11"/>
        <w:ind w:left="399" w:right="0" w:hanging="50"/>
        <w:jc w:val="center"/>
        <w:rPr>
          <w:b/>
          <w:sz w:val="20"/>
        </w:rPr>
      </w:pPr>
      <w:r>
        <w:rPr>
          <w:b/>
          <w:color w:val="231F20"/>
          <w:sz w:val="20"/>
        </w:rPr>
        <w:t>Firm Orders</w:t>
      </w:r>
    </w:p>
    <w:p>
      <w:pPr>
        <w:pStyle w:val="BodyText"/>
        <w:spacing w:before="7"/>
        <w:rPr>
          <w:b/>
          <w:sz w:val="21"/>
        </w:rPr>
      </w:pPr>
      <w:r>
        <w:rPr/>
        <w:br w:type="column"/>
      </w:r>
      <w:r>
        <w:rPr>
          <w:b/>
          <w:sz w:val="21"/>
        </w:rPr>
      </w:r>
    </w:p>
    <w:p>
      <w:pPr>
        <w:spacing w:line="215" w:lineRule="exact" w:before="0"/>
        <w:ind w:left="555" w:right="0" w:firstLine="0"/>
        <w:jc w:val="center"/>
        <w:rPr>
          <w:b/>
          <w:sz w:val="20"/>
        </w:rPr>
      </w:pPr>
      <w:r>
        <w:rPr>
          <w:b/>
          <w:color w:val="231F20"/>
          <w:sz w:val="20"/>
        </w:rPr>
        <w:t>-8</w:t>
      </w:r>
    </w:p>
    <w:p>
      <w:pPr>
        <w:spacing w:line="215" w:lineRule="exact" w:before="0"/>
        <w:ind w:left="554" w:right="0" w:firstLine="0"/>
        <w:jc w:val="center"/>
        <w:rPr>
          <w:b/>
          <w:sz w:val="20"/>
        </w:rPr>
      </w:pPr>
      <w:r>
        <w:rPr>
          <w:b/>
          <w:color w:val="231F20"/>
          <w:sz w:val="20"/>
        </w:rPr>
        <w:t>Options</w:t>
      </w:r>
    </w:p>
    <w:p>
      <w:pPr>
        <w:pStyle w:val="BodyText"/>
        <w:spacing w:before="7"/>
        <w:rPr>
          <w:b/>
          <w:sz w:val="21"/>
        </w:rPr>
      </w:pPr>
      <w:r>
        <w:rPr/>
        <w:br w:type="column"/>
      </w:r>
      <w:r>
        <w:rPr>
          <w:b/>
          <w:sz w:val="21"/>
        </w:rPr>
      </w:r>
    </w:p>
    <w:p>
      <w:pPr>
        <w:spacing w:line="215" w:lineRule="exact" w:before="0"/>
        <w:ind w:left="405" w:right="0" w:firstLine="0"/>
        <w:jc w:val="left"/>
        <w:rPr>
          <w:b/>
          <w:sz w:val="20"/>
        </w:rPr>
      </w:pPr>
      <w:r>
        <w:rPr>
          <w:b/>
          <w:color w:val="231F20"/>
          <w:sz w:val="20"/>
        </w:rPr>
        <w:t>Additional</w:t>
      </w:r>
    </w:p>
    <w:p>
      <w:pPr>
        <w:tabs>
          <w:tab w:pos="1823" w:val="left" w:leader="none"/>
        </w:tabs>
        <w:spacing w:line="215" w:lineRule="exact" w:before="0"/>
        <w:ind w:left="638" w:right="0" w:firstLine="0"/>
        <w:jc w:val="left"/>
        <w:rPr>
          <w:b/>
          <w:sz w:val="20"/>
        </w:rPr>
      </w:pPr>
      <w:r>
        <w:rPr>
          <w:b/>
          <w:color w:val="231F20"/>
          <w:sz w:val="20"/>
        </w:rPr>
        <w:t>-700s</w:t>
        <w:tab/>
        <w:t>Total</w:t>
      </w:r>
    </w:p>
    <w:p>
      <w:pPr>
        <w:spacing w:after="0" w:line="215" w:lineRule="exact"/>
        <w:jc w:val="left"/>
        <w:rPr>
          <w:sz w:val="20"/>
        </w:rPr>
        <w:sectPr>
          <w:type w:val="continuous"/>
          <w:pgSz w:w="11880" w:h="15480"/>
          <w:pgMar w:top="1260" w:bottom="280" w:left="1280" w:right="1260"/>
          <w:cols w:num="6" w:equalWidth="0">
            <w:col w:w="2118" w:space="40"/>
            <w:col w:w="1040" w:space="40"/>
            <w:col w:w="998" w:space="40"/>
            <w:col w:w="1012" w:space="40"/>
            <w:col w:w="1234" w:space="40"/>
            <w:col w:w="2738"/>
          </w:cols>
        </w:sectPr>
      </w:pPr>
    </w:p>
    <w:p>
      <w:pPr>
        <w:pStyle w:val="BodyText"/>
        <w:spacing w:before="9"/>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06"/>
        <w:gridCol w:w="1152"/>
        <w:gridCol w:w="1225"/>
        <w:gridCol w:w="859"/>
        <w:gridCol w:w="1412"/>
        <w:gridCol w:w="1105"/>
        <w:gridCol w:w="1263"/>
        <w:gridCol w:w="696"/>
      </w:tblGrid>
      <w:tr>
        <w:trPr>
          <w:trHeight w:val="305" w:hRule="exact"/>
        </w:trPr>
        <w:tc>
          <w:tcPr>
            <w:tcW w:w="1406" w:type="dxa"/>
            <w:shd w:val="clear" w:color="auto" w:fill="D1D3D4"/>
          </w:tcPr>
          <w:p>
            <w:pPr>
              <w:pStyle w:val="TableParagraph"/>
              <w:spacing w:before="58"/>
              <w:rPr>
                <w:sz w:val="20"/>
              </w:rPr>
            </w:pPr>
            <w:r>
              <w:rPr>
                <w:color w:val="231F20"/>
                <w:sz w:val="20"/>
              </w:rPr>
              <w:t>2017</w:t>
            </w:r>
          </w:p>
        </w:tc>
        <w:tc>
          <w:tcPr>
            <w:tcW w:w="1152" w:type="dxa"/>
            <w:tcBorders>
              <w:top w:val="single" w:sz="4" w:space="0" w:color="231F20"/>
            </w:tcBorders>
            <w:shd w:val="clear" w:color="auto" w:fill="D1D3D4"/>
          </w:tcPr>
          <w:p>
            <w:pPr>
              <w:pStyle w:val="TableParagraph"/>
              <w:ind w:left="412"/>
              <w:rPr>
                <w:sz w:val="20"/>
              </w:rPr>
            </w:pPr>
            <w:r>
              <w:rPr>
                <w:color w:val="231F20"/>
                <w:sz w:val="20"/>
              </w:rPr>
              <w:t>39</w:t>
            </w:r>
          </w:p>
        </w:tc>
        <w:tc>
          <w:tcPr>
            <w:tcW w:w="1225" w:type="dxa"/>
            <w:tcBorders>
              <w:top w:val="single" w:sz="4" w:space="0" w:color="231F20"/>
            </w:tcBorders>
            <w:shd w:val="clear" w:color="auto" w:fill="D1D3D4"/>
          </w:tcPr>
          <w:p>
            <w:pPr>
              <w:pStyle w:val="TableParagraph"/>
              <w:ind w:left="540"/>
              <w:rPr>
                <w:sz w:val="20"/>
              </w:rPr>
            </w:pPr>
            <w:r>
              <w:rPr>
                <w:color w:val="231F20"/>
                <w:sz w:val="20"/>
              </w:rPr>
              <w:t>—</w:t>
            </w:r>
          </w:p>
        </w:tc>
        <w:tc>
          <w:tcPr>
            <w:tcW w:w="859" w:type="dxa"/>
            <w:tcBorders>
              <w:top w:val="single" w:sz="4" w:space="0" w:color="231F20"/>
            </w:tcBorders>
            <w:shd w:val="clear" w:color="auto" w:fill="D1D3D4"/>
          </w:tcPr>
          <w:p>
            <w:pPr>
              <w:pStyle w:val="TableParagraph"/>
              <w:ind w:left="176"/>
              <w:rPr>
                <w:sz w:val="20"/>
              </w:rPr>
            </w:pPr>
            <w:r>
              <w:rPr>
                <w:color w:val="231F20"/>
                <w:sz w:val="20"/>
              </w:rPr>
              <w:t>—</w:t>
            </w:r>
          </w:p>
        </w:tc>
        <w:tc>
          <w:tcPr>
            <w:tcW w:w="1412" w:type="dxa"/>
            <w:tcBorders>
              <w:top w:val="single" w:sz="4" w:space="0" w:color="231F20"/>
            </w:tcBorders>
            <w:shd w:val="clear" w:color="auto" w:fill="D1D3D4"/>
          </w:tcPr>
          <w:p>
            <w:pPr>
              <w:pStyle w:val="TableParagraph"/>
              <w:ind w:left="507"/>
              <w:rPr>
                <w:sz w:val="20"/>
              </w:rPr>
            </w:pPr>
            <w:r>
              <w:rPr>
                <w:color w:val="231F20"/>
                <w:sz w:val="20"/>
              </w:rPr>
              <w:t>14</w:t>
            </w:r>
          </w:p>
        </w:tc>
        <w:tc>
          <w:tcPr>
            <w:tcW w:w="1105" w:type="dxa"/>
            <w:tcBorders>
              <w:top w:val="single" w:sz="4" w:space="0" w:color="231F20"/>
            </w:tcBorders>
            <w:shd w:val="clear" w:color="auto" w:fill="D1D3D4"/>
          </w:tcPr>
          <w:p>
            <w:pPr>
              <w:pStyle w:val="TableParagraph"/>
              <w:ind w:left="335"/>
              <w:rPr>
                <w:sz w:val="20"/>
              </w:rPr>
            </w:pPr>
            <w:r>
              <w:rPr>
                <w:color w:val="231F20"/>
                <w:sz w:val="20"/>
              </w:rPr>
              <w:t>—</w:t>
            </w:r>
          </w:p>
        </w:tc>
        <w:tc>
          <w:tcPr>
            <w:tcW w:w="1263" w:type="dxa"/>
            <w:tcBorders>
              <w:top w:val="single" w:sz="4" w:space="0" w:color="231F20"/>
            </w:tcBorders>
            <w:shd w:val="clear" w:color="auto" w:fill="D1D3D4"/>
          </w:tcPr>
          <w:p>
            <w:pPr>
              <w:pStyle w:val="TableParagraph"/>
              <w:ind w:left="520"/>
              <w:rPr>
                <w:sz w:val="20"/>
              </w:rPr>
            </w:pPr>
            <w:r>
              <w:rPr>
                <w:color w:val="231F20"/>
                <w:sz w:val="20"/>
              </w:rPr>
              <w:t>14</w:t>
            </w:r>
          </w:p>
        </w:tc>
        <w:tc>
          <w:tcPr>
            <w:tcW w:w="696" w:type="dxa"/>
            <w:tcBorders>
              <w:top w:val="single" w:sz="4" w:space="0" w:color="231F20"/>
            </w:tcBorders>
            <w:shd w:val="clear" w:color="auto" w:fill="D1D3D4"/>
          </w:tcPr>
          <w:p>
            <w:pPr>
              <w:pStyle w:val="TableParagraph"/>
              <w:ind w:right="199"/>
              <w:jc w:val="right"/>
              <w:rPr>
                <w:sz w:val="20"/>
              </w:rPr>
            </w:pPr>
            <w:r>
              <w:rPr>
                <w:color w:val="231F20"/>
                <w:sz w:val="20"/>
              </w:rPr>
              <w:t>67</w:t>
            </w:r>
          </w:p>
        </w:tc>
      </w:tr>
      <w:tr>
        <w:trPr>
          <w:trHeight w:val="300" w:hRule="exact"/>
        </w:trPr>
        <w:tc>
          <w:tcPr>
            <w:tcW w:w="1406" w:type="dxa"/>
          </w:tcPr>
          <w:p>
            <w:pPr>
              <w:pStyle w:val="TableParagraph"/>
              <w:rPr>
                <w:sz w:val="20"/>
              </w:rPr>
            </w:pPr>
            <w:r>
              <w:rPr>
                <w:color w:val="231F20"/>
                <w:sz w:val="20"/>
              </w:rPr>
              <w:t>2018</w:t>
            </w:r>
          </w:p>
        </w:tc>
        <w:tc>
          <w:tcPr>
            <w:tcW w:w="1152" w:type="dxa"/>
          </w:tcPr>
          <w:p>
            <w:pPr>
              <w:pStyle w:val="TableParagraph"/>
              <w:ind w:left="412"/>
              <w:rPr>
                <w:sz w:val="20"/>
              </w:rPr>
            </w:pPr>
            <w:r>
              <w:rPr>
                <w:color w:val="231F20"/>
                <w:sz w:val="20"/>
              </w:rPr>
              <w:t>21</w:t>
            </w:r>
          </w:p>
        </w:tc>
        <w:tc>
          <w:tcPr>
            <w:tcW w:w="1225" w:type="dxa"/>
          </w:tcPr>
          <w:p>
            <w:pPr>
              <w:pStyle w:val="TableParagraph"/>
              <w:ind w:left="54"/>
              <w:jc w:val="center"/>
              <w:rPr>
                <w:sz w:val="20"/>
              </w:rPr>
            </w:pPr>
            <w:r>
              <w:rPr>
                <w:color w:val="231F20"/>
                <w:sz w:val="20"/>
              </w:rPr>
              <w:t>9</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13</w:t>
            </w:r>
          </w:p>
        </w:tc>
        <w:tc>
          <w:tcPr>
            <w:tcW w:w="1105" w:type="dxa"/>
          </w:tcPr>
          <w:p>
            <w:pPr>
              <w:pStyle w:val="TableParagraph"/>
              <w:ind w:left="335"/>
              <w:rPr>
                <w:sz w:val="20"/>
              </w:rPr>
            </w:pPr>
            <w:r>
              <w:rPr>
                <w:color w:val="231F20"/>
                <w:sz w:val="20"/>
              </w:rPr>
              <w:t>—</w:t>
            </w:r>
          </w:p>
        </w:tc>
        <w:tc>
          <w:tcPr>
            <w:tcW w:w="1263" w:type="dxa"/>
          </w:tcPr>
          <w:p>
            <w:pPr>
              <w:pStyle w:val="TableParagraph"/>
              <w:ind w:left="570"/>
              <w:rPr>
                <w:sz w:val="20"/>
              </w:rPr>
            </w:pPr>
            <w:r>
              <w:rPr>
                <w:color w:val="231F20"/>
                <w:sz w:val="20"/>
              </w:rPr>
              <w:t>4</w:t>
            </w:r>
          </w:p>
        </w:tc>
        <w:tc>
          <w:tcPr>
            <w:tcW w:w="696" w:type="dxa"/>
          </w:tcPr>
          <w:p>
            <w:pPr>
              <w:pStyle w:val="TableParagraph"/>
              <w:ind w:right="199"/>
              <w:jc w:val="right"/>
              <w:rPr>
                <w:sz w:val="20"/>
              </w:rPr>
            </w:pPr>
            <w:r>
              <w:rPr>
                <w:color w:val="231F20"/>
                <w:sz w:val="20"/>
              </w:rPr>
              <w:t>47</w:t>
            </w:r>
          </w:p>
        </w:tc>
      </w:tr>
      <w:tr>
        <w:trPr>
          <w:trHeight w:val="300" w:hRule="exact"/>
        </w:trPr>
        <w:tc>
          <w:tcPr>
            <w:tcW w:w="1406" w:type="dxa"/>
            <w:shd w:val="clear" w:color="auto" w:fill="D1D3D4"/>
          </w:tcPr>
          <w:p>
            <w:pPr>
              <w:pStyle w:val="TableParagraph"/>
              <w:rPr>
                <w:sz w:val="20"/>
              </w:rPr>
            </w:pPr>
            <w:r>
              <w:rPr>
                <w:color w:val="231F20"/>
                <w:sz w:val="20"/>
              </w:rPr>
              <w:t>2019</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176"/>
              <w:rPr>
                <w:sz w:val="20"/>
              </w:rPr>
            </w:pPr>
            <w:r>
              <w:rPr>
                <w:color w:val="231F20"/>
                <w:sz w:val="20"/>
              </w:rPr>
              <w:t>15</w:t>
            </w:r>
          </w:p>
        </w:tc>
        <w:tc>
          <w:tcPr>
            <w:tcW w:w="1412" w:type="dxa"/>
            <w:shd w:val="clear" w:color="auto" w:fill="D1D3D4"/>
          </w:tcPr>
          <w:p>
            <w:pPr>
              <w:pStyle w:val="TableParagraph"/>
              <w:ind w:left="507"/>
              <w:rPr>
                <w:sz w:val="20"/>
              </w:rPr>
            </w:pPr>
            <w:r>
              <w:rPr>
                <w:color w:val="231F20"/>
                <w:sz w:val="20"/>
              </w:rPr>
              <w:t>—</w:t>
            </w:r>
          </w:p>
        </w:tc>
        <w:tc>
          <w:tcPr>
            <w:tcW w:w="1105" w:type="dxa"/>
            <w:shd w:val="clear" w:color="auto" w:fill="D1D3D4"/>
          </w:tcPr>
          <w:p>
            <w:pPr>
              <w:pStyle w:val="TableParagraph"/>
              <w:ind w:left="385"/>
              <w:rPr>
                <w:sz w:val="20"/>
              </w:rPr>
            </w:pPr>
            <w:r>
              <w:rPr>
                <w:color w:val="231F20"/>
                <w:sz w:val="20"/>
              </w:rPr>
              <w:t>5</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20</w:t>
            </w:r>
          </w:p>
        </w:tc>
      </w:tr>
      <w:tr>
        <w:trPr>
          <w:trHeight w:val="300" w:hRule="exact"/>
        </w:trPr>
        <w:tc>
          <w:tcPr>
            <w:tcW w:w="1406" w:type="dxa"/>
          </w:tcPr>
          <w:p>
            <w:pPr>
              <w:pStyle w:val="TableParagraph"/>
              <w:rPr>
                <w:sz w:val="20"/>
              </w:rPr>
            </w:pPr>
            <w:r>
              <w:rPr>
                <w:color w:val="231F20"/>
                <w:sz w:val="20"/>
              </w:rPr>
              <w:t>2020</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14</w:t>
            </w:r>
          </w:p>
        </w:tc>
        <w:tc>
          <w:tcPr>
            <w:tcW w:w="1412" w:type="dxa"/>
          </w:tcPr>
          <w:p>
            <w:pPr>
              <w:pStyle w:val="TableParagraph"/>
              <w:ind w:left="507"/>
              <w:rPr>
                <w:sz w:val="20"/>
              </w:rPr>
            </w:pPr>
            <w:r>
              <w:rPr>
                <w:color w:val="231F20"/>
                <w:sz w:val="20"/>
              </w:rPr>
              <w:t>—</w:t>
            </w:r>
          </w:p>
        </w:tc>
        <w:tc>
          <w:tcPr>
            <w:tcW w:w="1105" w:type="dxa"/>
          </w:tcPr>
          <w:p>
            <w:pPr>
              <w:pStyle w:val="TableParagraph"/>
              <w:ind w:left="385"/>
              <w:rPr>
                <w:sz w:val="20"/>
              </w:rPr>
            </w:pPr>
            <w:r>
              <w:rPr>
                <w:color w:val="231F20"/>
                <w:sz w:val="20"/>
              </w:rPr>
              <w:t>8</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22</w:t>
            </w:r>
          </w:p>
        </w:tc>
      </w:tr>
      <w:tr>
        <w:trPr>
          <w:trHeight w:val="300" w:hRule="exact"/>
        </w:trPr>
        <w:tc>
          <w:tcPr>
            <w:tcW w:w="1406" w:type="dxa"/>
            <w:shd w:val="clear" w:color="auto" w:fill="D1D3D4"/>
          </w:tcPr>
          <w:p>
            <w:pPr>
              <w:pStyle w:val="TableParagraph"/>
              <w:rPr>
                <w:sz w:val="20"/>
              </w:rPr>
            </w:pPr>
            <w:r>
              <w:rPr>
                <w:color w:val="231F20"/>
                <w:sz w:val="20"/>
              </w:rPr>
              <w:t>2021</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226"/>
              <w:rPr>
                <w:sz w:val="20"/>
              </w:rPr>
            </w:pPr>
            <w:r>
              <w:rPr>
                <w:color w:val="231F20"/>
                <w:sz w:val="20"/>
              </w:rPr>
              <w:t>1</w:t>
            </w:r>
          </w:p>
        </w:tc>
        <w:tc>
          <w:tcPr>
            <w:tcW w:w="1412" w:type="dxa"/>
            <w:shd w:val="clear" w:color="auto" w:fill="D1D3D4"/>
          </w:tcPr>
          <w:p>
            <w:pPr>
              <w:pStyle w:val="TableParagraph"/>
              <w:ind w:left="507"/>
              <w:rPr>
                <w:sz w:val="20"/>
              </w:rPr>
            </w:pPr>
            <w:r>
              <w:rPr>
                <w:color w:val="231F20"/>
                <w:sz w:val="20"/>
              </w:rPr>
              <w:t>13</w:t>
            </w:r>
          </w:p>
        </w:tc>
        <w:tc>
          <w:tcPr>
            <w:tcW w:w="1105" w:type="dxa"/>
            <w:shd w:val="clear" w:color="auto" w:fill="D1D3D4"/>
          </w:tcPr>
          <w:p>
            <w:pPr>
              <w:pStyle w:val="TableParagraph"/>
              <w:ind w:left="335"/>
              <w:rPr>
                <w:sz w:val="20"/>
              </w:rPr>
            </w:pPr>
            <w:r>
              <w:rPr>
                <w:color w:val="231F20"/>
                <w:sz w:val="20"/>
              </w:rPr>
              <w:t>18</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32</w:t>
            </w:r>
          </w:p>
        </w:tc>
      </w:tr>
      <w:tr>
        <w:trPr>
          <w:trHeight w:val="300" w:hRule="exact"/>
        </w:trPr>
        <w:tc>
          <w:tcPr>
            <w:tcW w:w="1406" w:type="dxa"/>
          </w:tcPr>
          <w:p>
            <w:pPr>
              <w:pStyle w:val="TableParagraph"/>
              <w:rPr>
                <w:sz w:val="20"/>
              </w:rPr>
            </w:pPr>
            <w:r>
              <w:rPr>
                <w:color w:val="231F20"/>
                <w:sz w:val="20"/>
              </w:rPr>
              <w:t>2022</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15</w:t>
            </w:r>
          </w:p>
        </w:tc>
        <w:tc>
          <w:tcPr>
            <w:tcW w:w="1105" w:type="dxa"/>
          </w:tcPr>
          <w:p>
            <w:pPr>
              <w:pStyle w:val="TableParagraph"/>
              <w:ind w:left="335"/>
              <w:rPr>
                <w:sz w:val="20"/>
              </w:rPr>
            </w:pPr>
            <w:r>
              <w:rPr>
                <w:color w:val="231F20"/>
                <w:sz w:val="20"/>
              </w:rPr>
              <w:t>19</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34</w:t>
            </w:r>
          </w:p>
        </w:tc>
      </w:tr>
      <w:tr>
        <w:trPr>
          <w:trHeight w:val="300" w:hRule="exact"/>
        </w:trPr>
        <w:tc>
          <w:tcPr>
            <w:tcW w:w="1406" w:type="dxa"/>
            <w:shd w:val="clear" w:color="auto" w:fill="D1D3D4"/>
          </w:tcPr>
          <w:p>
            <w:pPr>
              <w:pStyle w:val="TableParagraph"/>
              <w:rPr>
                <w:sz w:val="20"/>
              </w:rPr>
            </w:pPr>
            <w:r>
              <w:rPr>
                <w:color w:val="231F20"/>
                <w:sz w:val="20"/>
              </w:rPr>
              <w:t>2023</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176"/>
              <w:rPr>
                <w:sz w:val="20"/>
              </w:rPr>
            </w:pPr>
            <w:r>
              <w:rPr>
                <w:color w:val="231F20"/>
                <w:sz w:val="20"/>
              </w:rPr>
              <w:t>—</w:t>
            </w:r>
          </w:p>
        </w:tc>
        <w:tc>
          <w:tcPr>
            <w:tcW w:w="1412" w:type="dxa"/>
            <w:shd w:val="clear" w:color="auto" w:fill="D1D3D4"/>
          </w:tcPr>
          <w:p>
            <w:pPr>
              <w:pStyle w:val="TableParagraph"/>
              <w:ind w:left="507"/>
              <w:rPr>
                <w:sz w:val="20"/>
              </w:rPr>
            </w:pPr>
            <w:r>
              <w:rPr>
                <w:color w:val="231F20"/>
                <w:sz w:val="20"/>
              </w:rPr>
              <w:t>34</w:t>
            </w:r>
          </w:p>
        </w:tc>
        <w:tc>
          <w:tcPr>
            <w:tcW w:w="1105" w:type="dxa"/>
            <w:shd w:val="clear" w:color="auto" w:fill="D1D3D4"/>
          </w:tcPr>
          <w:p>
            <w:pPr>
              <w:pStyle w:val="TableParagraph"/>
              <w:ind w:left="335"/>
              <w:rPr>
                <w:sz w:val="20"/>
              </w:rPr>
            </w:pPr>
            <w:r>
              <w:rPr>
                <w:color w:val="231F20"/>
                <w:sz w:val="20"/>
              </w:rPr>
              <w:t>23</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57</w:t>
            </w:r>
          </w:p>
        </w:tc>
      </w:tr>
      <w:tr>
        <w:trPr>
          <w:trHeight w:val="300" w:hRule="exact"/>
        </w:trPr>
        <w:tc>
          <w:tcPr>
            <w:tcW w:w="1406" w:type="dxa"/>
          </w:tcPr>
          <w:p>
            <w:pPr>
              <w:pStyle w:val="TableParagraph"/>
              <w:rPr>
                <w:sz w:val="20"/>
              </w:rPr>
            </w:pPr>
            <w:r>
              <w:rPr>
                <w:color w:val="231F20"/>
                <w:sz w:val="20"/>
              </w:rPr>
              <w:t>2024</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41</w:t>
            </w:r>
          </w:p>
        </w:tc>
        <w:tc>
          <w:tcPr>
            <w:tcW w:w="1105" w:type="dxa"/>
          </w:tcPr>
          <w:p>
            <w:pPr>
              <w:pStyle w:val="TableParagraph"/>
              <w:ind w:left="335"/>
              <w:rPr>
                <w:sz w:val="20"/>
              </w:rPr>
            </w:pPr>
            <w:r>
              <w:rPr>
                <w:color w:val="231F20"/>
                <w:sz w:val="20"/>
              </w:rPr>
              <w:t>23</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64</w:t>
            </w:r>
          </w:p>
        </w:tc>
      </w:tr>
      <w:tr>
        <w:trPr>
          <w:trHeight w:val="300" w:hRule="exact"/>
        </w:trPr>
        <w:tc>
          <w:tcPr>
            <w:tcW w:w="1406" w:type="dxa"/>
            <w:shd w:val="clear" w:color="auto" w:fill="D1D3D4"/>
          </w:tcPr>
          <w:p>
            <w:pPr>
              <w:pStyle w:val="TableParagraph"/>
              <w:rPr>
                <w:sz w:val="20"/>
              </w:rPr>
            </w:pPr>
            <w:r>
              <w:rPr>
                <w:color w:val="231F20"/>
                <w:sz w:val="20"/>
              </w:rPr>
              <w:t>2025</w:t>
            </w:r>
          </w:p>
        </w:tc>
        <w:tc>
          <w:tcPr>
            <w:tcW w:w="1152" w:type="dxa"/>
            <w:shd w:val="clear" w:color="auto" w:fill="D1D3D4"/>
          </w:tcPr>
          <w:p>
            <w:pPr>
              <w:pStyle w:val="TableParagraph"/>
              <w:ind w:left="412"/>
              <w:rPr>
                <w:sz w:val="20"/>
              </w:rPr>
            </w:pPr>
            <w:r>
              <w:rPr>
                <w:color w:val="231F20"/>
                <w:sz w:val="20"/>
              </w:rPr>
              <w:t>—</w:t>
            </w:r>
          </w:p>
        </w:tc>
        <w:tc>
          <w:tcPr>
            <w:tcW w:w="1225" w:type="dxa"/>
            <w:shd w:val="clear" w:color="auto" w:fill="D1D3D4"/>
          </w:tcPr>
          <w:p>
            <w:pPr>
              <w:pStyle w:val="TableParagraph"/>
              <w:ind w:left="540"/>
              <w:rPr>
                <w:sz w:val="20"/>
              </w:rPr>
            </w:pPr>
            <w:r>
              <w:rPr>
                <w:color w:val="231F20"/>
                <w:sz w:val="20"/>
              </w:rPr>
              <w:t>—</w:t>
            </w:r>
          </w:p>
        </w:tc>
        <w:tc>
          <w:tcPr>
            <w:tcW w:w="859" w:type="dxa"/>
            <w:shd w:val="clear" w:color="auto" w:fill="D1D3D4"/>
          </w:tcPr>
          <w:p>
            <w:pPr>
              <w:pStyle w:val="TableParagraph"/>
              <w:ind w:left="176"/>
              <w:rPr>
                <w:sz w:val="20"/>
              </w:rPr>
            </w:pPr>
            <w:r>
              <w:rPr>
                <w:color w:val="231F20"/>
                <w:sz w:val="20"/>
              </w:rPr>
              <w:t>—</w:t>
            </w:r>
          </w:p>
        </w:tc>
        <w:tc>
          <w:tcPr>
            <w:tcW w:w="1412" w:type="dxa"/>
            <w:shd w:val="clear" w:color="auto" w:fill="D1D3D4"/>
          </w:tcPr>
          <w:p>
            <w:pPr>
              <w:pStyle w:val="TableParagraph"/>
              <w:ind w:left="507"/>
              <w:rPr>
                <w:sz w:val="20"/>
              </w:rPr>
            </w:pPr>
            <w:r>
              <w:rPr>
                <w:color w:val="231F20"/>
                <w:sz w:val="20"/>
              </w:rPr>
              <w:t>40</w:t>
            </w:r>
          </w:p>
        </w:tc>
        <w:tc>
          <w:tcPr>
            <w:tcW w:w="1105" w:type="dxa"/>
            <w:shd w:val="clear" w:color="auto" w:fill="D1D3D4"/>
          </w:tcPr>
          <w:p>
            <w:pPr>
              <w:pStyle w:val="TableParagraph"/>
              <w:ind w:left="335"/>
              <w:rPr>
                <w:sz w:val="20"/>
              </w:rPr>
            </w:pPr>
            <w:r>
              <w:rPr>
                <w:color w:val="231F20"/>
                <w:sz w:val="20"/>
              </w:rPr>
              <w:t>36</w:t>
            </w:r>
          </w:p>
        </w:tc>
        <w:tc>
          <w:tcPr>
            <w:tcW w:w="1263" w:type="dxa"/>
            <w:shd w:val="clear" w:color="auto" w:fill="D1D3D4"/>
          </w:tcPr>
          <w:p>
            <w:pPr>
              <w:pStyle w:val="TableParagraph"/>
              <w:ind w:left="520"/>
              <w:rPr>
                <w:sz w:val="20"/>
              </w:rPr>
            </w:pPr>
            <w:r>
              <w:rPr>
                <w:color w:val="231F20"/>
                <w:sz w:val="20"/>
              </w:rPr>
              <w:t>—</w:t>
            </w:r>
          </w:p>
        </w:tc>
        <w:tc>
          <w:tcPr>
            <w:tcW w:w="696" w:type="dxa"/>
            <w:shd w:val="clear" w:color="auto" w:fill="D1D3D4"/>
          </w:tcPr>
          <w:p>
            <w:pPr>
              <w:pStyle w:val="TableParagraph"/>
              <w:ind w:right="199"/>
              <w:jc w:val="right"/>
              <w:rPr>
                <w:sz w:val="20"/>
              </w:rPr>
            </w:pPr>
            <w:r>
              <w:rPr>
                <w:color w:val="231F20"/>
                <w:sz w:val="20"/>
              </w:rPr>
              <w:t>76</w:t>
            </w:r>
          </w:p>
        </w:tc>
      </w:tr>
      <w:tr>
        <w:trPr>
          <w:trHeight w:val="300" w:hRule="exact"/>
        </w:trPr>
        <w:tc>
          <w:tcPr>
            <w:tcW w:w="1406" w:type="dxa"/>
          </w:tcPr>
          <w:p>
            <w:pPr>
              <w:pStyle w:val="TableParagraph"/>
              <w:rPr>
                <w:sz w:val="20"/>
              </w:rPr>
            </w:pPr>
            <w:r>
              <w:rPr>
                <w:color w:val="231F20"/>
                <w:sz w:val="20"/>
              </w:rPr>
              <w:t>2026</w:t>
            </w:r>
          </w:p>
        </w:tc>
        <w:tc>
          <w:tcPr>
            <w:tcW w:w="1152" w:type="dxa"/>
          </w:tcPr>
          <w:p>
            <w:pPr>
              <w:pStyle w:val="TableParagraph"/>
              <w:ind w:left="412"/>
              <w:rPr>
                <w:sz w:val="20"/>
              </w:rPr>
            </w:pPr>
            <w:r>
              <w:rPr>
                <w:color w:val="231F20"/>
                <w:sz w:val="20"/>
              </w:rPr>
              <w:t>—</w:t>
            </w:r>
          </w:p>
        </w:tc>
        <w:tc>
          <w:tcPr>
            <w:tcW w:w="1225" w:type="dxa"/>
          </w:tcPr>
          <w:p>
            <w:pPr>
              <w:pStyle w:val="TableParagraph"/>
              <w:ind w:left="540"/>
              <w:rPr>
                <w:sz w:val="20"/>
              </w:rPr>
            </w:pPr>
            <w:r>
              <w:rPr>
                <w:color w:val="231F20"/>
                <w:sz w:val="20"/>
              </w:rPr>
              <w:t>—</w:t>
            </w:r>
          </w:p>
        </w:tc>
        <w:tc>
          <w:tcPr>
            <w:tcW w:w="859" w:type="dxa"/>
          </w:tcPr>
          <w:p>
            <w:pPr>
              <w:pStyle w:val="TableParagraph"/>
              <w:ind w:left="176"/>
              <w:rPr>
                <w:sz w:val="20"/>
              </w:rPr>
            </w:pPr>
            <w:r>
              <w:rPr>
                <w:color w:val="231F20"/>
                <w:sz w:val="20"/>
              </w:rPr>
              <w:t>—</w:t>
            </w:r>
          </w:p>
        </w:tc>
        <w:tc>
          <w:tcPr>
            <w:tcW w:w="1412" w:type="dxa"/>
          </w:tcPr>
          <w:p>
            <w:pPr>
              <w:pStyle w:val="TableParagraph"/>
              <w:ind w:left="507"/>
              <w:rPr>
                <w:sz w:val="20"/>
              </w:rPr>
            </w:pPr>
            <w:r>
              <w:rPr>
                <w:color w:val="231F20"/>
                <w:sz w:val="20"/>
              </w:rPr>
              <w:t>—</w:t>
            </w:r>
          </w:p>
        </w:tc>
        <w:tc>
          <w:tcPr>
            <w:tcW w:w="1105" w:type="dxa"/>
          </w:tcPr>
          <w:p>
            <w:pPr>
              <w:pStyle w:val="TableParagraph"/>
              <w:ind w:left="335"/>
              <w:rPr>
                <w:sz w:val="20"/>
              </w:rPr>
            </w:pPr>
            <w:r>
              <w:rPr>
                <w:color w:val="231F20"/>
                <w:sz w:val="20"/>
              </w:rPr>
              <w:t>36</w:t>
            </w:r>
          </w:p>
        </w:tc>
        <w:tc>
          <w:tcPr>
            <w:tcW w:w="1263" w:type="dxa"/>
          </w:tcPr>
          <w:p>
            <w:pPr>
              <w:pStyle w:val="TableParagraph"/>
              <w:ind w:left="520"/>
              <w:rPr>
                <w:sz w:val="20"/>
              </w:rPr>
            </w:pPr>
            <w:r>
              <w:rPr>
                <w:color w:val="231F20"/>
                <w:sz w:val="20"/>
              </w:rPr>
              <w:t>—</w:t>
            </w:r>
          </w:p>
        </w:tc>
        <w:tc>
          <w:tcPr>
            <w:tcW w:w="696" w:type="dxa"/>
          </w:tcPr>
          <w:p>
            <w:pPr>
              <w:pStyle w:val="TableParagraph"/>
              <w:ind w:right="199"/>
              <w:jc w:val="right"/>
              <w:rPr>
                <w:sz w:val="20"/>
              </w:rPr>
            </w:pPr>
            <w:r>
              <w:rPr>
                <w:color w:val="231F20"/>
                <w:sz w:val="20"/>
              </w:rPr>
              <w:t>36</w:t>
            </w:r>
          </w:p>
        </w:tc>
      </w:tr>
      <w:tr>
        <w:trPr>
          <w:trHeight w:val="295" w:hRule="exact"/>
        </w:trPr>
        <w:tc>
          <w:tcPr>
            <w:tcW w:w="1406" w:type="dxa"/>
            <w:shd w:val="clear" w:color="auto" w:fill="D1D3D4"/>
          </w:tcPr>
          <w:p>
            <w:pPr>
              <w:pStyle w:val="TableParagraph"/>
              <w:rPr>
                <w:sz w:val="20"/>
              </w:rPr>
            </w:pPr>
            <w:r>
              <w:rPr>
                <w:color w:val="231F20"/>
                <w:sz w:val="20"/>
              </w:rPr>
              <w:t>2027</w:t>
            </w:r>
          </w:p>
        </w:tc>
        <w:tc>
          <w:tcPr>
            <w:tcW w:w="1152" w:type="dxa"/>
            <w:tcBorders>
              <w:bottom w:val="single" w:sz="4" w:space="0" w:color="231F20"/>
            </w:tcBorders>
            <w:shd w:val="clear" w:color="auto" w:fill="D1D3D4"/>
          </w:tcPr>
          <w:p>
            <w:pPr>
              <w:pStyle w:val="TableParagraph"/>
              <w:ind w:left="412"/>
              <w:rPr>
                <w:sz w:val="20"/>
              </w:rPr>
            </w:pPr>
            <w:r>
              <w:rPr>
                <w:color w:val="231F20"/>
                <w:sz w:val="20"/>
              </w:rPr>
              <w:t>—</w:t>
            </w:r>
          </w:p>
        </w:tc>
        <w:tc>
          <w:tcPr>
            <w:tcW w:w="1225" w:type="dxa"/>
            <w:tcBorders>
              <w:bottom w:val="single" w:sz="4" w:space="0" w:color="231F20"/>
            </w:tcBorders>
            <w:shd w:val="clear" w:color="auto" w:fill="D1D3D4"/>
          </w:tcPr>
          <w:p>
            <w:pPr>
              <w:pStyle w:val="TableParagraph"/>
              <w:ind w:left="540"/>
              <w:rPr>
                <w:sz w:val="20"/>
              </w:rPr>
            </w:pPr>
            <w:r>
              <w:rPr>
                <w:color w:val="231F20"/>
                <w:sz w:val="20"/>
              </w:rPr>
              <w:t>—</w:t>
            </w:r>
          </w:p>
        </w:tc>
        <w:tc>
          <w:tcPr>
            <w:tcW w:w="859" w:type="dxa"/>
            <w:tcBorders>
              <w:bottom w:val="single" w:sz="4" w:space="0" w:color="231F20"/>
            </w:tcBorders>
            <w:shd w:val="clear" w:color="auto" w:fill="D1D3D4"/>
          </w:tcPr>
          <w:p>
            <w:pPr>
              <w:pStyle w:val="TableParagraph"/>
              <w:ind w:left="176"/>
              <w:rPr>
                <w:sz w:val="20"/>
              </w:rPr>
            </w:pPr>
            <w:r>
              <w:rPr>
                <w:color w:val="231F20"/>
                <w:sz w:val="20"/>
              </w:rPr>
              <w:t>—</w:t>
            </w:r>
          </w:p>
        </w:tc>
        <w:tc>
          <w:tcPr>
            <w:tcW w:w="1412" w:type="dxa"/>
            <w:tcBorders>
              <w:bottom w:val="single" w:sz="4" w:space="0" w:color="231F20"/>
            </w:tcBorders>
            <w:shd w:val="clear" w:color="auto" w:fill="D1D3D4"/>
          </w:tcPr>
          <w:p>
            <w:pPr>
              <w:pStyle w:val="TableParagraph"/>
              <w:ind w:left="507"/>
              <w:rPr>
                <w:sz w:val="20"/>
              </w:rPr>
            </w:pPr>
            <w:r>
              <w:rPr>
                <w:color w:val="231F20"/>
                <w:sz w:val="20"/>
              </w:rPr>
              <w:t>—</w:t>
            </w:r>
          </w:p>
        </w:tc>
        <w:tc>
          <w:tcPr>
            <w:tcW w:w="1105" w:type="dxa"/>
            <w:tcBorders>
              <w:bottom w:val="single" w:sz="4" w:space="0" w:color="231F20"/>
            </w:tcBorders>
            <w:shd w:val="clear" w:color="auto" w:fill="D1D3D4"/>
          </w:tcPr>
          <w:p>
            <w:pPr>
              <w:pStyle w:val="TableParagraph"/>
              <w:ind w:left="335"/>
              <w:rPr>
                <w:sz w:val="20"/>
              </w:rPr>
            </w:pPr>
            <w:r>
              <w:rPr>
                <w:color w:val="231F20"/>
                <w:sz w:val="20"/>
              </w:rPr>
              <w:t>23</w:t>
            </w:r>
          </w:p>
        </w:tc>
        <w:tc>
          <w:tcPr>
            <w:tcW w:w="1263" w:type="dxa"/>
            <w:tcBorders>
              <w:bottom w:val="single" w:sz="4" w:space="0" w:color="231F20"/>
            </w:tcBorders>
            <w:shd w:val="clear" w:color="auto" w:fill="D1D3D4"/>
          </w:tcPr>
          <w:p>
            <w:pPr>
              <w:pStyle w:val="TableParagraph"/>
              <w:ind w:left="520"/>
              <w:rPr>
                <w:sz w:val="20"/>
              </w:rPr>
            </w:pPr>
            <w:r>
              <w:rPr>
                <w:color w:val="231F20"/>
                <w:sz w:val="20"/>
              </w:rPr>
              <w:t>—</w:t>
            </w:r>
          </w:p>
        </w:tc>
        <w:tc>
          <w:tcPr>
            <w:tcW w:w="696" w:type="dxa"/>
            <w:tcBorders>
              <w:bottom w:val="single" w:sz="4" w:space="0" w:color="231F20"/>
            </w:tcBorders>
            <w:shd w:val="clear" w:color="auto" w:fill="D1D3D4"/>
          </w:tcPr>
          <w:p>
            <w:pPr>
              <w:pStyle w:val="TableParagraph"/>
              <w:ind w:right="199"/>
              <w:jc w:val="right"/>
              <w:rPr>
                <w:sz w:val="20"/>
              </w:rPr>
            </w:pPr>
            <w:r>
              <w:rPr>
                <w:color w:val="231F20"/>
                <w:sz w:val="20"/>
              </w:rPr>
              <w:t>23</w:t>
            </w:r>
          </w:p>
        </w:tc>
      </w:tr>
      <w:tr>
        <w:trPr>
          <w:trHeight w:val="320" w:hRule="exact"/>
        </w:trPr>
        <w:tc>
          <w:tcPr>
            <w:tcW w:w="1406" w:type="dxa"/>
          </w:tcPr>
          <w:p>
            <w:pPr/>
          </w:p>
        </w:tc>
        <w:tc>
          <w:tcPr>
            <w:tcW w:w="1152" w:type="dxa"/>
            <w:tcBorders>
              <w:top w:val="single" w:sz="4" w:space="0" w:color="231F20"/>
              <w:bottom w:val="double" w:sz="7" w:space="0" w:color="231F20"/>
            </w:tcBorders>
          </w:tcPr>
          <w:p>
            <w:pPr>
              <w:pStyle w:val="TableParagraph"/>
              <w:ind w:left="411"/>
              <w:rPr>
                <w:sz w:val="20"/>
              </w:rPr>
            </w:pPr>
            <w:r>
              <w:rPr>
                <w:color w:val="231F20"/>
                <w:sz w:val="20"/>
              </w:rPr>
              <w:t>60</w:t>
            </w:r>
          </w:p>
        </w:tc>
        <w:tc>
          <w:tcPr>
            <w:tcW w:w="1225" w:type="dxa"/>
            <w:tcBorders>
              <w:top w:val="single" w:sz="4" w:space="0" w:color="231F20"/>
              <w:bottom w:val="double" w:sz="7" w:space="0" w:color="231F20"/>
            </w:tcBorders>
          </w:tcPr>
          <w:p>
            <w:pPr>
              <w:pStyle w:val="TableParagraph"/>
              <w:ind w:left="614"/>
              <w:rPr>
                <w:b/>
                <w:sz w:val="20"/>
              </w:rPr>
            </w:pPr>
            <w:r>
              <w:rPr>
                <w:color w:val="231F20"/>
                <w:sz w:val="20"/>
              </w:rPr>
              <w:t>9  </w:t>
            </w:r>
            <w:r>
              <w:rPr>
                <w:b/>
                <w:color w:val="231F20"/>
                <w:sz w:val="20"/>
              </w:rPr>
              <w:t>(a)</w:t>
            </w:r>
          </w:p>
        </w:tc>
        <w:tc>
          <w:tcPr>
            <w:tcW w:w="859" w:type="dxa"/>
            <w:tcBorders>
              <w:top w:val="single" w:sz="4" w:space="0" w:color="231F20"/>
              <w:bottom w:val="double" w:sz="7" w:space="0" w:color="231F20"/>
            </w:tcBorders>
          </w:tcPr>
          <w:p>
            <w:pPr>
              <w:pStyle w:val="TableParagraph"/>
              <w:ind w:left="176"/>
              <w:rPr>
                <w:sz w:val="20"/>
              </w:rPr>
            </w:pPr>
            <w:r>
              <w:rPr>
                <w:color w:val="231F20"/>
                <w:sz w:val="20"/>
              </w:rPr>
              <w:t>30</w:t>
            </w:r>
          </w:p>
        </w:tc>
        <w:tc>
          <w:tcPr>
            <w:tcW w:w="1412" w:type="dxa"/>
            <w:tcBorders>
              <w:top w:val="single" w:sz="4" w:space="0" w:color="231F20"/>
              <w:bottom w:val="double" w:sz="7" w:space="0" w:color="231F20"/>
            </w:tcBorders>
          </w:tcPr>
          <w:p>
            <w:pPr>
              <w:pStyle w:val="TableParagraph"/>
              <w:ind w:left="482"/>
              <w:rPr>
                <w:b/>
                <w:sz w:val="20"/>
              </w:rPr>
            </w:pPr>
            <w:r>
              <w:rPr>
                <w:color w:val="231F20"/>
                <w:sz w:val="20"/>
              </w:rPr>
              <w:t>170 </w:t>
            </w:r>
            <w:r>
              <w:rPr>
                <w:b/>
                <w:color w:val="231F20"/>
                <w:sz w:val="20"/>
              </w:rPr>
              <w:t>(b)</w:t>
            </w:r>
          </w:p>
        </w:tc>
        <w:tc>
          <w:tcPr>
            <w:tcW w:w="1105" w:type="dxa"/>
            <w:tcBorders>
              <w:top w:val="single" w:sz="4" w:space="0" w:color="231F20"/>
              <w:bottom w:val="double" w:sz="7" w:space="0" w:color="231F20"/>
            </w:tcBorders>
          </w:tcPr>
          <w:p>
            <w:pPr>
              <w:pStyle w:val="TableParagraph"/>
              <w:ind w:left="285"/>
              <w:rPr>
                <w:sz w:val="20"/>
              </w:rPr>
            </w:pPr>
            <w:r>
              <w:rPr>
                <w:color w:val="231F20"/>
                <w:sz w:val="20"/>
              </w:rPr>
              <w:t>191</w:t>
            </w:r>
          </w:p>
        </w:tc>
        <w:tc>
          <w:tcPr>
            <w:tcW w:w="1263" w:type="dxa"/>
            <w:tcBorders>
              <w:top w:val="single" w:sz="4" w:space="0" w:color="231F20"/>
              <w:bottom w:val="double" w:sz="7" w:space="0" w:color="231F20"/>
            </w:tcBorders>
          </w:tcPr>
          <w:p>
            <w:pPr>
              <w:pStyle w:val="TableParagraph"/>
              <w:ind w:left="544"/>
              <w:rPr>
                <w:b/>
                <w:sz w:val="20"/>
              </w:rPr>
            </w:pPr>
            <w:r>
              <w:rPr>
                <w:color w:val="231F20"/>
                <w:sz w:val="20"/>
              </w:rPr>
              <w:t>18  </w:t>
            </w:r>
            <w:r>
              <w:rPr>
                <w:b/>
                <w:color w:val="231F20"/>
                <w:sz w:val="20"/>
              </w:rPr>
              <w:t>(c)</w:t>
            </w:r>
          </w:p>
        </w:tc>
        <w:tc>
          <w:tcPr>
            <w:tcW w:w="696" w:type="dxa"/>
            <w:tcBorders>
              <w:top w:val="single" w:sz="4" w:space="0" w:color="231F20"/>
              <w:bottom w:val="double" w:sz="7" w:space="0" w:color="231F20"/>
            </w:tcBorders>
          </w:tcPr>
          <w:p>
            <w:pPr>
              <w:pStyle w:val="TableParagraph"/>
              <w:ind w:right="199"/>
              <w:jc w:val="right"/>
              <w:rPr>
                <w:sz w:val="20"/>
              </w:rPr>
            </w:pPr>
            <w:r>
              <w:rPr>
                <w:color w:val="231F20"/>
                <w:sz w:val="20"/>
              </w:rPr>
              <w:t>478</w:t>
            </w:r>
          </w:p>
        </w:tc>
      </w:tr>
    </w:tbl>
    <w:p>
      <w:pPr>
        <w:pStyle w:val="BodyText"/>
        <w:spacing w:before="11"/>
        <w:rPr>
          <w:b/>
          <w:sz w:val="13"/>
        </w:rPr>
      </w:pPr>
    </w:p>
    <w:p>
      <w:pPr>
        <w:pStyle w:val="ListParagraph"/>
        <w:numPr>
          <w:ilvl w:val="0"/>
          <w:numId w:val="15"/>
        </w:numPr>
        <w:tabs>
          <w:tab w:pos="399" w:val="left" w:leader="none"/>
        </w:tabs>
        <w:spacing w:line="240" w:lineRule="auto" w:before="92" w:after="0"/>
        <w:ind w:left="399" w:right="0" w:hanging="299"/>
        <w:jc w:val="both"/>
        <w:rPr>
          <w:sz w:val="22"/>
        </w:rPr>
      </w:pPr>
      <w:r>
        <w:rPr>
          <w:color w:val="231F20"/>
          <w:sz w:val="22"/>
        </w:rPr>
        <w:t>Includes two -800 options exercised in January</w:t>
      </w:r>
      <w:r>
        <w:rPr>
          <w:color w:val="231F20"/>
          <w:spacing w:val="-1"/>
          <w:sz w:val="22"/>
        </w:rPr>
        <w:t> </w:t>
      </w:r>
      <w:r>
        <w:rPr>
          <w:color w:val="231F20"/>
          <w:sz w:val="22"/>
        </w:rPr>
        <w:t>2017.</w:t>
      </w:r>
    </w:p>
    <w:p>
      <w:pPr>
        <w:pStyle w:val="ListParagraph"/>
        <w:numPr>
          <w:ilvl w:val="0"/>
          <w:numId w:val="15"/>
        </w:numPr>
        <w:tabs>
          <w:tab w:pos="411" w:val="left" w:leader="none"/>
        </w:tabs>
        <w:spacing w:line="240" w:lineRule="auto" w:before="6" w:after="0"/>
        <w:ind w:left="411" w:right="0" w:hanging="311"/>
        <w:jc w:val="both"/>
        <w:rPr>
          <w:sz w:val="22"/>
        </w:rPr>
      </w:pPr>
      <w:r>
        <w:rPr>
          <w:color w:val="231F20"/>
          <w:sz w:val="22"/>
        </w:rPr>
        <w:t>The Company has flexibility to substitute 737-7 in lieu of 737-8 firm orders beginning in</w:t>
      </w:r>
      <w:r>
        <w:rPr>
          <w:color w:val="231F20"/>
          <w:spacing w:val="-9"/>
          <w:sz w:val="22"/>
        </w:rPr>
        <w:t> </w:t>
      </w:r>
      <w:r>
        <w:rPr>
          <w:color w:val="231F20"/>
          <w:sz w:val="22"/>
        </w:rPr>
        <w:t>2019.</w:t>
      </w:r>
    </w:p>
    <w:p>
      <w:pPr>
        <w:pStyle w:val="ListParagraph"/>
        <w:numPr>
          <w:ilvl w:val="0"/>
          <w:numId w:val="15"/>
        </w:numPr>
        <w:tabs>
          <w:tab w:pos="399" w:val="left" w:leader="none"/>
        </w:tabs>
        <w:spacing w:line="240" w:lineRule="auto" w:before="6" w:after="0"/>
        <w:ind w:left="399" w:right="0" w:hanging="299"/>
        <w:jc w:val="both"/>
        <w:rPr>
          <w:sz w:val="22"/>
        </w:rPr>
      </w:pPr>
      <w:r>
        <w:rPr>
          <w:color w:val="231F20"/>
          <w:sz w:val="22"/>
        </w:rPr>
        <w:t>To be acquired in leases from various third</w:t>
      </w:r>
      <w:r>
        <w:rPr>
          <w:color w:val="231F20"/>
          <w:spacing w:val="-3"/>
          <w:sz w:val="22"/>
        </w:rPr>
        <w:t> </w:t>
      </w:r>
      <w:r>
        <w:rPr>
          <w:color w:val="231F20"/>
          <w:sz w:val="22"/>
        </w:rPr>
        <w:t>parties.</w:t>
      </w:r>
    </w:p>
    <w:p>
      <w:pPr>
        <w:pStyle w:val="BodyText"/>
        <w:spacing w:before="10"/>
        <w:rPr>
          <w:sz w:val="19"/>
        </w:rPr>
      </w:pPr>
    </w:p>
    <w:p>
      <w:pPr>
        <w:pStyle w:val="BodyText"/>
        <w:spacing w:line="247" w:lineRule="auto" w:before="1"/>
        <w:ind w:left="100" w:right="335"/>
      </w:pPr>
      <w:r>
        <w:rPr>
          <w:color w:val="231F20"/>
        </w:rPr>
        <w:t>The Company’s capital commitments associated with the firm orders and additional aircraft in the above aircraft table are as follows: $1.1 billion in 2017, $893 million in 2018, $614 million in 2019,</w:t>
      </w:r>
    </w:p>
    <w:p>
      <w:pPr>
        <w:pStyle w:val="BodyText"/>
        <w:spacing w:line="253" w:lineRule="exact"/>
        <w:ind w:left="100"/>
        <w:jc w:val="both"/>
      </w:pPr>
      <w:r>
        <w:rPr>
          <w:color w:val="231F20"/>
        </w:rPr>
        <w:t>$821 million in 2020, $952 million in 2021, and $5.1 billion thereafter.</w:t>
      </w:r>
    </w:p>
    <w:p>
      <w:pPr>
        <w:pStyle w:val="BodyText"/>
        <w:spacing w:before="11"/>
        <w:rPr>
          <w:sz w:val="19"/>
        </w:rPr>
      </w:pPr>
    </w:p>
    <w:p>
      <w:pPr>
        <w:pStyle w:val="Heading1"/>
      </w:pPr>
      <w:r>
        <w:rPr>
          <w:color w:val="231F20"/>
        </w:rPr>
        <w:t>Fort Lauderdale-Hollywood International Airport</w:t>
      </w:r>
    </w:p>
    <w:p>
      <w:pPr>
        <w:pStyle w:val="BodyText"/>
        <w:spacing w:before="11"/>
        <w:rPr>
          <w:b/>
          <w:sz w:val="19"/>
        </w:rPr>
      </w:pPr>
    </w:p>
    <w:p>
      <w:pPr>
        <w:pStyle w:val="BodyText"/>
        <w:spacing w:line="247" w:lineRule="auto"/>
        <w:ind w:left="100" w:right="117"/>
        <w:jc w:val="both"/>
      </w:pPr>
      <w:r>
        <w:rPr>
          <w:color w:val="231F20"/>
        </w:rPr>
        <w:t>In December 2013, the Company entered into an agreement with Broward County, Florida, which owns and operates Fort Lauderdale-Hollywood International Airport, to oversee and manage the design and construction of the airport’s Terminal 1 Modernization Project. Pursuant to an addendum entered into during 2016, the cost of the project is not to exceed $333 million. In addition to significant improvements to the existing Terminal 1, the  project  includes  the  design  and  construction  of  a  new five-gate Concourse A with an international processing facility. Funding for the project has come directly from Broward County aviation sources, but flows through the Company in its capacity as manager of the project. Major construction on the project began during third quarter 2015 and is estimated to be substantially completed by mid-2017. The Company has determined that due to its agreed upon role in overseeing and managing the project, it is considered the owner of the project for accounting purposes. As such, during construction the Company records expenditures as Assets constructed for others in the Consolidated Balance Sheet, along with a corresponding outflow within Assets constructed for others in the Consolidated Statement of Cash Flows, and an increase to Construction obligation (with a corresponding cash inflow from Financing activities in the  Consolidated Statement of Cash Flows) as reimbursements are received from Broward County. As     of  December  31,  2016,  the  Company  had  recorded  construction  costs  related  to  the  project   </w:t>
      </w:r>
      <w:r>
        <w:rPr>
          <w:color w:val="231F20"/>
          <w:spacing w:val="37"/>
        </w:rPr>
        <w:t> </w:t>
      </w:r>
      <w:r>
        <w:rPr>
          <w:color w:val="231F20"/>
        </w:rPr>
        <w:t>of</w:t>
      </w:r>
    </w:p>
    <w:p>
      <w:pPr>
        <w:pStyle w:val="BodyText"/>
        <w:spacing w:line="253" w:lineRule="exact"/>
        <w:ind w:left="100"/>
        <w:jc w:val="both"/>
      </w:pPr>
      <w:r>
        <w:rPr>
          <w:color w:val="231F20"/>
        </w:rPr>
        <w:t>$132 million.</w:t>
      </w:r>
    </w:p>
    <w:p>
      <w:pPr>
        <w:spacing w:after="0" w:line="253" w:lineRule="exact"/>
        <w:jc w:val="both"/>
        <w:sectPr>
          <w:type w:val="continuous"/>
          <w:pgSz w:w="11880" w:h="15480"/>
          <w:pgMar w:top="1260" w:bottom="280" w:left="1280" w:right="1260"/>
        </w:sectPr>
      </w:pPr>
    </w:p>
    <w:p>
      <w:pPr>
        <w:pStyle w:val="Heading1"/>
        <w:spacing w:before="74"/>
      </w:pPr>
      <w:r>
        <w:rPr>
          <w:color w:val="231F20"/>
        </w:rPr>
        <w:t>Houston William P. Hobby Airport</w:t>
      </w:r>
    </w:p>
    <w:p>
      <w:pPr>
        <w:pStyle w:val="BodyText"/>
        <w:spacing w:before="3"/>
        <w:rPr>
          <w:b/>
          <w:sz w:val="19"/>
        </w:rPr>
      </w:pPr>
    </w:p>
    <w:p>
      <w:pPr>
        <w:pStyle w:val="BodyText"/>
        <w:spacing w:line="247" w:lineRule="auto" w:before="1"/>
        <w:ind w:left="100" w:right="117"/>
        <w:jc w:val="both"/>
      </w:pPr>
      <w:r>
        <w:rPr>
          <w:color w:val="231F20"/>
        </w:rPr>
        <w:t>The Company entered into a Memorandum of Agreement (“MOA”) with the City of Houston (“City”), effective June 2012, to expand the existing Houston Hobby airport facility. As provided in the MOA, the Company and the City entered into an Airport Use and Lease Agreement (“Lease”) to control the execution of this expansion and the financial terms thereof. Per the MOA and Lease, this project provided a new five-gate international terminal with international passenger processing facilities, expansion of the security checkpoint, and upgrades to the Southwest Airlines ticket counter area. Construction was effectively completed in October 2015, at which time the Company began operating from the new facility. The project’s final cost was approximately $150 million, of which $22 million was considered proprietary and thus not classified as Assets constructed for others. The Company provided the funding for, as well as management over, the project. In return, the capital cost portion of the rent the Company pays for the international facility is waived from the initial occupancy until the expiration of the Lease. However, the City has the option at any time during the term of the Lease to reimburse the Company’s investment at the then-unamortized cost of the facility. This purchase would trigger payment of the previously waived capital cost component of rents owed the City. Additionally, a small portion of the project qualified for rental credits that have been utilized against a portion of the Company’s 2016 lease payments at the</w:t>
      </w:r>
      <w:r>
        <w:rPr>
          <w:color w:val="231F20"/>
          <w:spacing w:val="1"/>
        </w:rPr>
        <w:t> </w:t>
      </w:r>
      <w:r>
        <w:rPr>
          <w:color w:val="231F20"/>
        </w:rPr>
        <w:t>airport.</w:t>
      </w:r>
    </w:p>
    <w:p>
      <w:pPr>
        <w:pStyle w:val="BodyText"/>
        <w:spacing w:line="247" w:lineRule="auto" w:before="215"/>
        <w:ind w:left="100" w:right="118"/>
        <w:jc w:val="both"/>
      </w:pPr>
      <w:r>
        <w:rPr>
          <w:color w:val="231F20"/>
        </w:rPr>
        <w:t>As a result of its significant involvement in the Houston Hobby project, the Company determined that it is the owner of the facility for accounting purposes. As such, during construction, the Company recorded expenditures as Assets constructed for others in the Consolidated Balance Sheet, along with a corresponding outflow within Assets constructed for others, in the Consolidated Statement of Cash Flows.</w:t>
      </w:r>
    </w:p>
    <w:p>
      <w:pPr>
        <w:pStyle w:val="Heading1"/>
        <w:spacing w:before="215"/>
      </w:pPr>
      <w:r>
        <w:rPr>
          <w:color w:val="231F20"/>
        </w:rPr>
        <w:t>Los Angeles International Airport</w:t>
      </w:r>
    </w:p>
    <w:p>
      <w:pPr>
        <w:pStyle w:val="BodyText"/>
        <w:spacing w:before="4"/>
        <w:rPr>
          <w:b/>
          <w:sz w:val="19"/>
        </w:rPr>
      </w:pPr>
    </w:p>
    <w:p>
      <w:pPr>
        <w:pStyle w:val="BodyText"/>
        <w:spacing w:line="247" w:lineRule="auto"/>
        <w:ind w:left="100" w:right="116"/>
        <w:jc w:val="both"/>
      </w:pPr>
      <w:r>
        <w:rPr>
          <w:color w:val="231F20"/>
        </w:rPr>
        <w:t>In</w:t>
      </w:r>
      <w:r>
        <w:rPr>
          <w:color w:val="231F20"/>
          <w:spacing w:val="-5"/>
        </w:rPr>
        <w:t> </w:t>
      </w:r>
      <w:r>
        <w:rPr>
          <w:color w:val="231F20"/>
        </w:rPr>
        <w:t>March</w:t>
      </w:r>
      <w:r>
        <w:rPr>
          <w:color w:val="231F20"/>
          <w:spacing w:val="-5"/>
        </w:rPr>
        <w:t> </w:t>
      </w:r>
      <w:r>
        <w:rPr>
          <w:color w:val="231F20"/>
        </w:rPr>
        <w:t>2013,</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executed</w:t>
      </w:r>
      <w:r>
        <w:rPr>
          <w:color w:val="231F20"/>
          <w:spacing w:val="-5"/>
        </w:rPr>
        <w:t> </w:t>
      </w:r>
      <w:r>
        <w:rPr>
          <w:color w:val="231F20"/>
        </w:rPr>
        <w:t>a</w:t>
      </w:r>
      <w:r>
        <w:rPr>
          <w:color w:val="231F20"/>
          <w:spacing w:val="-5"/>
        </w:rPr>
        <w:t> </w:t>
      </w:r>
      <w:r>
        <w:rPr>
          <w:color w:val="231F20"/>
        </w:rPr>
        <w:t>lease</w:t>
      </w:r>
      <w:r>
        <w:rPr>
          <w:color w:val="231F20"/>
          <w:spacing w:val="-5"/>
        </w:rPr>
        <w:t> </w:t>
      </w:r>
      <w:r>
        <w:rPr>
          <w:color w:val="231F20"/>
        </w:rPr>
        <w:t>agreement</w:t>
      </w:r>
      <w:r>
        <w:rPr>
          <w:color w:val="231F20"/>
          <w:spacing w:val="-6"/>
        </w:rPr>
        <w:t> </w:t>
      </w:r>
      <w:r>
        <w:rPr>
          <w:color w:val="231F20"/>
        </w:rPr>
        <w:t>with</w:t>
      </w:r>
      <w:r>
        <w:rPr>
          <w:color w:val="231F20"/>
          <w:spacing w:val="-5"/>
        </w:rPr>
        <w:t> </w:t>
      </w:r>
      <w:r>
        <w:rPr>
          <w:color w:val="231F20"/>
        </w:rPr>
        <w:t>Los</w:t>
      </w:r>
      <w:r>
        <w:rPr>
          <w:color w:val="231F20"/>
          <w:spacing w:val="-5"/>
        </w:rPr>
        <w:t> </w:t>
      </w:r>
      <w:r>
        <w:rPr>
          <w:color w:val="231F20"/>
        </w:rPr>
        <w:t>Angeles</w:t>
      </w:r>
      <w:r>
        <w:rPr>
          <w:color w:val="231F20"/>
          <w:spacing w:val="-5"/>
        </w:rPr>
        <w:t> </w:t>
      </w:r>
      <w:r>
        <w:rPr>
          <w:color w:val="231F20"/>
        </w:rPr>
        <w:t>World</w:t>
      </w:r>
      <w:r>
        <w:rPr>
          <w:color w:val="231F20"/>
          <w:spacing w:val="-5"/>
        </w:rPr>
        <w:t> </w:t>
      </w:r>
      <w:r>
        <w:rPr>
          <w:color w:val="231F20"/>
        </w:rPr>
        <w:t>Airports</w:t>
      </w:r>
      <w:r>
        <w:rPr>
          <w:color w:val="231F20"/>
          <w:spacing w:val="-5"/>
        </w:rPr>
        <w:t> </w:t>
      </w:r>
      <w:r>
        <w:rPr>
          <w:color w:val="231F20"/>
        </w:rPr>
        <w:t>(“LAWA”), which</w:t>
      </w:r>
      <w:r>
        <w:rPr>
          <w:color w:val="231F20"/>
          <w:spacing w:val="-8"/>
        </w:rPr>
        <w:t> </w:t>
      </w:r>
      <w:r>
        <w:rPr>
          <w:color w:val="231F20"/>
        </w:rPr>
        <w:t>owns</w:t>
      </w:r>
      <w:r>
        <w:rPr>
          <w:color w:val="231F20"/>
          <w:spacing w:val="-8"/>
        </w:rPr>
        <w:t> </w:t>
      </w:r>
      <w:r>
        <w:rPr>
          <w:color w:val="231F20"/>
        </w:rPr>
        <w:t>and</w:t>
      </w:r>
      <w:r>
        <w:rPr>
          <w:color w:val="231F20"/>
          <w:spacing w:val="-8"/>
        </w:rPr>
        <w:t> </w:t>
      </w:r>
      <w:r>
        <w:rPr>
          <w:color w:val="231F20"/>
        </w:rPr>
        <w:t>operates</w:t>
      </w:r>
      <w:r>
        <w:rPr>
          <w:color w:val="231F20"/>
          <w:spacing w:val="-8"/>
        </w:rPr>
        <w:t> </w:t>
      </w:r>
      <w:r>
        <w:rPr>
          <w:color w:val="231F20"/>
        </w:rPr>
        <w:t>Los</w:t>
      </w:r>
      <w:r>
        <w:rPr>
          <w:color w:val="231F20"/>
          <w:spacing w:val="-8"/>
        </w:rPr>
        <w:t> </w:t>
      </w:r>
      <w:r>
        <w:rPr>
          <w:color w:val="231F20"/>
        </w:rPr>
        <w:t>Angeles</w:t>
      </w:r>
      <w:r>
        <w:rPr>
          <w:color w:val="231F20"/>
          <w:spacing w:val="-8"/>
        </w:rPr>
        <w:t> </w:t>
      </w:r>
      <w:r>
        <w:rPr>
          <w:color w:val="231F20"/>
        </w:rPr>
        <w:t>International</w:t>
      </w:r>
      <w:r>
        <w:rPr>
          <w:color w:val="231F20"/>
          <w:spacing w:val="-9"/>
        </w:rPr>
        <w:t> </w:t>
      </w:r>
      <w:r>
        <w:rPr>
          <w:color w:val="231F20"/>
        </w:rPr>
        <w:t>Airport</w:t>
      </w:r>
      <w:r>
        <w:rPr>
          <w:color w:val="231F20"/>
          <w:spacing w:val="-9"/>
        </w:rPr>
        <w:t> </w:t>
      </w:r>
      <w:r>
        <w:rPr>
          <w:color w:val="231F20"/>
        </w:rPr>
        <w:t>(“LAX”).</w:t>
      </w:r>
      <w:r>
        <w:rPr>
          <w:color w:val="231F20"/>
          <w:spacing w:val="-8"/>
        </w:rPr>
        <w:t> </w:t>
      </w:r>
      <w:r>
        <w:rPr>
          <w:color w:val="231F20"/>
        </w:rPr>
        <w:t>Under</w:t>
      </w:r>
      <w:r>
        <w:rPr>
          <w:color w:val="231F20"/>
          <w:spacing w:val="-9"/>
        </w:rPr>
        <w:t> </w:t>
      </w:r>
      <w:r>
        <w:rPr>
          <w:color w:val="231F20"/>
        </w:rPr>
        <w:t>the</w:t>
      </w:r>
      <w:r>
        <w:rPr>
          <w:color w:val="231F20"/>
          <w:spacing w:val="-8"/>
        </w:rPr>
        <w:t> </w:t>
      </w:r>
      <w:r>
        <w:rPr>
          <w:color w:val="231F20"/>
        </w:rPr>
        <w:t>lease</w:t>
      </w:r>
      <w:r>
        <w:rPr>
          <w:color w:val="231F20"/>
          <w:spacing w:val="-8"/>
        </w:rPr>
        <w:t> </w:t>
      </w:r>
      <w:r>
        <w:rPr>
          <w:color w:val="231F20"/>
        </w:rPr>
        <w:t>agreement,</w:t>
      </w:r>
      <w:r>
        <w:rPr>
          <w:color w:val="231F20"/>
          <w:spacing w:val="-8"/>
        </w:rPr>
        <w:t> </w:t>
      </w:r>
      <w:r>
        <w:rPr>
          <w:color w:val="231F20"/>
        </w:rPr>
        <w:t>which was amended in June 2014, the Company is overseeing and managing the design, </w:t>
      </w:r>
      <w:r>
        <w:rPr>
          <w:color w:val="231F20"/>
          <w:spacing w:val="-2"/>
        </w:rPr>
        <w:t>development, </w:t>
      </w:r>
      <w:r>
        <w:rPr>
          <w:color w:val="231F20"/>
        </w:rPr>
        <w:t>financing, construction, and commissioning of the airport’s Terminal 1 Modernization Project (the “Project”)</w:t>
      </w:r>
      <w:r>
        <w:rPr>
          <w:color w:val="231F20"/>
          <w:spacing w:val="-6"/>
        </w:rPr>
        <w:t> </w:t>
      </w:r>
      <w:r>
        <w:rPr>
          <w:color w:val="231F20"/>
        </w:rPr>
        <w:t>at</w:t>
      </w:r>
      <w:r>
        <w:rPr>
          <w:color w:val="231F20"/>
          <w:spacing w:val="-6"/>
        </w:rPr>
        <w:t> </w:t>
      </w:r>
      <w:r>
        <w:rPr>
          <w:color w:val="231F20"/>
        </w:rPr>
        <w:t>a</w:t>
      </w:r>
      <w:r>
        <w:rPr>
          <w:color w:val="231F20"/>
          <w:spacing w:val="-5"/>
        </w:rPr>
        <w:t> </w:t>
      </w:r>
      <w:r>
        <w:rPr>
          <w:color w:val="231F20"/>
        </w:rPr>
        <w:t>cost</w:t>
      </w:r>
      <w:r>
        <w:rPr>
          <w:color w:val="231F20"/>
          <w:spacing w:val="-6"/>
        </w:rPr>
        <w:t> </w:t>
      </w:r>
      <w:r>
        <w:rPr>
          <w:color w:val="231F20"/>
        </w:rPr>
        <w:t>not</w:t>
      </w:r>
      <w:r>
        <w:rPr>
          <w:color w:val="231F20"/>
          <w:spacing w:val="-6"/>
        </w:rPr>
        <w:t> </w:t>
      </w:r>
      <w:r>
        <w:rPr>
          <w:color w:val="231F20"/>
        </w:rPr>
        <w:t>to</w:t>
      </w:r>
      <w:r>
        <w:rPr>
          <w:color w:val="231F20"/>
          <w:spacing w:val="-6"/>
        </w:rPr>
        <w:t> </w:t>
      </w:r>
      <w:r>
        <w:rPr>
          <w:color w:val="231F20"/>
        </w:rPr>
        <w:t>exceed</w:t>
      </w:r>
      <w:r>
        <w:rPr>
          <w:color w:val="231F20"/>
          <w:spacing w:val="-6"/>
        </w:rPr>
        <w:t> </w:t>
      </w:r>
      <w:r>
        <w:rPr>
          <w:color w:val="231F20"/>
        </w:rPr>
        <w:t>$526</w:t>
      </w:r>
      <w:r>
        <w:rPr>
          <w:color w:val="231F20"/>
          <w:spacing w:val="-6"/>
        </w:rPr>
        <w:t> </w:t>
      </w:r>
      <w:r>
        <w:rPr>
          <w:color w:val="231F20"/>
        </w:rPr>
        <w:t>million.</w:t>
      </w:r>
      <w:r>
        <w:rPr>
          <w:color w:val="231F20"/>
          <w:spacing w:val="-6"/>
        </w:rPr>
        <w:t> </w:t>
      </w:r>
      <w:r>
        <w:rPr>
          <w:color w:val="231F20"/>
        </w:rPr>
        <w:t>The</w:t>
      </w:r>
      <w:r>
        <w:rPr>
          <w:color w:val="231F20"/>
          <w:spacing w:val="-6"/>
        </w:rPr>
        <w:t> </w:t>
      </w:r>
      <w:r>
        <w:rPr>
          <w:color w:val="231F20"/>
        </w:rPr>
        <w:t>Project</w:t>
      </w:r>
      <w:r>
        <w:rPr>
          <w:color w:val="231F20"/>
          <w:spacing w:val="-7"/>
        </w:rPr>
        <w:t> </w:t>
      </w:r>
      <w:r>
        <w:rPr>
          <w:color w:val="231F20"/>
        </w:rPr>
        <w:t>is</w:t>
      </w:r>
      <w:r>
        <w:rPr>
          <w:color w:val="231F20"/>
          <w:spacing w:val="-6"/>
        </w:rPr>
        <w:t> </w:t>
      </w:r>
      <w:r>
        <w:rPr>
          <w:color w:val="231F20"/>
        </w:rPr>
        <w:t>being</w:t>
      </w:r>
      <w:r>
        <w:rPr>
          <w:color w:val="231F20"/>
          <w:spacing w:val="-6"/>
        </w:rPr>
        <w:t> </w:t>
      </w:r>
      <w:r>
        <w:rPr>
          <w:color w:val="231F20"/>
        </w:rPr>
        <w:t>funded</w:t>
      </w:r>
      <w:r>
        <w:rPr>
          <w:color w:val="231F20"/>
          <w:spacing w:val="-6"/>
        </w:rPr>
        <w:t> </w:t>
      </w:r>
      <w:r>
        <w:rPr>
          <w:color w:val="231F20"/>
        </w:rPr>
        <w:t>primarily</w:t>
      </w:r>
      <w:r>
        <w:rPr>
          <w:color w:val="231F20"/>
          <w:spacing w:val="-6"/>
        </w:rPr>
        <w:t> </w:t>
      </w:r>
      <w:r>
        <w:rPr>
          <w:color w:val="231F20"/>
        </w:rPr>
        <w:t>using</w:t>
      </w:r>
      <w:r>
        <w:rPr>
          <w:color w:val="231F20"/>
          <w:spacing w:val="-6"/>
        </w:rPr>
        <w:t> </w:t>
      </w:r>
      <w:r>
        <w:rPr>
          <w:color w:val="231F20"/>
        </w:rPr>
        <w:t>the</w:t>
      </w:r>
      <w:r>
        <w:rPr>
          <w:color w:val="231F20"/>
          <w:spacing w:val="-6"/>
        </w:rPr>
        <w:t> </w:t>
      </w:r>
      <w:r>
        <w:rPr>
          <w:color w:val="231F20"/>
        </w:rPr>
        <w:t>Regional Airports</w:t>
      </w:r>
      <w:r>
        <w:rPr>
          <w:color w:val="231F20"/>
          <w:spacing w:val="-6"/>
        </w:rPr>
        <w:t> </w:t>
      </w:r>
      <w:r>
        <w:rPr>
          <w:color w:val="231F20"/>
        </w:rPr>
        <w:t>Improvement</w:t>
      </w:r>
      <w:r>
        <w:rPr>
          <w:color w:val="231F20"/>
          <w:spacing w:val="-6"/>
        </w:rPr>
        <w:t> </w:t>
      </w:r>
      <w:r>
        <w:rPr>
          <w:color w:val="231F20"/>
        </w:rPr>
        <w:t>Corporation</w:t>
      </w:r>
      <w:r>
        <w:rPr>
          <w:color w:val="231F20"/>
          <w:spacing w:val="-6"/>
        </w:rPr>
        <w:t> </w:t>
      </w:r>
      <w:r>
        <w:rPr>
          <w:color w:val="231F20"/>
        </w:rPr>
        <w:t>(“RAIC”),</w:t>
      </w:r>
      <w:r>
        <w:rPr>
          <w:color w:val="231F20"/>
          <w:spacing w:val="-6"/>
        </w:rPr>
        <w:t> </w:t>
      </w:r>
      <w:r>
        <w:rPr>
          <w:color w:val="231F20"/>
        </w:rPr>
        <w:t>which</w:t>
      </w:r>
      <w:r>
        <w:rPr>
          <w:color w:val="231F20"/>
          <w:spacing w:val="-6"/>
        </w:rPr>
        <w:t> </w:t>
      </w:r>
      <w:r>
        <w:rPr>
          <w:color w:val="231F20"/>
        </w:rPr>
        <w:t>is</w:t>
      </w:r>
      <w:r>
        <w:rPr>
          <w:color w:val="231F20"/>
          <w:spacing w:val="-6"/>
        </w:rPr>
        <w:t> </w:t>
      </w:r>
      <w:r>
        <w:rPr>
          <w:color w:val="231F20"/>
        </w:rPr>
        <w:t>a</w:t>
      </w:r>
      <w:r>
        <w:rPr>
          <w:color w:val="231F20"/>
          <w:spacing w:val="-6"/>
        </w:rPr>
        <w:t> </w:t>
      </w:r>
      <w:r>
        <w:rPr>
          <w:color w:val="231F20"/>
        </w:rPr>
        <w:t>quasi-governmental</w:t>
      </w:r>
      <w:r>
        <w:rPr>
          <w:color w:val="231F20"/>
          <w:spacing w:val="-7"/>
        </w:rPr>
        <w:t> </w:t>
      </w:r>
      <w:r>
        <w:rPr>
          <w:color w:val="231F20"/>
        </w:rPr>
        <w:t>special</w:t>
      </w:r>
      <w:r>
        <w:rPr>
          <w:color w:val="231F20"/>
          <w:spacing w:val="-7"/>
        </w:rPr>
        <w:t> </w:t>
      </w:r>
      <w:r>
        <w:rPr>
          <w:color w:val="231F20"/>
        </w:rPr>
        <w:t>purpose</w:t>
      </w:r>
      <w:r>
        <w:rPr>
          <w:color w:val="231F20"/>
          <w:spacing w:val="-6"/>
        </w:rPr>
        <w:t> </w:t>
      </w:r>
      <w:r>
        <w:rPr>
          <w:color w:val="231F20"/>
        </w:rPr>
        <w:t>entity</w:t>
      </w:r>
      <w:r>
        <w:rPr>
          <w:color w:val="231F20"/>
          <w:spacing w:val="-6"/>
        </w:rPr>
        <w:t> </w:t>
      </w:r>
      <w:r>
        <w:rPr>
          <w:color w:val="231F20"/>
        </w:rPr>
        <w:t>that acts</w:t>
      </w:r>
      <w:r>
        <w:rPr>
          <w:color w:val="231F20"/>
          <w:spacing w:val="-5"/>
        </w:rPr>
        <w:t> </w:t>
      </w:r>
      <w:r>
        <w:rPr>
          <w:color w:val="231F20"/>
        </w:rPr>
        <w:t>as</w:t>
      </w:r>
      <w:r>
        <w:rPr>
          <w:color w:val="231F20"/>
          <w:spacing w:val="-5"/>
        </w:rPr>
        <w:t> </w:t>
      </w:r>
      <w:r>
        <w:rPr>
          <w:color w:val="231F20"/>
        </w:rPr>
        <w:t>a</w:t>
      </w:r>
      <w:r>
        <w:rPr>
          <w:color w:val="231F20"/>
          <w:spacing w:val="-5"/>
        </w:rPr>
        <w:t> </w:t>
      </w:r>
      <w:r>
        <w:rPr>
          <w:color w:val="231F20"/>
        </w:rPr>
        <w:t>conduit</w:t>
      </w:r>
      <w:r>
        <w:rPr>
          <w:color w:val="231F20"/>
          <w:spacing w:val="-5"/>
        </w:rPr>
        <w:t> </w:t>
      </w:r>
      <w:r>
        <w:rPr>
          <w:color w:val="231F20"/>
        </w:rPr>
        <w:t>borrower</w:t>
      </w:r>
      <w:r>
        <w:rPr>
          <w:color w:val="231F20"/>
          <w:spacing w:val="-5"/>
        </w:rPr>
        <w:t> </w:t>
      </w:r>
      <w:r>
        <w:rPr>
          <w:color w:val="231F20"/>
        </w:rPr>
        <w:t>under</w:t>
      </w:r>
      <w:r>
        <w:rPr>
          <w:color w:val="231F20"/>
          <w:spacing w:val="-5"/>
        </w:rPr>
        <w:t> </w:t>
      </w:r>
      <w:r>
        <w:rPr>
          <w:color w:val="231F20"/>
        </w:rPr>
        <w:t>a</w:t>
      </w:r>
      <w:r>
        <w:rPr>
          <w:color w:val="231F20"/>
          <w:spacing w:val="-5"/>
        </w:rPr>
        <w:t> </w:t>
      </w:r>
      <w:r>
        <w:rPr>
          <w:color w:val="231F20"/>
        </w:rPr>
        <w:t>syndicated</w:t>
      </w:r>
      <w:r>
        <w:rPr>
          <w:color w:val="231F20"/>
          <w:spacing w:val="-5"/>
        </w:rPr>
        <w:t> </w:t>
      </w:r>
      <w:r>
        <w:rPr>
          <w:color w:val="231F20"/>
        </w:rPr>
        <w:t>credit</w:t>
      </w:r>
      <w:r>
        <w:rPr>
          <w:color w:val="231F20"/>
          <w:spacing w:val="-5"/>
        </w:rPr>
        <w:t> </w:t>
      </w:r>
      <w:r>
        <w:rPr>
          <w:color w:val="231F20"/>
        </w:rPr>
        <w:t>facility</w:t>
      </w:r>
      <w:r>
        <w:rPr>
          <w:color w:val="231F20"/>
          <w:spacing w:val="-5"/>
        </w:rPr>
        <w:t> </w:t>
      </w:r>
      <w:r>
        <w:rPr>
          <w:color w:val="231F20"/>
        </w:rPr>
        <w:t>provided</w:t>
      </w:r>
      <w:r>
        <w:rPr>
          <w:color w:val="231F20"/>
          <w:spacing w:val="-5"/>
        </w:rPr>
        <w:t> </w:t>
      </w:r>
      <w:r>
        <w:rPr>
          <w:color w:val="231F20"/>
        </w:rPr>
        <w:t>by</w:t>
      </w:r>
      <w:r>
        <w:rPr>
          <w:color w:val="231F20"/>
          <w:spacing w:val="-5"/>
        </w:rPr>
        <w:t> </w:t>
      </w:r>
      <w:r>
        <w:rPr>
          <w:color w:val="231F20"/>
        </w:rPr>
        <w:t>a</w:t>
      </w:r>
      <w:r>
        <w:rPr>
          <w:color w:val="231F20"/>
          <w:spacing w:val="-5"/>
        </w:rPr>
        <w:t> </w:t>
      </w:r>
      <w:r>
        <w:rPr>
          <w:color w:val="231F20"/>
        </w:rPr>
        <w:t>group</w:t>
      </w:r>
      <w:r>
        <w:rPr>
          <w:color w:val="231F20"/>
          <w:spacing w:val="-5"/>
        </w:rPr>
        <w:t> </w:t>
      </w:r>
      <w:r>
        <w:rPr>
          <w:color w:val="231F20"/>
        </w:rPr>
        <w:t>of</w:t>
      </w:r>
      <w:r>
        <w:rPr>
          <w:color w:val="231F20"/>
          <w:spacing w:val="-6"/>
        </w:rPr>
        <w:t> </w:t>
      </w:r>
      <w:r>
        <w:rPr>
          <w:color w:val="231F20"/>
        </w:rPr>
        <w:t>lenders.</w:t>
      </w:r>
      <w:r>
        <w:rPr>
          <w:color w:val="231F20"/>
          <w:spacing w:val="-5"/>
        </w:rPr>
        <w:t> </w:t>
      </w:r>
      <w:r>
        <w:rPr>
          <w:color w:val="231F20"/>
        </w:rPr>
        <w:t>Loans</w:t>
      </w:r>
      <w:r>
        <w:rPr>
          <w:color w:val="231F20"/>
          <w:spacing w:val="-5"/>
        </w:rPr>
        <w:t> </w:t>
      </w:r>
      <w:r>
        <w:rPr>
          <w:color w:val="231F20"/>
        </w:rPr>
        <w:t>made under</w:t>
      </w:r>
      <w:r>
        <w:rPr>
          <w:color w:val="231F20"/>
          <w:spacing w:val="-5"/>
        </w:rPr>
        <w:t> </w:t>
      </w:r>
      <w:r>
        <w:rPr>
          <w:color w:val="231F20"/>
        </w:rPr>
        <w:t>the</w:t>
      </w:r>
      <w:r>
        <w:rPr>
          <w:color w:val="231F20"/>
          <w:spacing w:val="-4"/>
        </w:rPr>
        <w:t> </w:t>
      </w:r>
      <w:r>
        <w:rPr>
          <w:color w:val="231F20"/>
        </w:rPr>
        <w:t>credit</w:t>
      </w:r>
      <w:r>
        <w:rPr>
          <w:color w:val="231F20"/>
          <w:spacing w:val="-5"/>
        </w:rPr>
        <w:t> </w:t>
      </w:r>
      <w:r>
        <w:rPr>
          <w:color w:val="231F20"/>
        </w:rPr>
        <w:t>facility</w:t>
      </w:r>
      <w:r>
        <w:rPr>
          <w:color w:val="231F20"/>
          <w:spacing w:val="-4"/>
        </w:rPr>
        <w:t> </w:t>
      </w:r>
      <w:r>
        <w:rPr>
          <w:color w:val="231F20"/>
        </w:rPr>
        <w:t>are</w:t>
      </w:r>
      <w:r>
        <w:rPr>
          <w:color w:val="231F20"/>
          <w:spacing w:val="-4"/>
        </w:rPr>
        <w:t> </w:t>
      </w:r>
      <w:r>
        <w:rPr>
          <w:color w:val="231F20"/>
        </w:rPr>
        <w:t>being</w:t>
      </w:r>
      <w:r>
        <w:rPr>
          <w:color w:val="231F20"/>
          <w:spacing w:val="-4"/>
        </w:rPr>
        <w:t> </w:t>
      </w:r>
      <w:r>
        <w:rPr>
          <w:color w:val="231F20"/>
        </w:rPr>
        <w:t>used</w:t>
      </w:r>
      <w:r>
        <w:rPr>
          <w:color w:val="231F20"/>
          <w:spacing w:val="-4"/>
        </w:rPr>
        <w:t> </w:t>
      </w:r>
      <w:r>
        <w:rPr>
          <w:color w:val="231F20"/>
        </w:rPr>
        <w:t>to</w:t>
      </w:r>
      <w:r>
        <w:rPr>
          <w:color w:val="231F20"/>
          <w:spacing w:val="-4"/>
        </w:rPr>
        <w:t> </w:t>
      </w:r>
      <w:r>
        <w:rPr>
          <w:color w:val="231F20"/>
        </w:rPr>
        <w:t>fund</w:t>
      </w:r>
      <w:r>
        <w:rPr>
          <w:color w:val="231F20"/>
          <w:spacing w:val="-4"/>
        </w:rPr>
        <w:t> </w:t>
      </w:r>
      <w:r>
        <w:rPr>
          <w:color w:val="231F20"/>
        </w:rPr>
        <w:t>the</w:t>
      </w:r>
      <w:r>
        <w:rPr>
          <w:color w:val="231F20"/>
          <w:spacing w:val="-4"/>
        </w:rPr>
        <w:t> </w:t>
      </w:r>
      <w:r>
        <w:rPr>
          <w:color w:val="231F20"/>
        </w:rPr>
        <w:t>development</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Project,</w:t>
      </w:r>
      <w:r>
        <w:rPr>
          <w:color w:val="231F20"/>
          <w:spacing w:val="-4"/>
        </w:rPr>
        <w:t> </w:t>
      </w:r>
      <w:r>
        <w:rPr>
          <w:color w:val="231F20"/>
        </w:rPr>
        <w:t>and</w:t>
      </w:r>
      <w:r>
        <w:rPr>
          <w:color w:val="231F20"/>
          <w:spacing w:val="-5"/>
        </w:rPr>
        <w:t> </w:t>
      </w:r>
      <w:r>
        <w:rPr>
          <w:color w:val="231F20"/>
        </w:rPr>
        <w:t>the</w:t>
      </w:r>
      <w:r>
        <w:rPr>
          <w:color w:val="231F20"/>
          <w:spacing w:val="-5"/>
        </w:rPr>
        <w:t> </w:t>
      </w:r>
      <w:r>
        <w:rPr>
          <w:color w:val="231F20"/>
        </w:rPr>
        <w:t>outstanding</w:t>
      </w:r>
      <w:r>
        <w:rPr>
          <w:color w:val="231F20"/>
          <w:spacing w:val="-5"/>
        </w:rPr>
        <w:t> </w:t>
      </w:r>
      <w:r>
        <w:rPr>
          <w:color w:val="231F20"/>
        </w:rPr>
        <w:t>loans will be repaid with the proceeds of LAWA’s payments to purchase completed Project phases. </w:t>
      </w:r>
      <w:r>
        <w:rPr>
          <w:color w:val="231F20"/>
          <w:spacing w:val="-2"/>
        </w:rPr>
        <w:t>The </w:t>
      </w:r>
      <w:r>
        <w:rPr>
          <w:color w:val="231F20"/>
        </w:rPr>
        <w:t>Company has guaranteed the obligations of the RAIC under the credit facility. Construction on </w:t>
      </w:r>
      <w:r>
        <w:rPr>
          <w:color w:val="231F20"/>
          <w:spacing w:val="-3"/>
        </w:rPr>
        <w:t>the </w:t>
      </w:r>
      <w:r>
        <w:rPr>
          <w:color w:val="231F20"/>
        </w:rPr>
        <w:t>Project began during 2014 and is estimated to be completed during 2018. The Company has</w:t>
      </w:r>
      <w:r>
        <w:rPr>
          <w:color w:val="231F20"/>
          <w:spacing w:val="-26"/>
        </w:rPr>
        <w:t> </w:t>
      </w:r>
      <w:r>
        <w:rPr>
          <w:color w:val="231F20"/>
        </w:rPr>
        <w:t>determined that</w:t>
      </w:r>
      <w:r>
        <w:rPr>
          <w:color w:val="231F20"/>
          <w:spacing w:val="-4"/>
        </w:rPr>
        <w:t> </w:t>
      </w:r>
      <w:r>
        <w:rPr>
          <w:color w:val="231F20"/>
        </w:rPr>
        <w:t>due</w:t>
      </w:r>
      <w:r>
        <w:rPr>
          <w:color w:val="231F20"/>
          <w:spacing w:val="-3"/>
        </w:rPr>
        <w:t> </w:t>
      </w:r>
      <w:r>
        <w:rPr>
          <w:color w:val="231F20"/>
        </w:rPr>
        <w:t>to</w:t>
      </w:r>
      <w:r>
        <w:rPr>
          <w:color w:val="231F20"/>
          <w:spacing w:val="-3"/>
        </w:rPr>
        <w:t> </w:t>
      </w:r>
      <w:r>
        <w:rPr>
          <w:color w:val="231F20"/>
        </w:rPr>
        <w:t>its</w:t>
      </w:r>
      <w:r>
        <w:rPr>
          <w:color w:val="231F20"/>
          <w:spacing w:val="-3"/>
        </w:rPr>
        <w:t> </w:t>
      </w:r>
      <w:r>
        <w:rPr>
          <w:color w:val="231F20"/>
        </w:rPr>
        <w:t>agreed</w:t>
      </w:r>
      <w:r>
        <w:rPr>
          <w:color w:val="231F20"/>
          <w:spacing w:val="-4"/>
        </w:rPr>
        <w:t> </w:t>
      </w:r>
      <w:r>
        <w:rPr>
          <w:color w:val="231F20"/>
        </w:rPr>
        <w:t>upon</w:t>
      </w:r>
      <w:r>
        <w:rPr>
          <w:color w:val="231F20"/>
          <w:spacing w:val="-4"/>
        </w:rPr>
        <w:t> </w:t>
      </w:r>
      <w:r>
        <w:rPr>
          <w:color w:val="231F20"/>
        </w:rPr>
        <w:t>role</w:t>
      </w:r>
      <w:r>
        <w:rPr>
          <w:color w:val="231F20"/>
          <w:spacing w:val="-4"/>
        </w:rPr>
        <w:t> </w:t>
      </w:r>
      <w:r>
        <w:rPr>
          <w:color w:val="231F20"/>
        </w:rPr>
        <w:t>in</w:t>
      </w:r>
      <w:r>
        <w:rPr>
          <w:color w:val="231F20"/>
          <w:spacing w:val="-4"/>
        </w:rPr>
        <w:t> </w:t>
      </w:r>
      <w:r>
        <w:rPr>
          <w:color w:val="231F20"/>
        </w:rPr>
        <w:t>overseeing</w:t>
      </w:r>
      <w:r>
        <w:rPr>
          <w:color w:val="231F20"/>
          <w:spacing w:val="-4"/>
        </w:rPr>
        <w:t> </w:t>
      </w:r>
      <w:r>
        <w:rPr>
          <w:color w:val="231F20"/>
        </w:rPr>
        <w:t>and</w:t>
      </w:r>
      <w:r>
        <w:rPr>
          <w:color w:val="231F20"/>
          <w:spacing w:val="-4"/>
        </w:rPr>
        <w:t> </w:t>
      </w:r>
      <w:r>
        <w:rPr>
          <w:color w:val="231F20"/>
        </w:rPr>
        <w:t>managing</w:t>
      </w:r>
      <w:r>
        <w:rPr>
          <w:color w:val="231F20"/>
          <w:spacing w:val="-4"/>
        </w:rPr>
        <w:t> </w:t>
      </w:r>
      <w:r>
        <w:rPr>
          <w:color w:val="231F20"/>
        </w:rPr>
        <w:t>the</w:t>
      </w:r>
      <w:r>
        <w:rPr>
          <w:color w:val="231F20"/>
          <w:spacing w:val="-4"/>
        </w:rPr>
        <w:t> </w:t>
      </w:r>
      <w:r>
        <w:rPr>
          <w:color w:val="231F20"/>
        </w:rPr>
        <w:t>Project,</w:t>
      </w:r>
      <w:r>
        <w:rPr>
          <w:color w:val="231F20"/>
          <w:spacing w:val="-4"/>
        </w:rPr>
        <w:t> </w:t>
      </w:r>
      <w:r>
        <w:rPr>
          <w:color w:val="231F20"/>
        </w:rPr>
        <w:t>it</w:t>
      </w:r>
      <w:r>
        <w:rPr>
          <w:color w:val="231F20"/>
          <w:spacing w:val="-5"/>
        </w:rPr>
        <w:t> </w:t>
      </w:r>
      <w:r>
        <w:rPr>
          <w:color w:val="231F20"/>
        </w:rPr>
        <w:t>is</w:t>
      </w:r>
      <w:r>
        <w:rPr>
          <w:color w:val="231F20"/>
          <w:spacing w:val="-4"/>
        </w:rPr>
        <w:t> </w:t>
      </w:r>
      <w:r>
        <w:rPr>
          <w:color w:val="231F20"/>
        </w:rPr>
        <w:t>considered</w:t>
      </w:r>
      <w:r>
        <w:rPr>
          <w:color w:val="231F20"/>
          <w:spacing w:val="-4"/>
        </w:rPr>
        <w:t> </w:t>
      </w:r>
      <w:r>
        <w:rPr>
          <w:color w:val="231F20"/>
        </w:rPr>
        <w:t>the</w:t>
      </w:r>
      <w:r>
        <w:rPr>
          <w:color w:val="231F20"/>
          <w:spacing w:val="-4"/>
        </w:rPr>
        <w:t> </w:t>
      </w:r>
      <w:r>
        <w:rPr>
          <w:color w:val="231F20"/>
        </w:rPr>
        <w:t>owner</w:t>
      </w:r>
      <w:r>
        <w:rPr>
          <w:color w:val="231F20"/>
          <w:spacing w:val="-5"/>
        </w:rPr>
        <w:t> </w:t>
      </w:r>
      <w:r>
        <w:rPr>
          <w:color w:val="231F20"/>
        </w:rPr>
        <w:t>of</w:t>
      </w:r>
      <w:r>
        <w:rPr>
          <w:color w:val="231F20"/>
          <w:spacing w:val="-5"/>
        </w:rPr>
        <w:t> </w:t>
      </w:r>
      <w:r>
        <w:rPr>
          <w:color w:val="231F20"/>
          <w:spacing w:val="-2"/>
        </w:rPr>
        <w:t>the </w:t>
      </w:r>
      <w:r>
        <w:rPr>
          <w:color w:val="231F20"/>
        </w:rPr>
        <w:t>Project for accounting purposes. LAWA will reimburse the Company (through the RAIC credit</w:t>
      </w:r>
      <w:r>
        <w:rPr>
          <w:color w:val="231F20"/>
          <w:spacing w:val="-12"/>
        </w:rPr>
        <w:t> </w:t>
      </w:r>
      <w:r>
        <w:rPr>
          <w:color w:val="231F20"/>
          <w:spacing w:val="-3"/>
        </w:rPr>
        <w:t>facility) </w:t>
      </w:r>
      <w:r>
        <w:rPr>
          <w:color w:val="231F20"/>
        </w:rPr>
        <w:t>for</w:t>
      </w:r>
      <w:r>
        <w:rPr>
          <w:color w:val="231F20"/>
          <w:spacing w:val="-6"/>
        </w:rPr>
        <w:t> </w:t>
      </w:r>
      <w:r>
        <w:rPr>
          <w:color w:val="231F20"/>
        </w:rPr>
        <w:t>the</w:t>
      </w:r>
      <w:r>
        <w:rPr>
          <w:color w:val="231F20"/>
          <w:spacing w:val="-5"/>
        </w:rPr>
        <w:t> </w:t>
      </w:r>
      <w:r>
        <w:rPr>
          <w:color w:val="231F20"/>
          <w:spacing w:val="-3"/>
        </w:rPr>
        <w:t>non-proprietary</w:t>
      </w:r>
      <w:r>
        <w:rPr>
          <w:color w:val="231F20"/>
          <w:spacing w:val="-5"/>
        </w:rPr>
        <w:t> </w:t>
      </w:r>
      <w:r>
        <w:rPr>
          <w:color w:val="231F20"/>
          <w:spacing w:val="-3"/>
        </w:rPr>
        <w:t>renovations,</w:t>
      </w:r>
      <w:r>
        <w:rPr>
          <w:color w:val="231F20"/>
          <w:spacing w:val="-5"/>
        </w:rPr>
        <w:t> </w:t>
      </w:r>
      <w:r>
        <w:rPr>
          <w:color w:val="231F20"/>
          <w:spacing w:val="-3"/>
        </w:rPr>
        <w:t>while</w:t>
      </w:r>
      <w:r>
        <w:rPr>
          <w:color w:val="231F20"/>
          <w:spacing w:val="-5"/>
        </w:rPr>
        <w:t> </w:t>
      </w:r>
      <w:r>
        <w:rPr>
          <w:color w:val="231F20"/>
          <w:spacing w:val="-3"/>
        </w:rPr>
        <w:t>proprietary</w:t>
      </w:r>
      <w:r>
        <w:rPr>
          <w:color w:val="231F20"/>
          <w:spacing w:val="-5"/>
        </w:rPr>
        <w:t> </w:t>
      </w:r>
      <w:r>
        <w:rPr>
          <w:color w:val="231F20"/>
        </w:rPr>
        <w:t>renovations</w:t>
      </w:r>
      <w:r>
        <w:rPr>
          <w:color w:val="231F20"/>
          <w:spacing w:val="-5"/>
        </w:rPr>
        <w:t> </w:t>
      </w:r>
      <w:r>
        <w:rPr>
          <w:color w:val="231F20"/>
        </w:rPr>
        <w:t>will</w:t>
      </w:r>
      <w:r>
        <w:rPr>
          <w:color w:val="231F20"/>
          <w:spacing w:val="-6"/>
        </w:rPr>
        <w:t> </w:t>
      </w:r>
      <w:r>
        <w:rPr>
          <w:color w:val="231F20"/>
        </w:rPr>
        <w:t>not</w:t>
      </w:r>
      <w:r>
        <w:rPr>
          <w:color w:val="231F20"/>
          <w:spacing w:val="-7"/>
        </w:rPr>
        <w:t> </w:t>
      </w:r>
      <w:r>
        <w:rPr>
          <w:color w:val="231F20"/>
        </w:rPr>
        <w:t>be</w:t>
      </w:r>
      <w:r>
        <w:rPr>
          <w:color w:val="231F20"/>
          <w:spacing w:val="-6"/>
        </w:rPr>
        <w:t> </w:t>
      </w:r>
      <w:r>
        <w:rPr>
          <w:color w:val="231F20"/>
        </w:rPr>
        <w:t>reimbursed.</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result,</w:t>
      </w:r>
      <w:r>
        <w:rPr>
          <w:color w:val="231F20"/>
          <w:spacing w:val="-6"/>
        </w:rPr>
        <w:t> </w:t>
      </w:r>
      <w:r>
        <w:rPr>
          <w:color w:val="231F20"/>
          <w:spacing w:val="-2"/>
        </w:rPr>
        <w:t>the</w:t>
      </w:r>
    </w:p>
    <w:p>
      <w:pPr>
        <w:pStyle w:val="BodyText"/>
        <w:spacing w:line="247" w:lineRule="auto"/>
        <w:ind w:left="100" w:right="120"/>
        <w:jc w:val="both"/>
      </w:pPr>
      <w:r>
        <w:rPr>
          <w:color w:val="231F20"/>
        </w:rPr>
        <w:t>$344 million of costs incurred as of December 31, 2016, to fund the Project are included within Assets constructed for others and all amounts that have been or will be reimbursed will be included within Construction obligation on the accompanying Consolidated Balance Sheet.</w:t>
      </w:r>
    </w:p>
    <w:p>
      <w:pPr>
        <w:pStyle w:val="BodyText"/>
        <w:spacing w:before="9"/>
        <w:rPr>
          <w:sz w:val="18"/>
        </w:rPr>
      </w:pPr>
    </w:p>
    <w:p>
      <w:pPr>
        <w:pStyle w:val="Heading1"/>
      </w:pPr>
      <w:r>
        <w:rPr>
          <w:color w:val="231F20"/>
        </w:rPr>
        <w:t>Dallas Love Field</w:t>
      </w:r>
    </w:p>
    <w:p>
      <w:pPr>
        <w:pStyle w:val="BodyText"/>
        <w:spacing w:before="3"/>
        <w:rPr>
          <w:b/>
          <w:sz w:val="19"/>
        </w:rPr>
      </w:pPr>
    </w:p>
    <w:p>
      <w:pPr>
        <w:pStyle w:val="BodyText"/>
        <w:spacing w:line="247" w:lineRule="auto" w:before="1"/>
        <w:ind w:left="100" w:right="117"/>
        <w:jc w:val="both"/>
      </w:pPr>
      <w:r>
        <w:rPr>
          <w:color w:val="231F20"/>
        </w:rPr>
        <w:t>During 2008, the City of Dallas approved the Love Field Modernization Program (“LFMP”), a project to reconstruct Dallas Love Field with modern, convenient air travel facilities. Pursuant to a Program</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Development Agreement with the City of Dallas and the Love Field Airport Modernization Corporation (or “LFAMC,” a Texas non-profit “local government corporation” established by the    City of Dallas to act on the City of Dallas’ behalf to facilitate the development of the LFMP), the Company managed this project. Major construction was effectively completed by December 31, 2014. This project consisted of the complete replacement of gate facilities with a new 20-gate facility, including infrastructure, systems and equipment, aircraft parking apron, fueling system, roadways and terminal curbside, baggage handling systems, passenger loading bridges and support systems, and  other supporting</w:t>
      </w:r>
      <w:r>
        <w:rPr>
          <w:color w:val="231F20"/>
          <w:spacing w:val="-2"/>
        </w:rPr>
        <w:t> </w:t>
      </w:r>
      <w:r>
        <w:rPr>
          <w:color w:val="231F20"/>
        </w:rPr>
        <w:t>infrastructure.</w:t>
      </w:r>
    </w:p>
    <w:p>
      <w:pPr>
        <w:pStyle w:val="BodyText"/>
        <w:spacing w:before="9"/>
        <w:rPr>
          <w:sz w:val="20"/>
        </w:rPr>
      </w:pPr>
    </w:p>
    <w:p>
      <w:pPr>
        <w:pStyle w:val="BodyText"/>
        <w:spacing w:line="247" w:lineRule="auto"/>
        <w:ind w:left="100" w:right="117"/>
        <w:jc w:val="both"/>
      </w:pPr>
      <w:r>
        <w:rPr>
          <w:color w:val="231F20"/>
        </w:rPr>
        <w:t>Although the City of Dallas received commitments from various sources that are helping to fund portions of the LFMP project, including the FAA, the Transportation Security Administration, and the City of Dallas’ Aviation Fund, the majority of the funds used were from the issuance of bonds. The Company guaranteed principal and interest payments on $456 million of such bonds issued by the LFAMC. As of December 31, 2016, $432 million of principal remained outstanding.</w:t>
      </w:r>
    </w:p>
    <w:p>
      <w:pPr>
        <w:pStyle w:val="BodyText"/>
        <w:spacing w:before="9"/>
        <w:rPr>
          <w:sz w:val="20"/>
        </w:rPr>
      </w:pPr>
    </w:p>
    <w:p>
      <w:pPr>
        <w:pStyle w:val="BodyText"/>
        <w:spacing w:line="247" w:lineRule="auto"/>
        <w:ind w:left="100" w:right="117"/>
        <w:jc w:val="both"/>
      </w:pPr>
      <w:r>
        <w:rPr>
          <w:color w:val="231F20"/>
        </w:rPr>
        <w:t>In conjunction with the Company’s significant presence at Dallas Love Field, the Company agreed to manage the majority of the LFMP project. Based on the pertinent factors in place at the time the agreement was made, the Company utilized the accounting guidance provided for lessees involved in asset construction. As of December 31, 2016, the Company had recorded LFMP construction costs of</w:t>
      </w:r>
    </w:p>
    <w:p>
      <w:pPr>
        <w:pStyle w:val="BodyText"/>
        <w:spacing w:line="247" w:lineRule="auto"/>
        <w:ind w:left="100" w:right="117"/>
        <w:jc w:val="both"/>
      </w:pPr>
      <w:r>
        <w:rPr>
          <w:color w:val="231F20"/>
        </w:rPr>
        <w:t>$538 million within Assets constructed for others and had recorded a liability of $522 million within Construction obligation in its Consolidated Balance Sheet. Upon completion of different phases of the LFMP project, the Company has placed the associated assets in service and has begun depreciating the assets over their estimated useful lives. In addition, upon the effective completion of construction, the Company noted the project assets did not meet the qualifications for sale and leaseback accounting due to the Company’s continuing involvement with the facility, as defined; therefore, for financial  reporting purposes, these assets will remain on the Company’s books until the bonds issued by the   City of Dallas are repaid. The corresponding LFMP liabilities are being reduced primarily through the Company’s airport rental payments to the City of Dallas as the construction costs of this project are passed through to the Company via recurring airport rates and charges. A portion of these payments are reflected as Repayment of construction obligation in the Consolidated Statement of Cash Flows. The imputed interest rate associated with Construction obligation was nominal for 2015 and</w:t>
      </w:r>
      <w:r>
        <w:rPr>
          <w:color w:val="231F20"/>
          <w:spacing w:val="-4"/>
        </w:rPr>
        <w:t> </w:t>
      </w:r>
      <w:r>
        <w:rPr>
          <w:color w:val="231F20"/>
        </w:rPr>
        <w:t>2016.</w:t>
      </w:r>
    </w:p>
    <w:p>
      <w:pPr>
        <w:pStyle w:val="BodyText"/>
        <w:spacing w:before="10"/>
        <w:rPr>
          <w:sz w:val="20"/>
        </w:rPr>
      </w:pPr>
    </w:p>
    <w:p>
      <w:pPr>
        <w:pStyle w:val="BodyText"/>
        <w:spacing w:line="247" w:lineRule="auto"/>
        <w:ind w:left="100" w:right="118"/>
        <w:jc w:val="both"/>
      </w:pPr>
      <w:r>
        <w:rPr>
          <w:color w:val="231F20"/>
        </w:rPr>
        <w:t>During 2015, the City of Dallas issued additional bonds for the construction of a new parking garage at Dallas Love Field. The Company has not guaranteed the principal or interest payments on these bonds, but remains the accounting owner of this project. As of December 31, 2016, the Company recorded LFMP parking construction expenditures of $80 million with Assets constructed for others with a corresponding increase to Construction obligation on the accompanying Consolidated Balance Sheet.</w:t>
      </w:r>
    </w:p>
    <w:p>
      <w:pPr>
        <w:pStyle w:val="BodyText"/>
        <w:spacing w:before="9"/>
        <w:rPr>
          <w:sz w:val="20"/>
        </w:rPr>
      </w:pPr>
    </w:p>
    <w:p>
      <w:pPr>
        <w:pStyle w:val="Heading2"/>
        <w:ind w:left="100"/>
        <w:jc w:val="both"/>
        <w:rPr>
          <w:i/>
        </w:rPr>
      </w:pPr>
      <w:r>
        <w:rPr>
          <w:i/>
          <w:color w:val="231F20"/>
        </w:rPr>
        <w:t>Contingencies</w:t>
      </w:r>
    </w:p>
    <w:p>
      <w:pPr>
        <w:pStyle w:val="BodyText"/>
        <w:spacing w:before="5"/>
        <w:rPr>
          <w:b/>
          <w:i/>
          <w:sz w:val="21"/>
        </w:rPr>
      </w:pPr>
    </w:p>
    <w:p>
      <w:pPr>
        <w:pStyle w:val="BodyText"/>
        <w:spacing w:line="247" w:lineRule="auto"/>
        <w:ind w:left="100" w:right="117"/>
        <w:jc w:val="both"/>
      </w:pPr>
      <w:r>
        <w:rPr>
          <w:color w:val="231F20"/>
        </w:rPr>
        <w:t>The Company is from time to time subject to various legal proceedings and claims arising in the ordinary course of business, including, but not limited to, examinations by the Internal Revenue  Service (“IRS”). The Company’s management does not expect that the outcome of any of its currently ongoing legal proceedings or the outcome of any adjustments presented by the IRS, individually or collectively, will have a material adverse effect on the Company’s financial condition, results of operations, or cash flow.</w:t>
      </w:r>
    </w:p>
    <w:p>
      <w:pPr>
        <w:spacing w:after="0" w:line="247" w:lineRule="auto"/>
        <w:jc w:val="both"/>
        <w:sectPr>
          <w:pgSz w:w="11880" w:h="15480"/>
          <w:pgMar w:header="0" w:footer="1240" w:top="1240" w:bottom="1420" w:left="1280" w:right="1260"/>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26"/>
        <w:gridCol w:w="160"/>
        <w:gridCol w:w="2078"/>
        <w:gridCol w:w="1856"/>
      </w:tblGrid>
      <w:tr>
        <w:trPr>
          <w:trHeight w:val="356" w:hRule="exact"/>
        </w:trPr>
        <w:tc>
          <w:tcPr>
            <w:tcW w:w="5026" w:type="dxa"/>
          </w:tcPr>
          <w:p>
            <w:pPr>
              <w:pStyle w:val="TableParagraph"/>
              <w:spacing w:line="248" w:lineRule="exact" w:before="0"/>
              <w:rPr>
                <w:b/>
                <w:sz w:val="22"/>
              </w:rPr>
            </w:pPr>
            <w:bookmarkStart w:name="5. SUPPLEMENTAL FINANCIAL INFORMATION" w:id="29"/>
            <w:bookmarkEnd w:id="29"/>
            <w:r>
              <w:rPr/>
            </w:r>
            <w:r>
              <w:rPr>
                <w:b/>
                <w:color w:val="231F20"/>
                <w:sz w:val="22"/>
              </w:rPr>
              <w:t>5. SUPPLEMENTAL FINANCIAL INFORMATION</w:t>
            </w:r>
          </w:p>
        </w:tc>
        <w:tc>
          <w:tcPr>
            <w:tcW w:w="4094" w:type="dxa"/>
            <w:gridSpan w:val="3"/>
          </w:tcPr>
          <w:p>
            <w:pPr/>
          </w:p>
        </w:tc>
      </w:tr>
      <w:tr>
        <w:trPr>
          <w:trHeight w:val="359" w:hRule="exact"/>
        </w:trPr>
        <w:tc>
          <w:tcPr>
            <w:tcW w:w="5026" w:type="dxa"/>
          </w:tcPr>
          <w:p>
            <w:pPr>
              <w:pStyle w:val="TableParagraph"/>
              <w:spacing w:before="97"/>
              <w:rPr>
                <w:b/>
                <w:sz w:val="20"/>
              </w:rPr>
            </w:pPr>
            <w:r>
              <w:rPr>
                <w:b/>
                <w:color w:val="231F20"/>
                <w:sz w:val="20"/>
              </w:rPr>
              <w:t>(in millions)</w:t>
            </w:r>
          </w:p>
        </w:tc>
        <w:tc>
          <w:tcPr>
            <w:tcW w:w="160" w:type="dxa"/>
          </w:tcPr>
          <w:p>
            <w:pPr/>
          </w:p>
        </w:tc>
        <w:tc>
          <w:tcPr>
            <w:tcW w:w="2078" w:type="dxa"/>
            <w:tcBorders>
              <w:bottom w:val="single" w:sz="8" w:space="0" w:color="231F20"/>
            </w:tcBorders>
          </w:tcPr>
          <w:p>
            <w:pPr>
              <w:pStyle w:val="TableParagraph"/>
              <w:spacing w:before="97"/>
              <w:ind w:left="100"/>
              <w:rPr>
                <w:b/>
                <w:sz w:val="20"/>
              </w:rPr>
            </w:pPr>
            <w:r>
              <w:rPr>
                <w:b/>
                <w:color w:val="231F20"/>
                <w:sz w:val="20"/>
              </w:rPr>
              <w:t>December 31, 2016</w:t>
            </w:r>
          </w:p>
        </w:tc>
        <w:tc>
          <w:tcPr>
            <w:tcW w:w="1856" w:type="dxa"/>
            <w:tcBorders>
              <w:bottom w:val="single" w:sz="8" w:space="0" w:color="231F20"/>
            </w:tcBorders>
          </w:tcPr>
          <w:p>
            <w:pPr>
              <w:pStyle w:val="TableParagraph"/>
              <w:spacing w:before="97"/>
              <w:ind w:right="97"/>
              <w:jc w:val="right"/>
              <w:rPr>
                <w:b/>
                <w:sz w:val="20"/>
              </w:rPr>
            </w:pPr>
            <w:r>
              <w:rPr>
                <w:b/>
                <w:color w:val="231F20"/>
                <w:sz w:val="20"/>
              </w:rPr>
              <w:t>December 31, 2015</w:t>
            </w:r>
          </w:p>
        </w:tc>
      </w:tr>
      <w:tr>
        <w:trPr>
          <w:trHeight w:val="310" w:hRule="exact"/>
        </w:trPr>
        <w:tc>
          <w:tcPr>
            <w:tcW w:w="5026" w:type="dxa"/>
            <w:shd w:val="clear" w:color="auto" w:fill="D1D3D4"/>
          </w:tcPr>
          <w:p>
            <w:pPr>
              <w:pStyle w:val="TableParagraph"/>
              <w:spacing w:before="48"/>
              <w:rPr>
                <w:sz w:val="20"/>
              </w:rPr>
            </w:pPr>
            <w:r>
              <w:rPr>
                <w:color w:val="231F20"/>
                <w:sz w:val="20"/>
              </w:rPr>
              <w:t>Derivative contracts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120</w:t>
            </w:r>
          </w:p>
        </w:tc>
        <w:tc>
          <w:tcPr>
            <w:tcW w:w="1856" w:type="dxa"/>
            <w:tcBorders>
              <w:top w:val="single" w:sz="8" w:space="0" w:color="231F20"/>
            </w:tcBorders>
            <w:shd w:val="clear" w:color="auto" w:fill="D1D3D4"/>
          </w:tcPr>
          <w:p>
            <w:pPr>
              <w:pStyle w:val="TableParagraph"/>
              <w:tabs>
                <w:tab w:pos="1616" w:val="left" w:leader="none"/>
              </w:tabs>
              <w:spacing w:before="48"/>
              <w:ind w:right="97"/>
              <w:jc w:val="right"/>
              <w:rPr>
                <w:sz w:val="20"/>
              </w:rPr>
            </w:pPr>
            <w:r>
              <w:rPr>
                <w:color w:val="231F20"/>
                <w:sz w:val="20"/>
              </w:rPr>
              <w:t>$</w:t>
              <w:tab/>
              <w:t>9</w:t>
            </w:r>
          </w:p>
        </w:tc>
      </w:tr>
      <w:tr>
        <w:trPr>
          <w:trHeight w:val="300" w:hRule="exact"/>
        </w:trPr>
        <w:tc>
          <w:tcPr>
            <w:tcW w:w="5026" w:type="dxa"/>
          </w:tcPr>
          <w:p>
            <w:pPr>
              <w:pStyle w:val="TableParagraph"/>
              <w:spacing w:before="48"/>
              <w:rPr>
                <w:sz w:val="20"/>
              </w:rPr>
            </w:pPr>
            <w:r>
              <w:rPr>
                <w:color w:val="231F20"/>
                <w:sz w:val="20"/>
              </w:rPr>
              <w:t>Intangible assets, net</w:t>
            </w:r>
          </w:p>
        </w:tc>
        <w:tc>
          <w:tcPr>
            <w:tcW w:w="160" w:type="dxa"/>
          </w:tcPr>
          <w:p>
            <w:pPr/>
          </w:p>
        </w:tc>
        <w:tc>
          <w:tcPr>
            <w:tcW w:w="2078" w:type="dxa"/>
          </w:tcPr>
          <w:p>
            <w:pPr>
              <w:pStyle w:val="TableParagraph"/>
              <w:spacing w:before="48"/>
              <w:ind w:right="325"/>
              <w:jc w:val="right"/>
              <w:rPr>
                <w:sz w:val="20"/>
              </w:rPr>
            </w:pPr>
            <w:r>
              <w:rPr>
                <w:color w:val="231F20"/>
                <w:sz w:val="20"/>
              </w:rPr>
              <w:t>426</w:t>
            </w:r>
          </w:p>
        </w:tc>
        <w:tc>
          <w:tcPr>
            <w:tcW w:w="1856" w:type="dxa"/>
          </w:tcPr>
          <w:p>
            <w:pPr>
              <w:pStyle w:val="TableParagraph"/>
              <w:spacing w:before="48"/>
              <w:ind w:right="97"/>
              <w:jc w:val="right"/>
              <w:rPr>
                <w:sz w:val="20"/>
              </w:rPr>
            </w:pPr>
            <w:r>
              <w:rPr>
                <w:color w:val="231F20"/>
                <w:sz w:val="20"/>
              </w:rPr>
              <w:t>464</w:t>
            </w:r>
          </w:p>
        </w:tc>
      </w:tr>
      <w:tr>
        <w:trPr>
          <w:trHeight w:val="300" w:hRule="exact"/>
        </w:trPr>
        <w:tc>
          <w:tcPr>
            <w:tcW w:w="5026" w:type="dxa"/>
            <w:shd w:val="clear" w:color="auto" w:fill="D1D3D4"/>
          </w:tcPr>
          <w:p>
            <w:pPr>
              <w:pStyle w:val="TableParagraph"/>
              <w:spacing w:before="48"/>
              <w:rPr>
                <w:sz w:val="20"/>
              </w:rPr>
            </w:pPr>
            <w:r>
              <w:rPr>
                <w:color w:val="231F20"/>
                <w:sz w:val="20"/>
              </w:rPr>
              <w:t>Capital lease receivable</w:t>
            </w:r>
          </w:p>
        </w:tc>
        <w:tc>
          <w:tcPr>
            <w:tcW w:w="160" w:type="dxa"/>
            <w:shd w:val="clear" w:color="auto" w:fill="D1D3D4"/>
          </w:tcPr>
          <w:p>
            <w:pPr/>
          </w:p>
        </w:tc>
        <w:tc>
          <w:tcPr>
            <w:tcW w:w="2078" w:type="dxa"/>
            <w:shd w:val="clear" w:color="auto" w:fill="D1D3D4"/>
          </w:tcPr>
          <w:p>
            <w:pPr>
              <w:pStyle w:val="TableParagraph"/>
              <w:spacing w:before="48"/>
              <w:ind w:right="325"/>
              <w:jc w:val="right"/>
              <w:rPr>
                <w:sz w:val="20"/>
              </w:rPr>
            </w:pPr>
            <w:r>
              <w:rPr>
                <w:color w:val="231F20"/>
                <w:sz w:val="20"/>
              </w:rPr>
              <w:t>90</w:t>
            </w:r>
          </w:p>
        </w:tc>
        <w:tc>
          <w:tcPr>
            <w:tcW w:w="1856" w:type="dxa"/>
            <w:shd w:val="clear" w:color="auto" w:fill="D1D3D4"/>
          </w:tcPr>
          <w:p>
            <w:pPr>
              <w:pStyle w:val="TableParagraph"/>
              <w:spacing w:before="48"/>
              <w:ind w:right="97"/>
              <w:jc w:val="right"/>
              <w:rPr>
                <w:sz w:val="20"/>
              </w:rPr>
            </w:pPr>
            <w:r>
              <w:rPr>
                <w:color w:val="231F20"/>
                <w:sz w:val="20"/>
              </w:rPr>
              <w:t>94</w:t>
            </w:r>
          </w:p>
        </w:tc>
      </w:tr>
      <w:tr>
        <w:trPr>
          <w:trHeight w:val="315" w:hRule="exact"/>
        </w:trPr>
        <w:tc>
          <w:tcPr>
            <w:tcW w:w="5026" w:type="dxa"/>
          </w:tcPr>
          <w:p>
            <w:pPr>
              <w:pStyle w:val="TableParagraph"/>
              <w:spacing w:before="48"/>
              <w:rPr>
                <w:sz w:val="20"/>
              </w:rPr>
            </w:pPr>
            <w:r>
              <w:rPr>
                <w:color w:val="231F20"/>
                <w:sz w:val="20"/>
              </w:rPr>
              <w:t>Other</w:t>
            </w:r>
          </w:p>
        </w:tc>
        <w:tc>
          <w:tcPr>
            <w:tcW w:w="160" w:type="dxa"/>
          </w:tcPr>
          <w:p>
            <w:pPr/>
          </w:p>
        </w:tc>
        <w:tc>
          <w:tcPr>
            <w:tcW w:w="2078" w:type="dxa"/>
            <w:tcBorders>
              <w:bottom w:val="single" w:sz="4" w:space="0" w:color="231F20"/>
            </w:tcBorders>
          </w:tcPr>
          <w:p>
            <w:pPr>
              <w:pStyle w:val="TableParagraph"/>
              <w:spacing w:before="48"/>
              <w:ind w:right="326"/>
              <w:jc w:val="right"/>
              <w:rPr>
                <w:sz w:val="20"/>
              </w:rPr>
            </w:pPr>
            <w:r>
              <w:rPr>
                <w:color w:val="231F20"/>
                <w:sz w:val="20"/>
              </w:rPr>
              <w:t>138</w:t>
            </w:r>
          </w:p>
        </w:tc>
        <w:tc>
          <w:tcPr>
            <w:tcW w:w="1856" w:type="dxa"/>
            <w:tcBorders>
              <w:bottom w:val="single" w:sz="4" w:space="0" w:color="231F20"/>
            </w:tcBorders>
          </w:tcPr>
          <w:p>
            <w:pPr>
              <w:pStyle w:val="TableParagraph"/>
              <w:spacing w:before="48"/>
              <w:ind w:right="99"/>
              <w:jc w:val="right"/>
              <w:rPr>
                <w:sz w:val="20"/>
              </w:rPr>
            </w:pPr>
            <w:r>
              <w:rPr>
                <w:color w:val="231F20"/>
                <w:sz w:val="20"/>
              </w:rPr>
              <w:t>150</w:t>
            </w:r>
          </w:p>
        </w:tc>
      </w:tr>
      <w:tr>
        <w:trPr>
          <w:trHeight w:val="360" w:hRule="exact"/>
        </w:trPr>
        <w:tc>
          <w:tcPr>
            <w:tcW w:w="5026" w:type="dxa"/>
            <w:shd w:val="clear" w:color="auto" w:fill="D1D3D4"/>
          </w:tcPr>
          <w:p>
            <w:pPr>
              <w:pStyle w:val="TableParagraph"/>
              <w:spacing w:before="48"/>
              <w:ind w:left="200"/>
              <w:rPr>
                <w:sz w:val="20"/>
              </w:rPr>
            </w:pPr>
            <w:r>
              <w:rPr>
                <w:color w:val="231F20"/>
                <w:sz w:val="20"/>
              </w:rPr>
              <w:t>Other assets</w:t>
            </w:r>
          </w:p>
        </w:tc>
        <w:tc>
          <w:tcPr>
            <w:tcW w:w="160" w:type="dxa"/>
            <w:shd w:val="clear" w:color="auto" w:fill="D1D3D4"/>
          </w:tcPr>
          <w:p>
            <w:pPr/>
          </w:p>
        </w:tc>
        <w:tc>
          <w:tcPr>
            <w:tcW w:w="2078" w:type="dxa"/>
            <w:tcBorders>
              <w:top w:val="single" w:sz="4" w:space="0" w:color="231F20"/>
              <w:bottom w:val="single" w:sz="4" w:space="0" w:color="231F20"/>
            </w:tcBorders>
            <w:shd w:val="clear" w:color="auto" w:fill="D1D3D4"/>
          </w:tcPr>
          <w:p>
            <w:pPr>
              <w:pStyle w:val="TableParagraph"/>
              <w:tabs>
                <w:tab w:pos="1449" w:val="left" w:leader="none"/>
              </w:tabs>
              <w:spacing w:before="48"/>
              <w:rPr>
                <w:sz w:val="20"/>
              </w:rPr>
            </w:pPr>
            <w:r>
              <w:rPr>
                <w:color w:val="231F20"/>
                <w:sz w:val="20"/>
              </w:rPr>
              <w:t>$</w:t>
              <w:tab/>
              <w:t>774</w:t>
            </w:r>
          </w:p>
        </w:tc>
        <w:tc>
          <w:tcPr>
            <w:tcW w:w="1856" w:type="dxa"/>
            <w:tcBorders>
              <w:top w:val="single" w:sz="4" w:space="0" w:color="231F20"/>
              <w:bottom w:val="single" w:sz="4" w:space="0" w:color="231F20"/>
            </w:tcBorders>
            <w:shd w:val="clear" w:color="auto" w:fill="D1D3D4"/>
          </w:tcPr>
          <w:p>
            <w:pPr>
              <w:pStyle w:val="TableParagraph"/>
              <w:tabs>
                <w:tab w:pos="1416" w:val="left" w:leader="none"/>
              </w:tabs>
              <w:spacing w:before="48"/>
              <w:ind w:right="99"/>
              <w:jc w:val="right"/>
              <w:rPr>
                <w:sz w:val="20"/>
              </w:rPr>
            </w:pPr>
            <w:r>
              <w:rPr>
                <w:color w:val="231F20"/>
                <w:sz w:val="20"/>
              </w:rPr>
              <w:t>$</w:t>
              <w:tab/>
              <w:t>717</w:t>
            </w:r>
          </w:p>
        </w:tc>
      </w:tr>
      <w:tr>
        <w:trPr>
          <w:trHeight w:val="515" w:hRule="exact"/>
        </w:trPr>
        <w:tc>
          <w:tcPr>
            <w:tcW w:w="5026" w:type="dxa"/>
          </w:tcPr>
          <w:p>
            <w:pPr>
              <w:pStyle w:val="TableParagraph"/>
              <w:spacing w:before="9"/>
              <w:rPr>
                <w:sz w:val="26"/>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2016</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2015</w:t>
            </w:r>
          </w:p>
        </w:tc>
      </w:tr>
      <w:tr>
        <w:trPr>
          <w:trHeight w:val="310" w:hRule="exact"/>
        </w:trPr>
        <w:tc>
          <w:tcPr>
            <w:tcW w:w="5026" w:type="dxa"/>
            <w:shd w:val="clear" w:color="auto" w:fill="D1D3D4"/>
          </w:tcPr>
          <w:p>
            <w:pPr>
              <w:pStyle w:val="TableParagraph"/>
              <w:spacing w:before="48"/>
              <w:rPr>
                <w:sz w:val="20"/>
              </w:rPr>
            </w:pPr>
            <w:r>
              <w:rPr>
                <w:color w:val="231F20"/>
                <w:sz w:val="20"/>
              </w:rPr>
              <w:t>Accounts payable trade</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138</w:t>
            </w:r>
          </w:p>
        </w:tc>
        <w:tc>
          <w:tcPr>
            <w:tcW w:w="1856" w:type="dxa"/>
            <w:tcBorders>
              <w:top w:val="single" w:sz="8" w:space="0" w:color="231F20"/>
            </w:tcBorders>
            <w:shd w:val="clear" w:color="auto" w:fill="D1D3D4"/>
          </w:tcPr>
          <w:p>
            <w:pPr>
              <w:pStyle w:val="TableParagraph"/>
              <w:tabs>
                <w:tab w:pos="1416" w:val="left" w:leader="none"/>
              </w:tabs>
              <w:spacing w:before="48"/>
              <w:ind w:right="97"/>
              <w:jc w:val="right"/>
              <w:rPr>
                <w:sz w:val="20"/>
              </w:rPr>
            </w:pPr>
            <w:r>
              <w:rPr>
                <w:color w:val="231F20"/>
                <w:sz w:val="20"/>
              </w:rPr>
              <w:t>$</w:t>
              <w:tab/>
              <w:t>178</w:t>
            </w:r>
          </w:p>
        </w:tc>
      </w:tr>
      <w:tr>
        <w:trPr>
          <w:trHeight w:val="300" w:hRule="exact"/>
        </w:trPr>
        <w:tc>
          <w:tcPr>
            <w:tcW w:w="5026" w:type="dxa"/>
          </w:tcPr>
          <w:p>
            <w:pPr>
              <w:pStyle w:val="TableParagraph"/>
              <w:spacing w:before="48"/>
              <w:rPr>
                <w:sz w:val="20"/>
              </w:rPr>
            </w:pPr>
            <w:r>
              <w:rPr>
                <w:color w:val="231F20"/>
                <w:sz w:val="20"/>
              </w:rPr>
              <w:t>Salaries payable</w:t>
            </w:r>
          </w:p>
        </w:tc>
        <w:tc>
          <w:tcPr>
            <w:tcW w:w="160" w:type="dxa"/>
          </w:tcPr>
          <w:p>
            <w:pPr/>
          </w:p>
        </w:tc>
        <w:tc>
          <w:tcPr>
            <w:tcW w:w="2078" w:type="dxa"/>
          </w:tcPr>
          <w:p>
            <w:pPr>
              <w:pStyle w:val="TableParagraph"/>
              <w:spacing w:before="48"/>
              <w:ind w:right="327"/>
              <w:jc w:val="right"/>
              <w:rPr>
                <w:sz w:val="20"/>
              </w:rPr>
            </w:pPr>
            <w:r>
              <w:rPr>
                <w:color w:val="231F20"/>
                <w:sz w:val="20"/>
              </w:rPr>
              <w:t>200</w:t>
            </w:r>
          </w:p>
        </w:tc>
        <w:tc>
          <w:tcPr>
            <w:tcW w:w="1856" w:type="dxa"/>
          </w:tcPr>
          <w:p>
            <w:pPr>
              <w:pStyle w:val="TableParagraph"/>
              <w:spacing w:before="48"/>
              <w:ind w:right="99"/>
              <w:jc w:val="right"/>
              <w:rPr>
                <w:sz w:val="20"/>
              </w:rPr>
            </w:pPr>
            <w:r>
              <w:rPr>
                <w:color w:val="231F20"/>
                <w:sz w:val="20"/>
              </w:rPr>
              <w:t>173</w:t>
            </w:r>
          </w:p>
        </w:tc>
      </w:tr>
      <w:tr>
        <w:trPr>
          <w:trHeight w:val="300" w:hRule="exact"/>
        </w:trPr>
        <w:tc>
          <w:tcPr>
            <w:tcW w:w="5026" w:type="dxa"/>
            <w:shd w:val="clear" w:color="auto" w:fill="D1D3D4"/>
          </w:tcPr>
          <w:p>
            <w:pPr>
              <w:pStyle w:val="TableParagraph"/>
              <w:spacing w:before="48"/>
              <w:rPr>
                <w:sz w:val="20"/>
              </w:rPr>
            </w:pPr>
            <w:r>
              <w:rPr>
                <w:color w:val="231F20"/>
                <w:sz w:val="20"/>
              </w:rPr>
              <w:t>Taxes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184</w:t>
            </w:r>
          </w:p>
        </w:tc>
        <w:tc>
          <w:tcPr>
            <w:tcW w:w="1856" w:type="dxa"/>
            <w:shd w:val="clear" w:color="auto" w:fill="D1D3D4"/>
          </w:tcPr>
          <w:p>
            <w:pPr>
              <w:pStyle w:val="TableParagraph"/>
              <w:spacing w:before="48"/>
              <w:ind w:right="99"/>
              <w:jc w:val="right"/>
              <w:rPr>
                <w:sz w:val="20"/>
              </w:rPr>
            </w:pPr>
            <w:r>
              <w:rPr>
                <w:color w:val="231F20"/>
                <w:sz w:val="20"/>
              </w:rPr>
              <w:t>179</w:t>
            </w:r>
          </w:p>
        </w:tc>
      </w:tr>
      <w:tr>
        <w:trPr>
          <w:trHeight w:val="300" w:hRule="exact"/>
        </w:trPr>
        <w:tc>
          <w:tcPr>
            <w:tcW w:w="5026" w:type="dxa"/>
          </w:tcPr>
          <w:p>
            <w:pPr>
              <w:pStyle w:val="TableParagraph"/>
              <w:spacing w:before="48"/>
              <w:rPr>
                <w:sz w:val="20"/>
              </w:rPr>
            </w:pPr>
            <w:r>
              <w:rPr>
                <w:color w:val="231F20"/>
                <w:sz w:val="20"/>
              </w:rPr>
              <w:t>Aircraft maintenance payable</w:t>
            </w:r>
          </w:p>
        </w:tc>
        <w:tc>
          <w:tcPr>
            <w:tcW w:w="160" w:type="dxa"/>
          </w:tcPr>
          <w:p>
            <w:pPr/>
          </w:p>
        </w:tc>
        <w:tc>
          <w:tcPr>
            <w:tcW w:w="2078" w:type="dxa"/>
          </w:tcPr>
          <w:p>
            <w:pPr>
              <w:pStyle w:val="TableParagraph"/>
              <w:spacing w:before="48"/>
              <w:ind w:right="325"/>
              <w:jc w:val="right"/>
              <w:rPr>
                <w:sz w:val="20"/>
              </w:rPr>
            </w:pPr>
            <w:r>
              <w:rPr>
                <w:color w:val="231F20"/>
                <w:sz w:val="20"/>
              </w:rPr>
              <w:t>26</w:t>
            </w:r>
          </w:p>
        </w:tc>
        <w:tc>
          <w:tcPr>
            <w:tcW w:w="1856" w:type="dxa"/>
          </w:tcPr>
          <w:p>
            <w:pPr>
              <w:pStyle w:val="TableParagraph"/>
              <w:spacing w:before="48"/>
              <w:ind w:right="97"/>
              <w:jc w:val="right"/>
              <w:rPr>
                <w:sz w:val="20"/>
              </w:rPr>
            </w:pPr>
            <w:r>
              <w:rPr>
                <w:color w:val="231F20"/>
                <w:sz w:val="20"/>
              </w:rPr>
              <w:t>168</w:t>
            </w:r>
          </w:p>
        </w:tc>
      </w:tr>
      <w:tr>
        <w:trPr>
          <w:trHeight w:val="300" w:hRule="exact"/>
        </w:trPr>
        <w:tc>
          <w:tcPr>
            <w:tcW w:w="5026" w:type="dxa"/>
            <w:shd w:val="clear" w:color="auto" w:fill="D1D3D4"/>
          </w:tcPr>
          <w:p>
            <w:pPr>
              <w:pStyle w:val="TableParagraph"/>
              <w:spacing w:before="48"/>
              <w:rPr>
                <w:sz w:val="20"/>
              </w:rPr>
            </w:pPr>
            <w:r>
              <w:rPr>
                <w:color w:val="231F20"/>
                <w:sz w:val="20"/>
              </w:rPr>
              <w:t>Fuel payable</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95</w:t>
            </w:r>
          </w:p>
        </w:tc>
        <w:tc>
          <w:tcPr>
            <w:tcW w:w="1856" w:type="dxa"/>
            <w:shd w:val="clear" w:color="auto" w:fill="D1D3D4"/>
          </w:tcPr>
          <w:p>
            <w:pPr>
              <w:pStyle w:val="TableParagraph"/>
              <w:spacing w:before="48"/>
              <w:ind w:right="99"/>
              <w:jc w:val="right"/>
              <w:rPr>
                <w:sz w:val="20"/>
              </w:rPr>
            </w:pPr>
            <w:r>
              <w:rPr>
                <w:color w:val="231F20"/>
                <w:sz w:val="20"/>
              </w:rPr>
              <w:t>48</w:t>
            </w:r>
          </w:p>
        </w:tc>
      </w:tr>
      <w:tr>
        <w:trPr>
          <w:trHeight w:val="315" w:hRule="exact"/>
        </w:trPr>
        <w:tc>
          <w:tcPr>
            <w:tcW w:w="5026" w:type="dxa"/>
          </w:tcPr>
          <w:p>
            <w:pPr>
              <w:pStyle w:val="TableParagraph"/>
              <w:spacing w:before="48"/>
              <w:rPr>
                <w:sz w:val="20"/>
              </w:rPr>
            </w:pPr>
            <w:r>
              <w:rPr>
                <w:color w:val="231F20"/>
                <w:sz w:val="20"/>
              </w:rPr>
              <w:t>Other payable</w:t>
            </w:r>
          </w:p>
        </w:tc>
        <w:tc>
          <w:tcPr>
            <w:tcW w:w="160" w:type="dxa"/>
          </w:tcPr>
          <w:p>
            <w:pPr/>
          </w:p>
        </w:tc>
        <w:tc>
          <w:tcPr>
            <w:tcW w:w="2078" w:type="dxa"/>
            <w:tcBorders>
              <w:bottom w:val="single" w:sz="4" w:space="0" w:color="231F20"/>
            </w:tcBorders>
          </w:tcPr>
          <w:p>
            <w:pPr>
              <w:pStyle w:val="TableParagraph"/>
              <w:spacing w:before="48"/>
              <w:ind w:right="326"/>
              <w:jc w:val="right"/>
              <w:rPr>
                <w:sz w:val="20"/>
              </w:rPr>
            </w:pPr>
            <w:r>
              <w:rPr>
                <w:color w:val="231F20"/>
                <w:sz w:val="20"/>
              </w:rPr>
              <w:t>535</w:t>
            </w:r>
          </w:p>
        </w:tc>
        <w:tc>
          <w:tcPr>
            <w:tcW w:w="1856" w:type="dxa"/>
            <w:tcBorders>
              <w:bottom w:val="single" w:sz="4" w:space="0" w:color="231F20"/>
            </w:tcBorders>
          </w:tcPr>
          <w:p>
            <w:pPr>
              <w:pStyle w:val="TableParagraph"/>
              <w:spacing w:before="48"/>
              <w:ind w:right="99"/>
              <w:jc w:val="right"/>
              <w:rPr>
                <w:sz w:val="20"/>
              </w:rPr>
            </w:pPr>
            <w:r>
              <w:rPr>
                <w:color w:val="231F20"/>
                <w:sz w:val="20"/>
              </w:rPr>
              <w:t>442</w:t>
            </w:r>
          </w:p>
        </w:tc>
      </w:tr>
      <w:tr>
        <w:trPr>
          <w:trHeight w:val="360" w:hRule="exact"/>
        </w:trPr>
        <w:tc>
          <w:tcPr>
            <w:tcW w:w="5026" w:type="dxa"/>
            <w:shd w:val="clear" w:color="auto" w:fill="D1D3D4"/>
          </w:tcPr>
          <w:p>
            <w:pPr>
              <w:pStyle w:val="TableParagraph"/>
              <w:spacing w:before="48"/>
              <w:ind w:left="200"/>
              <w:rPr>
                <w:sz w:val="20"/>
              </w:rPr>
            </w:pPr>
            <w:r>
              <w:rPr>
                <w:color w:val="231F20"/>
                <w:sz w:val="20"/>
              </w:rPr>
              <w:t>Accounts payable</w:t>
            </w:r>
          </w:p>
        </w:tc>
        <w:tc>
          <w:tcPr>
            <w:tcW w:w="160" w:type="dxa"/>
            <w:shd w:val="clear" w:color="auto" w:fill="D1D3D4"/>
          </w:tcPr>
          <w:p>
            <w:pPr/>
          </w:p>
        </w:tc>
        <w:tc>
          <w:tcPr>
            <w:tcW w:w="2078" w:type="dxa"/>
            <w:tcBorders>
              <w:top w:val="single" w:sz="4" w:space="0" w:color="231F20"/>
              <w:bottom w:val="single" w:sz="4" w:space="0" w:color="231F20"/>
            </w:tcBorders>
            <w:shd w:val="clear" w:color="auto" w:fill="D1D3D4"/>
          </w:tcPr>
          <w:p>
            <w:pPr>
              <w:pStyle w:val="TableParagraph"/>
              <w:tabs>
                <w:tab w:pos="1299" w:val="left" w:leader="none"/>
              </w:tabs>
              <w:spacing w:before="48"/>
              <w:rPr>
                <w:sz w:val="20"/>
              </w:rPr>
            </w:pPr>
            <w:r>
              <w:rPr>
                <w:color w:val="231F20"/>
                <w:sz w:val="20"/>
              </w:rPr>
              <w:t>$</w:t>
              <w:tab/>
              <w:t>1,178</w:t>
            </w:r>
          </w:p>
        </w:tc>
        <w:tc>
          <w:tcPr>
            <w:tcW w:w="1856" w:type="dxa"/>
            <w:tcBorders>
              <w:top w:val="single" w:sz="4" w:space="0" w:color="231F20"/>
              <w:bottom w:val="single" w:sz="4" w:space="0" w:color="231F20"/>
            </w:tcBorders>
            <w:shd w:val="clear" w:color="auto" w:fill="D1D3D4"/>
          </w:tcPr>
          <w:p>
            <w:pPr>
              <w:pStyle w:val="TableParagraph"/>
              <w:tabs>
                <w:tab w:pos="1266" w:val="left" w:leader="none"/>
              </w:tabs>
              <w:spacing w:before="48"/>
              <w:ind w:right="97"/>
              <w:jc w:val="right"/>
              <w:rPr>
                <w:sz w:val="20"/>
              </w:rPr>
            </w:pPr>
            <w:r>
              <w:rPr>
                <w:color w:val="231F20"/>
                <w:sz w:val="20"/>
              </w:rPr>
              <w:t>$</w:t>
              <w:tab/>
              <w:t>1,188</w:t>
            </w:r>
          </w:p>
        </w:tc>
      </w:tr>
      <w:tr>
        <w:trPr>
          <w:trHeight w:val="515" w:hRule="exact"/>
        </w:trPr>
        <w:tc>
          <w:tcPr>
            <w:tcW w:w="5026" w:type="dxa"/>
          </w:tcPr>
          <w:p>
            <w:pPr>
              <w:pStyle w:val="TableParagraph"/>
              <w:spacing w:before="9"/>
              <w:rPr>
                <w:sz w:val="26"/>
              </w:rPr>
            </w:pPr>
          </w:p>
          <w:p>
            <w:pPr>
              <w:pStyle w:val="TableParagraph"/>
              <w:spacing w:before="0"/>
              <w:rPr>
                <w:b/>
                <w:sz w:val="20"/>
              </w:rPr>
            </w:pPr>
            <w:r>
              <w:rPr>
                <w:b/>
                <w:color w:val="231F20"/>
                <w:sz w:val="20"/>
              </w:rPr>
              <w:t>(in millions)</w:t>
            </w:r>
          </w:p>
        </w:tc>
        <w:tc>
          <w:tcPr>
            <w:tcW w:w="160" w:type="dxa"/>
          </w:tcPr>
          <w:p>
            <w:pPr/>
          </w:p>
        </w:tc>
        <w:tc>
          <w:tcPr>
            <w:tcW w:w="2078" w:type="dxa"/>
            <w:tcBorders>
              <w:top w:val="single" w:sz="4" w:space="0" w:color="231F20"/>
              <w:bottom w:val="single" w:sz="8" w:space="0" w:color="231F20"/>
            </w:tcBorders>
          </w:tcPr>
          <w:p>
            <w:pPr>
              <w:pStyle w:val="TableParagraph"/>
              <w:spacing w:before="7"/>
              <w:rPr>
                <w:sz w:val="21"/>
              </w:rPr>
            </w:pPr>
          </w:p>
          <w:p>
            <w:pPr>
              <w:pStyle w:val="TableParagraph"/>
              <w:spacing w:before="0"/>
              <w:ind w:left="100"/>
              <w:rPr>
                <w:b/>
                <w:sz w:val="20"/>
              </w:rPr>
            </w:pPr>
            <w:r>
              <w:rPr>
                <w:b/>
                <w:color w:val="231F20"/>
                <w:sz w:val="20"/>
              </w:rPr>
              <w:t>December 31, 2016</w:t>
            </w:r>
          </w:p>
        </w:tc>
        <w:tc>
          <w:tcPr>
            <w:tcW w:w="1856" w:type="dxa"/>
            <w:tcBorders>
              <w:top w:val="single" w:sz="4" w:space="0" w:color="231F20"/>
              <w:bottom w:val="single" w:sz="8" w:space="0" w:color="231F20"/>
            </w:tcBorders>
          </w:tcPr>
          <w:p>
            <w:pPr>
              <w:pStyle w:val="TableParagraph"/>
              <w:spacing w:before="7"/>
              <w:rPr>
                <w:sz w:val="21"/>
              </w:rPr>
            </w:pPr>
          </w:p>
          <w:p>
            <w:pPr>
              <w:pStyle w:val="TableParagraph"/>
              <w:spacing w:before="0"/>
              <w:ind w:right="97"/>
              <w:jc w:val="right"/>
              <w:rPr>
                <w:b/>
                <w:sz w:val="20"/>
              </w:rPr>
            </w:pPr>
            <w:r>
              <w:rPr>
                <w:b/>
                <w:color w:val="231F20"/>
                <w:sz w:val="20"/>
              </w:rPr>
              <w:t>December 31, 2015</w:t>
            </w:r>
          </w:p>
        </w:tc>
      </w:tr>
      <w:tr>
        <w:trPr>
          <w:trHeight w:val="310" w:hRule="exact"/>
        </w:trPr>
        <w:tc>
          <w:tcPr>
            <w:tcW w:w="5026" w:type="dxa"/>
            <w:shd w:val="clear" w:color="auto" w:fill="D1D3D4"/>
          </w:tcPr>
          <w:p>
            <w:pPr>
              <w:pStyle w:val="TableParagraph"/>
              <w:spacing w:before="48"/>
              <w:rPr>
                <w:sz w:val="20"/>
              </w:rPr>
            </w:pPr>
            <w:r>
              <w:rPr>
                <w:color w:val="231F20"/>
                <w:sz w:val="20"/>
              </w:rPr>
              <w:t>Profitsharing and savings plans</w:t>
            </w:r>
          </w:p>
        </w:tc>
        <w:tc>
          <w:tcPr>
            <w:tcW w:w="160" w:type="dxa"/>
            <w:shd w:val="clear" w:color="auto" w:fill="D1D3D4"/>
          </w:tcPr>
          <w:p>
            <w:pPr/>
          </w:p>
        </w:tc>
        <w:tc>
          <w:tcPr>
            <w:tcW w:w="2078" w:type="dxa"/>
            <w:tcBorders>
              <w:top w:val="single" w:sz="8" w:space="0" w:color="231F20"/>
            </w:tcBorders>
            <w:shd w:val="clear" w:color="auto" w:fill="D1D3D4"/>
          </w:tcPr>
          <w:p>
            <w:pPr>
              <w:pStyle w:val="TableParagraph"/>
              <w:tabs>
                <w:tab w:pos="1449" w:val="left" w:leader="none"/>
              </w:tabs>
              <w:spacing w:before="48"/>
              <w:rPr>
                <w:sz w:val="20"/>
              </w:rPr>
            </w:pPr>
            <w:r>
              <w:rPr>
                <w:color w:val="231F20"/>
                <w:sz w:val="20"/>
              </w:rPr>
              <w:t>$</w:t>
              <w:tab/>
              <w:t>645</w:t>
            </w:r>
          </w:p>
        </w:tc>
        <w:tc>
          <w:tcPr>
            <w:tcW w:w="1856" w:type="dxa"/>
            <w:tcBorders>
              <w:top w:val="single" w:sz="8" w:space="0" w:color="231F20"/>
            </w:tcBorders>
            <w:shd w:val="clear" w:color="auto" w:fill="D1D3D4"/>
          </w:tcPr>
          <w:p>
            <w:pPr>
              <w:pStyle w:val="TableParagraph"/>
              <w:tabs>
                <w:tab w:pos="1416" w:val="left" w:leader="none"/>
              </w:tabs>
              <w:spacing w:before="48"/>
              <w:ind w:right="97"/>
              <w:jc w:val="right"/>
              <w:rPr>
                <w:sz w:val="20"/>
              </w:rPr>
            </w:pPr>
            <w:r>
              <w:rPr>
                <w:color w:val="231F20"/>
                <w:sz w:val="20"/>
              </w:rPr>
              <w:t>$</w:t>
              <w:tab/>
              <w:t>655</w:t>
            </w:r>
          </w:p>
        </w:tc>
      </w:tr>
      <w:tr>
        <w:trPr>
          <w:trHeight w:val="300" w:hRule="exact"/>
        </w:trPr>
        <w:tc>
          <w:tcPr>
            <w:tcW w:w="5026" w:type="dxa"/>
          </w:tcPr>
          <w:p>
            <w:pPr>
              <w:pStyle w:val="TableParagraph"/>
              <w:spacing w:before="48"/>
              <w:rPr>
                <w:sz w:val="20"/>
              </w:rPr>
            </w:pPr>
            <w:r>
              <w:rPr>
                <w:color w:val="231F20"/>
                <w:sz w:val="20"/>
              </w:rPr>
              <w:t>Aircraft and other lease related obligations</w:t>
            </w:r>
          </w:p>
        </w:tc>
        <w:tc>
          <w:tcPr>
            <w:tcW w:w="160" w:type="dxa"/>
          </w:tcPr>
          <w:p>
            <w:pPr/>
          </w:p>
        </w:tc>
        <w:tc>
          <w:tcPr>
            <w:tcW w:w="2078" w:type="dxa"/>
          </w:tcPr>
          <w:p>
            <w:pPr>
              <w:pStyle w:val="TableParagraph"/>
              <w:spacing w:before="48"/>
              <w:ind w:right="325"/>
              <w:jc w:val="right"/>
              <w:rPr>
                <w:sz w:val="20"/>
              </w:rPr>
            </w:pPr>
            <w:r>
              <w:rPr>
                <w:color w:val="231F20"/>
                <w:sz w:val="20"/>
              </w:rPr>
              <w:t>55</w:t>
            </w:r>
          </w:p>
        </w:tc>
        <w:tc>
          <w:tcPr>
            <w:tcW w:w="1856" w:type="dxa"/>
          </w:tcPr>
          <w:p>
            <w:pPr>
              <w:pStyle w:val="TableParagraph"/>
              <w:spacing w:before="48"/>
              <w:ind w:right="97"/>
              <w:jc w:val="right"/>
              <w:rPr>
                <w:sz w:val="20"/>
              </w:rPr>
            </w:pPr>
            <w:r>
              <w:rPr>
                <w:color w:val="231F20"/>
                <w:sz w:val="20"/>
              </w:rPr>
              <w:t>74</w:t>
            </w:r>
          </w:p>
        </w:tc>
      </w:tr>
      <w:tr>
        <w:trPr>
          <w:trHeight w:val="300" w:hRule="exact"/>
        </w:trPr>
        <w:tc>
          <w:tcPr>
            <w:tcW w:w="5026" w:type="dxa"/>
            <w:shd w:val="clear" w:color="auto" w:fill="D1D3D4"/>
          </w:tcPr>
          <w:p>
            <w:pPr>
              <w:pStyle w:val="TableParagraph"/>
              <w:spacing w:before="48"/>
              <w:rPr>
                <w:sz w:val="20"/>
              </w:rPr>
            </w:pPr>
            <w:r>
              <w:rPr>
                <w:color w:val="231F20"/>
                <w:sz w:val="20"/>
              </w:rPr>
              <w:t>Vacation pay</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355</w:t>
            </w:r>
          </w:p>
        </w:tc>
        <w:tc>
          <w:tcPr>
            <w:tcW w:w="1856" w:type="dxa"/>
            <w:shd w:val="clear" w:color="auto" w:fill="D1D3D4"/>
          </w:tcPr>
          <w:p>
            <w:pPr>
              <w:pStyle w:val="TableParagraph"/>
              <w:spacing w:before="48"/>
              <w:ind w:right="99"/>
              <w:jc w:val="right"/>
              <w:rPr>
                <w:sz w:val="20"/>
              </w:rPr>
            </w:pPr>
            <w:r>
              <w:rPr>
                <w:color w:val="231F20"/>
                <w:sz w:val="20"/>
              </w:rPr>
              <w:t>309</w:t>
            </w:r>
          </w:p>
        </w:tc>
      </w:tr>
      <w:tr>
        <w:trPr>
          <w:trHeight w:val="300" w:hRule="exact"/>
        </w:trPr>
        <w:tc>
          <w:tcPr>
            <w:tcW w:w="5026" w:type="dxa"/>
          </w:tcPr>
          <w:p>
            <w:pPr>
              <w:pStyle w:val="TableParagraph"/>
              <w:spacing w:before="48"/>
              <w:rPr>
                <w:sz w:val="20"/>
              </w:rPr>
            </w:pPr>
            <w:r>
              <w:rPr>
                <w:color w:val="231F20"/>
                <w:sz w:val="20"/>
              </w:rPr>
              <w:t>Union bonuses</w:t>
            </w:r>
          </w:p>
        </w:tc>
        <w:tc>
          <w:tcPr>
            <w:tcW w:w="160" w:type="dxa"/>
          </w:tcPr>
          <w:p>
            <w:pPr/>
          </w:p>
        </w:tc>
        <w:tc>
          <w:tcPr>
            <w:tcW w:w="2078" w:type="dxa"/>
          </w:tcPr>
          <w:p>
            <w:pPr>
              <w:pStyle w:val="TableParagraph"/>
              <w:spacing w:before="48"/>
              <w:ind w:right="38"/>
              <w:jc w:val="right"/>
              <w:rPr>
                <w:sz w:val="20"/>
              </w:rPr>
            </w:pPr>
            <w:r>
              <w:rPr>
                <w:color w:val="231F20"/>
                <w:sz w:val="20"/>
              </w:rPr>
              <w:t>188 (a)</w:t>
            </w:r>
          </w:p>
        </w:tc>
        <w:tc>
          <w:tcPr>
            <w:tcW w:w="1856" w:type="dxa"/>
          </w:tcPr>
          <w:p>
            <w:pPr>
              <w:pStyle w:val="TableParagraph"/>
              <w:spacing w:before="48"/>
              <w:ind w:right="99"/>
              <w:jc w:val="right"/>
              <w:rPr>
                <w:sz w:val="20"/>
              </w:rPr>
            </w:pPr>
            <w:r>
              <w:rPr>
                <w:color w:val="231F20"/>
                <w:sz w:val="20"/>
              </w:rPr>
              <w:t>329</w:t>
            </w:r>
          </w:p>
        </w:tc>
      </w:tr>
      <w:tr>
        <w:trPr>
          <w:trHeight w:val="300" w:hRule="exact"/>
        </w:trPr>
        <w:tc>
          <w:tcPr>
            <w:tcW w:w="5026" w:type="dxa"/>
            <w:shd w:val="clear" w:color="auto" w:fill="D1D3D4"/>
          </w:tcPr>
          <w:p>
            <w:pPr>
              <w:pStyle w:val="TableParagraph"/>
              <w:spacing w:before="48"/>
              <w:rPr>
                <w:sz w:val="20"/>
              </w:rPr>
            </w:pPr>
            <w:r>
              <w:rPr>
                <w:color w:val="231F20"/>
                <w:sz w:val="20"/>
              </w:rPr>
              <w:t>Health</w:t>
            </w:r>
          </w:p>
        </w:tc>
        <w:tc>
          <w:tcPr>
            <w:tcW w:w="160" w:type="dxa"/>
            <w:shd w:val="clear" w:color="auto" w:fill="D1D3D4"/>
          </w:tcPr>
          <w:p>
            <w:pPr/>
          </w:p>
        </w:tc>
        <w:tc>
          <w:tcPr>
            <w:tcW w:w="2078" w:type="dxa"/>
            <w:shd w:val="clear" w:color="auto" w:fill="D1D3D4"/>
          </w:tcPr>
          <w:p>
            <w:pPr>
              <w:pStyle w:val="TableParagraph"/>
              <w:spacing w:before="48"/>
              <w:ind w:right="326"/>
              <w:jc w:val="right"/>
              <w:rPr>
                <w:sz w:val="20"/>
              </w:rPr>
            </w:pPr>
            <w:r>
              <w:rPr>
                <w:color w:val="231F20"/>
                <w:sz w:val="20"/>
              </w:rPr>
              <w:t>96</w:t>
            </w:r>
          </w:p>
        </w:tc>
        <w:tc>
          <w:tcPr>
            <w:tcW w:w="1856" w:type="dxa"/>
            <w:shd w:val="clear" w:color="auto" w:fill="D1D3D4"/>
          </w:tcPr>
          <w:p>
            <w:pPr>
              <w:pStyle w:val="TableParagraph"/>
              <w:spacing w:before="48"/>
              <w:ind w:right="99"/>
              <w:jc w:val="right"/>
              <w:rPr>
                <w:sz w:val="20"/>
              </w:rPr>
            </w:pPr>
            <w:r>
              <w:rPr>
                <w:color w:val="231F20"/>
                <w:sz w:val="20"/>
              </w:rPr>
              <w:t>86</w:t>
            </w:r>
          </w:p>
        </w:tc>
      </w:tr>
      <w:tr>
        <w:trPr>
          <w:trHeight w:val="300" w:hRule="exact"/>
        </w:trPr>
        <w:tc>
          <w:tcPr>
            <w:tcW w:w="5026" w:type="dxa"/>
          </w:tcPr>
          <w:p>
            <w:pPr>
              <w:pStyle w:val="TableParagraph"/>
              <w:spacing w:before="48"/>
              <w:rPr>
                <w:sz w:val="20"/>
              </w:rPr>
            </w:pPr>
            <w:r>
              <w:rPr>
                <w:color w:val="231F20"/>
                <w:sz w:val="20"/>
              </w:rPr>
              <w:t>Derivative contracts</w:t>
            </w:r>
          </w:p>
        </w:tc>
        <w:tc>
          <w:tcPr>
            <w:tcW w:w="160" w:type="dxa"/>
          </w:tcPr>
          <w:p>
            <w:pPr/>
          </w:p>
        </w:tc>
        <w:tc>
          <w:tcPr>
            <w:tcW w:w="2078" w:type="dxa"/>
          </w:tcPr>
          <w:p>
            <w:pPr>
              <w:pStyle w:val="TableParagraph"/>
              <w:spacing w:before="48"/>
              <w:ind w:right="325"/>
              <w:jc w:val="right"/>
              <w:rPr>
                <w:sz w:val="20"/>
              </w:rPr>
            </w:pPr>
            <w:r>
              <w:rPr>
                <w:color w:val="231F20"/>
                <w:sz w:val="20"/>
              </w:rPr>
              <w:t>158</w:t>
            </w:r>
          </w:p>
        </w:tc>
        <w:tc>
          <w:tcPr>
            <w:tcW w:w="1856" w:type="dxa"/>
          </w:tcPr>
          <w:p>
            <w:pPr>
              <w:pStyle w:val="TableParagraph"/>
              <w:spacing w:before="48"/>
              <w:ind w:right="97"/>
              <w:jc w:val="right"/>
              <w:rPr>
                <w:sz w:val="20"/>
              </w:rPr>
            </w:pPr>
            <w:r>
              <w:rPr>
                <w:color w:val="231F20"/>
                <w:sz w:val="20"/>
              </w:rPr>
              <w:t>643</w:t>
            </w:r>
          </w:p>
        </w:tc>
      </w:tr>
      <w:tr>
        <w:trPr>
          <w:trHeight w:val="300" w:hRule="exact"/>
        </w:trPr>
        <w:tc>
          <w:tcPr>
            <w:tcW w:w="5026" w:type="dxa"/>
            <w:shd w:val="clear" w:color="auto" w:fill="D1D3D4"/>
          </w:tcPr>
          <w:p>
            <w:pPr>
              <w:pStyle w:val="TableParagraph"/>
              <w:spacing w:before="48"/>
              <w:rPr>
                <w:sz w:val="20"/>
              </w:rPr>
            </w:pPr>
            <w:r>
              <w:rPr>
                <w:color w:val="231F20"/>
                <w:sz w:val="20"/>
              </w:rPr>
              <w:t>Workers compensation</w:t>
            </w:r>
          </w:p>
        </w:tc>
        <w:tc>
          <w:tcPr>
            <w:tcW w:w="160" w:type="dxa"/>
            <w:shd w:val="clear" w:color="auto" w:fill="D1D3D4"/>
          </w:tcPr>
          <w:p>
            <w:pPr/>
          </w:p>
        </w:tc>
        <w:tc>
          <w:tcPr>
            <w:tcW w:w="2078" w:type="dxa"/>
            <w:shd w:val="clear" w:color="auto" w:fill="D1D3D4"/>
          </w:tcPr>
          <w:p>
            <w:pPr>
              <w:pStyle w:val="TableParagraph"/>
              <w:spacing w:before="48"/>
              <w:ind w:right="325"/>
              <w:jc w:val="right"/>
              <w:rPr>
                <w:sz w:val="20"/>
              </w:rPr>
            </w:pPr>
            <w:r>
              <w:rPr>
                <w:color w:val="231F20"/>
                <w:sz w:val="20"/>
              </w:rPr>
              <w:t>183</w:t>
            </w:r>
          </w:p>
        </w:tc>
        <w:tc>
          <w:tcPr>
            <w:tcW w:w="1856" w:type="dxa"/>
            <w:shd w:val="clear" w:color="auto" w:fill="D1D3D4"/>
          </w:tcPr>
          <w:p>
            <w:pPr>
              <w:pStyle w:val="TableParagraph"/>
              <w:spacing w:before="48"/>
              <w:ind w:right="97"/>
              <w:jc w:val="right"/>
              <w:rPr>
                <w:sz w:val="20"/>
              </w:rPr>
            </w:pPr>
            <w:r>
              <w:rPr>
                <w:color w:val="231F20"/>
                <w:sz w:val="20"/>
              </w:rPr>
              <w:t>187</w:t>
            </w:r>
          </w:p>
        </w:tc>
      </w:tr>
      <w:tr>
        <w:trPr>
          <w:trHeight w:val="300" w:hRule="exact"/>
        </w:trPr>
        <w:tc>
          <w:tcPr>
            <w:tcW w:w="5026" w:type="dxa"/>
          </w:tcPr>
          <w:p>
            <w:pPr>
              <w:pStyle w:val="TableParagraph"/>
              <w:spacing w:before="48"/>
              <w:rPr>
                <w:sz w:val="20"/>
              </w:rPr>
            </w:pPr>
            <w:r>
              <w:rPr>
                <w:color w:val="231F20"/>
                <w:sz w:val="20"/>
              </w:rPr>
              <w:t>Property and income taxes</w:t>
            </w:r>
          </w:p>
        </w:tc>
        <w:tc>
          <w:tcPr>
            <w:tcW w:w="160" w:type="dxa"/>
          </w:tcPr>
          <w:p>
            <w:pPr/>
          </w:p>
        </w:tc>
        <w:tc>
          <w:tcPr>
            <w:tcW w:w="2078" w:type="dxa"/>
          </w:tcPr>
          <w:p>
            <w:pPr>
              <w:pStyle w:val="TableParagraph"/>
              <w:spacing w:before="48"/>
              <w:ind w:right="327"/>
              <w:jc w:val="right"/>
              <w:rPr>
                <w:sz w:val="20"/>
              </w:rPr>
            </w:pPr>
            <w:r>
              <w:rPr>
                <w:color w:val="231F20"/>
                <w:sz w:val="20"/>
              </w:rPr>
              <w:t>68</w:t>
            </w:r>
          </w:p>
        </w:tc>
        <w:tc>
          <w:tcPr>
            <w:tcW w:w="1856" w:type="dxa"/>
          </w:tcPr>
          <w:p>
            <w:pPr>
              <w:pStyle w:val="TableParagraph"/>
              <w:spacing w:before="48"/>
              <w:ind w:right="99"/>
              <w:jc w:val="right"/>
              <w:rPr>
                <w:sz w:val="20"/>
              </w:rPr>
            </w:pPr>
            <w:r>
              <w:rPr>
                <w:color w:val="231F20"/>
                <w:sz w:val="20"/>
              </w:rPr>
              <w:t>62</w:t>
            </w:r>
          </w:p>
        </w:tc>
      </w:tr>
      <w:tr>
        <w:trPr>
          <w:trHeight w:val="315" w:hRule="exact"/>
        </w:trPr>
        <w:tc>
          <w:tcPr>
            <w:tcW w:w="5026" w:type="dxa"/>
            <w:shd w:val="clear" w:color="auto" w:fill="D1D3D4"/>
          </w:tcPr>
          <w:p>
            <w:pPr>
              <w:pStyle w:val="TableParagraph"/>
              <w:spacing w:before="48"/>
              <w:rPr>
                <w:sz w:val="20"/>
              </w:rPr>
            </w:pPr>
            <w:r>
              <w:rPr>
                <w:color w:val="231F20"/>
                <w:sz w:val="20"/>
              </w:rPr>
              <w:t>Other</w:t>
            </w:r>
          </w:p>
        </w:tc>
        <w:tc>
          <w:tcPr>
            <w:tcW w:w="160" w:type="dxa"/>
            <w:shd w:val="clear" w:color="auto" w:fill="D1D3D4"/>
          </w:tcPr>
          <w:p>
            <w:pPr/>
          </w:p>
        </w:tc>
        <w:tc>
          <w:tcPr>
            <w:tcW w:w="2078" w:type="dxa"/>
            <w:tcBorders>
              <w:bottom w:val="single" w:sz="4" w:space="0" w:color="231F20"/>
            </w:tcBorders>
            <w:shd w:val="clear" w:color="auto" w:fill="D1D3D4"/>
          </w:tcPr>
          <w:p>
            <w:pPr>
              <w:pStyle w:val="TableParagraph"/>
              <w:spacing w:before="48"/>
              <w:ind w:right="326"/>
              <w:jc w:val="right"/>
              <w:rPr>
                <w:sz w:val="20"/>
              </w:rPr>
            </w:pPr>
            <w:r>
              <w:rPr>
                <w:color w:val="231F20"/>
                <w:sz w:val="20"/>
              </w:rPr>
              <w:t>237</w:t>
            </w:r>
          </w:p>
        </w:tc>
        <w:tc>
          <w:tcPr>
            <w:tcW w:w="1856" w:type="dxa"/>
            <w:tcBorders>
              <w:bottom w:val="single" w:sz="4" w:space="0" w:color="231F20"/>
            </w:tcBorders>
            <w:shd w:val="clear" w:color="auto" w:fill="D1D3D4"/>
          </w:tcPr>
          <w:p>
            <w:pPr>
              <w:pStyle w:val="TableParagraph"/>
              <w:spacing w:before="48"/>
              <w:ind w:right="99"/>
              <w:jc w:val="right"/>
              <w:rPr>
                <w:sz w:val="20"/>
              </w:rPr>
            </w:pPr>
            <w:r>
              <w:rPr>
                <w:color w:val="231F20"/>
                <w:sz w:val="20"/>
              </w:rPr>
              <w:t>246</w:t>
            </w:r>
          </w:p>
        </w:tc>
      </w:tr>
      <w:tr>
        <w:trPr>
          <w:trHeight w:val="360" w:hRule="exact"/>
        </w:trPr>
        <w:tc>
          <w:tcPr>
            <w:tcW w:w="5026" w:type="dxa"/>
          </w:tcPr>
          <w:p>
            <w:pPr>
              <w:pStyle w:val="TableParagraph"/>
              <w:spacing w:before="68"/>
              <w:ind w:left="200"/>
              <w:rPr>
                <w:sz w:val="20"/>
              </w:rPr>
            </w:pPr>
            <w:r>
              <w:rPr>
                <w:color w:val="231F20"/>
                <w:sz w:val="20"/>
              </w:rPr>
              <w:t>Accrued liabilities</w:t>
            </w:r>
          </w:p>
        </w:tc>
        <w:tc>
          <w:tcPr>
            <w:tcW w:w="160" w:type="dxa"/>
          </w:tcPr>
          <w:p>
            <w:pPr/>
          </w:p>
        </w:tc>
        <w:tc>
          <w:tcPr>
            <w:tcW w:w="2078" w:type="dxa"/>
            <w:tcBorders>
              <w:top w:val="single" w:sz="4" w:space="0" w:color="231F20"/>
              <w:bottom w:val="single" w:sz="4" w:space="0" w:color="231F20"/>
            </w:tcBorders>
          </w:tcPr>
          <w:p>
            <w:pPr>
              <w:pStyle w:val="TableParagraph"/>
              <w:tabs>
                <w:tab w:pos="1299" w:val="left" w:leader="none"/>
              </w:tabs>
              <w:spacing w:before="48"/>
              <w:rPr>
                <w:sz w:val="20"/>
              </w:rPr>
            </w:pPr>
            <w:r>
              <w:rPr>
                <w:color w:val="231F20"/>
                <w:sz w:val="20"/>
              </w:rPr>
              <w:t>$</w:t>
              <w:tab/>
              <w:t>1,985</w:t>
            </w:r>
          </w:p>
        </w:tc>
        <w:tc>
          <w:tcPr>
            <w:tcW w:w="1856" w:type="dxa"/>
            <w:tcBorders>
              <w:top w:val="single" w:sz="4" w:space="0" w:color="231F20"/>
              <w:bottom w:val="single" w:sz="4" w:space="0" w:color="231F20"/>
            </w:tcBorders>
          </w:tcPr>
          <w:p>
            <w:pPr>
              <w:pStyle w:val="TableParagraph"/>
              <w:tabs>
                <w:tab w:pos="1266" w:val="left" w:leader="none"/>
              </w:tabs>
              <w:spacing w:before="63"/>
              <w:ind w:right="97"/>
              <w:jc w:val="right"/>
              <w:rPr>
                <w:sz w:val="20"/>
              </w:rPr>
            </w:pPr>
            <w:r>
              <w:rPr>
                <w:color w:val="231F20"/>
                <w:sz w:val="20"/>
              </w:rPr>
              <w:t>$</w:t>
              <w:tab/>
              <w:t>2,591</w:t>
            </w:r>
          </w:p>
        </w:tc>
      </w:tr>
    </w:tbl>
    <w:p>
      <w:pPr>
        <w:pStyle w:val="BodyText"/>
        <w:spacing w:before="8"/>
        <w:rPr>
          <w:sz w:val="16"/>
        </w:rPr>
      </w:pPr>
      <w:r>
        <w:rPr/>
        <w:pict>
          <v:line style="position:absolute;mso-position-horizontal-relative:page;mso-position-vertical-relative:page;z-index:-375136" from="69pt,101.5pt" to="318.3pt,101.5pt" stroked="true" strokeweight="1pt" strokecolor="#231f20">
            <v:stroke dashstyle="solid"/>
            <w10:wrap type="none"/>
          </v:line>
        </w:pict>
      </w:r>
      <w:r>
        <w:rPr/>
        <w:pict>
          <v:line style="position:absolute;mso-position-horizontal-relative:page;mso-position-vertical-relative:page;z-index:-375112" from="328.299988pt,178.75pt" to="419.149988pt,178.75pt" stroked="true" strokeweight=".5pt" strokecolor="#231f20">
            <v:stroke dashstyle="solid"/>
            <w10:wrap type="none"/>
          </v:line>
        </w:pict>
      </w:r>
      <w:r>
        <w:rPr/>
        <w:pict>
          <v:line style="position:absolute;mso-position-horizontal-relative:page;mso-position-vertical-relative:page;z-index:-375088" from="434.149994pt,178.75pt" to="524.999994pt,178.75pt" stroked="true" strokeweight=".5pt" strokecolor="#231f20">
            <v:stroke dashstyle="solid"/>
            <w10:wrap type="none"/>
          </v:line>
        </w:pict>
      </w:r>
      <w:r>
        <w:rPr/>
        <w:pict>
          <v:line style="position:absolute;mso-position-horizontal-relative:page;mso-position-vertical-relative:page;z-index:-375064" from="69pt,206.5pt" to="318.3pt,206.5pt" stroked="true" strokeweight="1pt" strokecolor="#231f20">
            <v:stroke dashstyle="solid"/>
            <w10:wrap type="none"/>
          </v:line>
        </w:pict>
      </w:r>
      <w:r>
        <w:rPr/>
        <w:pict>
          <v:line style="position:absolute;mso-position-horizontal-relative:page;mso-position-vertical-relative:page;z-index:-375040" from="328.299988pt,313.75pt" to="419.149988pt,313.75pt" stroked="true" strokeweight=".5pt" strokecolor="#231f20">
            <v:stroke dashstyle="solid"/>
            <w10:wrap type="none"/>
          </v:line>
        </w:pict>
      </w:r>
      <w:r>
        <w:rPr/>
        <w:pict>
          <v:line style="position:absolute;mso-position-horizontal-relative:page;mso-position-vertical-relative:page;z-index:-375016" from="434.149994pt,313.75pt" to="524.999994pt,313.75pt" stroked="true" strokeweight=".5pt" strokecolor="#231f20">
            <v:stroke dashstyle="solid"/>
            <w10:wrap type="none"/>
          </v:line>
        </w:pict>
      </w:r>
      <w:r>
        <w:rPr/>
        <w:pict>
          <v:line style="position:absolute;mso-position-horizontal-relative:page;mso-position-vertical-relative:page;z-index:-374992" from="69pt,341.5pt" to="318.3pt,341.5pt" stroked="true" strokeweight="1pt" strokecolor="#231f20">
            <v:stroke dashstyle="solid"/>
            <w10:wrap type="none"/>
          </v:line>
        </w:pict>
      </w:r>
    </w:p>
    <w:p>
      <w:pPr>
        <w:pStyle w:val="BodyText"/>
        <w:spacing w:line="247" w:lineRule="auto" w:before="93"/>
        <w:ind w:left="120" w:right="117"/>
        <w:jc w:val="both"/>
      </w:pPr>
      <w:r>
        <w:rPr/>
        <w:pict>
          <v:line style="position:absolute;mso-position-horizontal-relative:page;mso-position-vertical-relative:paragraph;z-index:-374968" from="328.299988pt,-12.330469pt" to="419.149988pt,-12.330469pt" stroked="true" strokeweight=".5pt" strokecolor="#231f20">
            <v:stroke dashstyle="solid"/>
            <w10:wrap type="none"/>
          </v:line>
        </w:pict>
      </w:r>
      <w:r>
        <w:rPr/>
        <w:pict>
          <v:line style="position:absolute;mso-position-horizontal-relative:page;mso-position-vertical-relative:paragraph;z-index:-374944" from="434.149994pt,-12.330469pt" to="524.999994pt,-12.330469pt" stroked="true" strokeweight=".5pt" strokecolor="#231f20">
            <v:stroke dashstyle="solid"/>
            <w10:wrap type="none"/>
          </v:line>
        </w:pict>
      </w:r>
      <w:r>
        <w:rPr>
          <w:color w:val="231F20"/>
        </w:rPr>
        <w:t>(a) The decrease was due to collective-bargaining agreements reached with multiple  workgroups during 2016 resulting in the payout of previously accrued bonuses. The remaining liability includes estimated bonuses that would be paid to union members upon ratification of collective-bargaining agreements for the various union contract groups that were in ongoing negotiations at December 31, 2016, coupled with the accrual of bonuses related to the collective-bargaining agreement reached with the Company’s Flight Attendants that were paid in January 2017. The liability excludes certain immaterial benefit costs that are included as a component of Accounts payable. The amount accrued</w:t>
      </w:r>
    </w:p>
    <w:p>
      <w:pPr>
        <w:spacing w:after="0" w:line="247" w:lineRule="auto"/>
        <w:jc w:val="both"/>
        <w:sectPr>
          <w:pgSz w:w="11880" w:h="15480"/>
          <w:pgMar w:header="0" w:footer="1240" w:top="1320" w:bottom="1420" w:left="1260" w:right="1260"/>
        </w:sectPr>
      </w:pPr>
    </w:p>
    <w:p>
      <w:pPr>
        <w:pStyle w:val="BodyText"/>
        <w:spacing w:line="247" w:lineRule="auto" w:before="74"/>
        <w:ind w:left="120" w:right="118"/>
        <w:jc w:val="both"/>
      </w:pPr>
      <w:r>
        <w:rPr/>
        <w:pict>
          <v:line style="position:absolute;mso-position-horizontal-relative:page;mso-position-vertical-relative:paragraph;z-index:-374920" from="69pt,52.469532pt" to="318.3pt,52.469532pt" stroked="true" strokeweight="1pt" strokecolor="#231f20">
            <v:stroke dashstyle="solid"/>
            <w10:wrap type="none"/>
          </v:line>
        </w:pict>
      </w:r>
      <w:r>
        <w:rPr/>
        <w:pict>
          <v:line style="position:absolute;mso-position-horizontal-relative:page;mso-position-vertical-relative:page;z-index:-374848" from="333.299988pt,668.75pt" to="424.149988pt,668.75pt" stroked="true" strokeweight=".5pt" strokecolor="#231f20">
            <v:stroke dashstyle="solid"/>
            <w10:wrap type="none"/>
          </v:line>
        </w:pict>
      </w:r>
      <w:bookmarkStart w:name="6. LONG-TERM DEBT" w:id="30"/>
      <w:bookmarkEnd w:id="30"/>
      <w:r>
        <w:rPr/>
      </w:r>
      <w:r>
        <w:rPr>
          <w:color w:val="231F20"/>
        </w:rPr>
        <w:t>related to ongoing negotiations with various union contract groups is subject to change based on subsequent negotiations, and any changes would be recorded on a prospective basis.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86"/>
        <w:gridCol w:w="200"/>
        <w:gridCol w:w="1817"/>
        <w:gridCol w:w="300"/>
        <w:gridCol w:w="1817"/>
      </w:tblGrid>
      <w:tr>
        <w:trPr>
          <w:trHeight w:val="256" w:hRule="exact"/>
        </w:trPr>
        <w:tc>
          <w:tcPr>
            <w:tcW w:w="4986" w:type="dxa"/>
          </w:tcPr>
          <w:p>
            <w:pPr>
              <w:pStyle w:val="TableParagraph"/>
              <w:spacing w:line="229" w:lineRule="exact" w:before="0"/>
              <w:rPr>
                <w:b/>
                <w:sz w:val="20"/>
              </w:rPr>
            </w:pPr>
            <w:r>
              <w:rPr>
                <w:b/>
                <w:color w:val="231F20"/>
                <w:sz w:val="20"/>
              </w:rPr>
              <w:t>(in millions)</w:t>
            </w:r>
          </w:p>
        </w:tc>
        <w:tc>
          <w:tcPr>
            <w:tcW w:w="2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2016</w:t>
            </w:r>
          </w:p>
        </w:tc>
        <w:tc>
          <w:tcPr>
            <w:tcW w:w="300" w:type="dxa"/>
          </w:tcPr>
          <w:p>
            <w:pPr/>
          </w:p>
        </w:tc>
        <w:tc>
          <w:tcPr>
            <w:tcW w:w="1817" w:type="dxa"/>
            <w:tcBorders>
              <w:bottom w:val="single" w:sz="8" w:space="0" w:color="231F20"/>
            </w:tcBorders>
          </w:tcPr>
          <w:p>
            <w:pPr>
              <w:pStyle w:val="TableParagraph"/>
              <w:spacing w:line="229" w:lineRule="exact" w:before="0"/>
              <w:ind w:right="97"/>
              <w:jc w:val="right"/>
              <w:rPr>
                <w:b/>
                <w:sz w:val="20"/>
              </w:rPr>
            </w:pPr>
            <w:r>
              <w:rPr>
                <w:b/>
                <w:color w:val="231F20"/>
                <w:sz w:val="20"/>
              </w:rPr>
              <w:t>December 31, 2015</w:t>
            </w:r>
          </w:p>
        </w:tc>
      </w:tr>
      <w:tr>
        <w:trPr>
          <w:trHeight w:val="310" w:hRule="exact"/>
        </w:trPr>
        <w:tc>
          <w:tcPr>
            <w:tcW w:w="4986" w:type="dxa"/>
            <w:shd w:val="clear" w:color="auto" w:fill="D1D3D4"/>
          </w:tcPr>
          <w:p>
            <w:pPr>
              <w:pStyle w:val="TableParagraph"/>
              <w:rPr>
                <w:sz w:val="20"/>
              </w:rPr>
            </w:pPr>
            <w:r>
              <w:rPr>
                <w:color w:val="231F20"/>
                <w:sz w:val="20"/>
              </w:rPr>
              <w:t>Postretirement obligation</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16" w:val="left" w:leader="none"/>
              </w:tabs>
              <w:ind w:right="97"/>
              <w:jc w:val="right"/>
              <w:rPr>
                <w:sz w:val="20"/>
              </w:rPr>
            </w:pPr>
            <w:r>
              <w:rPr>
                <w:color w:val="231F20"/>
                <w:sz w:val="20"/>
              </w:rPr>
              <w:t>$</w:t>
              <w:tab/>
              <w:t>256</w:t>
            </w:r>
          </w:p>
        </w:tc>
        <w:tc>
          <w:tcPr>
            <w:tcW w:w="300" w:type="dxa"/>
            <w:shd w:val="clear" w:color="auto" w:fill="D1D3D4"/>
          </w:tcPr>
          <w:p>
            <w:pPr/>
          </w:p>
        </w:tc>
        <w:tc>
          <w:tcPr>
            <w:tcW w:w="1817" w:type="dxa"/>
            <w:tcBorders>
              <w:top w:val="single" w:sz="8" w:space="0" w:color="231F20"/>
            </w:tcBorders>
            <w:shd w:val="clear" w:color="auto" w:fill="D1D3D4"/>
          </w:tcPr>
          <w:p>
            <w:pPr>
              <w:pStyle w:val="TableParagraph"/>
              <w:tabs>
                <w:tab w:pos="1416" w:val="left" w:leader="none"/>
              </w:tabs>
              <w:ind w:right="97"/>
              <w:jc w:val="right"/>
              <w:rPr>
                <w:sz w:val="20"/>
              </w:rPr>
            </w:pPr>
            <w:r>
              <w:rPr>
                <w:color w:val="231F20"/>
                <w:sz w:val="20"/>
              </w:rPr>
              <w:t>$</w:t>
              <w:tab/>
              <w:t>201</w:t>
            </w:r>
          </w:p>
        </w:tc>
      </w:tr>
      <w:tr>
        <w:trPr>
          <w:trHeight w:val="300" w:hRule="exact"/>
        </w:trPr>
        <w:tc>
          <w:tcPr>
            <w:tcW w:w="4986" w:type="dxa"/>
          </w:tcPr>
          <w:p>
            <w:pPr>
              <w:pStyle w:val="TableParagraph"/>
              <w:rPr>
                <w:sz w:val="20"/>
              </w:rPr>
            </w:pPr>
            <w:r>
              <w:rPr>
                <w:color w:val="231F20"/>
                <w:sz w:val="20"/>
              </w:rPr>
              <w:t>Non-current lease-related obligations</w:t>
            </w:r>
          </w:p>
        </w:tc>
        <w:tc>
          <w:tcPr>
            <w:tcW w:w="200" w:type="dxa"/>
          </w:tcPr>
          <w:p>
            <w:pPr/>
          </w:p>
        </w:tc>
        <w:tc>
          <w:tcPr>
            <w:tcW w:w="1817" w:type="dxa"/>
          </w:tcPr>
          <w:p>
            <w:pPr>
              <w:pStyle w:val="TableParagraph"/>
              <w:ind w:right="97"/>
              <w:jc w:val="right"/>
              <w:rPr>
                <w:sz w:val="20"/>
              </w:rPr>
            </w:pPr>
            <w:r>
              <w:rPr>
                <w:color w:val="231F20"/>
                <w:sz w:val="20"/>
              </w:rPr>
              <w:t>125</w:t>
            </w:r>
          </w:p>
        </w:tc>
        <w:tc>
          <w:tcPr>
            <w:tcW w:w="300" w:type="dxa"/>
          </w:tcPr>
          <w:p>
            <w:pPr/>
          </w:p>
        </w:tc>
        <w:tc>
          <w:tcPr>
            <w:tcW w:w="1817" w:type="dxa"/>
          </w:tcPr>
          <w:p>
            <w:pPr>
              <w:pStyle w:val="TableParagraph"/>
              <w:ind w:right="97"/>
              <w:jc w:val="right"/>
              <w:rPr>
                <w:sz w:val="20"/>
              </w:rPr>
            </w:pPr>
            <w:r>
              <w:rPr>
                <w:color w:val="231F20"/>
                <w:sz w:val="20"/>
              </w:rPr>
              <w:t>165</w:t>
            </w:r>
          </w:p>
        </w:tc>
      </w:tr>
      <w:tr>
        <w:trPr>
          <w:trHeight w:val="300" w:hRule="exact"/>
        </w:trPr>
        <w:tc>
          <w:tcPr>
            <w:tcW w:w="4986" w:type="dxa"/>
            <w:shd w:val="clear" w:color="auto" w:fill="D1D3D4"/>
          </w:tcPr>
          <w:p>
            <w:pPr>
              <w:pStyle w:val="TableParagraph"/>
              <w:rPr>
                <w:sz w:val="20"/>
              </w:rPr>
            </w:pPr>
            <w:r>
              <w:rPr>
                <w:color w:val="231F20"/>
                <w:sz w:val="20"/>
              </w:rPr>
              <w:t>Other deferred compensation</w:t>
            </w:r>
          </w:p>
        </w:tc>
        <w:tc>
          <w:tcPr>
            <w:tcW w:w="200" w:type="dxa"/>
            <w:shd w:val="clear" w:color="auto" w:fill="D1D3D4"/>
          </w:tcPr>
          <w:p>
            <w:pPr/>
          </w:p>
        </w:tc>
        <w:tc>
          <w:tcPr>
            <w:tcW w:w="1817" w:type="dxa"/>
            <w:shd w:val="clear" w:color="auto" w:fill="D1D3D4"/>
          </w:tcPr>
          <w:p>
            <w:pPr>
              <w:pStyle w:val="TableParagraph"/>
              <w:ind w:right="97"/>
              <w:jc w:val="right"/>
              <w:rPr>
                <w:sz w:val="20"/>
              </w:rPr>
            </w:pPr>
            <w:r>
              <w:rPr>
                <w:color w:val="231F20"/>
                <w:sz w:val="20"/>
              </w:rPr>
              <w:t>204</w:t>
            </w:r>
          </w:p>
        </w:tc>
        <w:tc>
          <w:tcPr>
            <w:tcW w:w="300" w:type="dxa"/>
            <w:shd w:val="clear" w:color="auto" w:fill="D1D3D4"/>
          </w:tcPr>
          <w:p>
            <w:pPr/>
          </w:p>
        </w:tc>
        <w:tc>
          <w:tcPr>
            <w:tcW w:w="1817" w:type="dxa"/>
            <w:shd w:val="clear" w:color="auto" w:fill="D1D3D4"/>
          </w:tcPr>
          <w:p>
            <w:pPr>
              <w:pStyle w:val="TableParagraph"/>
              <w:ind w:right="97"/>
              <w:jc w:val="right"/>
              <w:rPr>
                <w:sz w:val="20"/>
              </w:rPr>
            </w:pPr>
            <w:r>
              <w:rPr>
                <w:color w:val="231F20"/>
                <w:sz w:val="20"/>
              </w:rPr>
              <w:t>179</w:t>
            </w:r>
          </w:p>
        </w:tc>
      </w:tr>
      <w:tr>
        <w:trPr>
          <w:trHeight w:val="300" w:hRule="exact"/>
        </w:trPr>
        <w:tc>
          <w:tcPr>
            <w:tcW w:w="4986" w:type="dxa"/>
          </w:tcPr>
          <w:p>
            <w:pPr>
              <w:pStyle w:val="TableParagraph"/>
              <w:rPr>
                <w:sz w:val="20"/>
              </w:rPr>
            </w:pPr>
            <w:r>
              <w:rPr>
                <w:color w:val="231F20"/>
                <w:sz w:val="20"/>
              </w:rPr>
              <w:t>Deferred gains from sale and leaseback of aircraft</w:t>
            </w:r>
          </w:p>
        </w:tc>
        <w:tc>
          <w:tcPr>
            <w:tcW w:w="200" w:type="dxa"/>
          </w:tcPr>
          <w:p>
            <w:pPr/>
          </w:p>
        </w:tc>
        <w:tc>
          <w:tcPr>
            <w:tcW w:w="1817" w:type="dxa"/>
          </w:tcPr>
          <w:p>
            <w:pPr>
              <w:pStyle w:val="TableParagraph"/>
              <w:ind w:right="97"/>
              <w:jc w:val="right"/>
              <w:rPr>
                <w:sz w:val="20"/>
              </w:rPr>
            </w:pPr>
            <w:r>
              <w:rPr>
                <w:color w:val="231F20"/>
                <w:sz w:val="20"/>
              </w:rPr>
              <w:t>30</w:t>
            </w:r>
          </w:p>
        </w:tc>
        <w:tc>
          <w:tcPr>
            <w:tcW w:w="300" w:type="dxa"/>
          </w:tcPr>
          <w:p>
            <w:pPr/>
          </w:p>
        </w:tc>
        <w:tc>
          <w:tcPr>
            <w:tcW w:w="1817" w:type="dxa"/>
          </w:tcPr>
          <w:p>
            <w:pPr>
              <w:pStyle w:val="TableParagraph"/>
              <w:ind w:right="97"/>
              <w:jc w:val="right"/>
              <w:rPr>
                <w:sz w:val="20"/>
              </w:rPr>
            </w:pPr>
            <w:r>
              <w:rPr>
                <w:color w:val="231F20"/>
                <w:sz w:val="20"/>
              </w:rPr>
              <w:t>43</w:t>
            </w:r>
          </w:p>
        </w:tc>
      </w:tr>
      <w:tr>
        <w:trPr>
          <w:trHeight w:val="300" w:hRule="exact"/>
        </w:trPr>
        <w:tc>
          <w:tcPr>
            <w:tcW w:w="4986" w:type="dxa"/>
            <w:shd w:val="clear" w:color="auto" w:fill="D1D3D4"/>
          </w:tcPr>
          <w:p>
            <w:pPr>
              <w:pStyle w:val="TableParagraph"/>
              <w:rPr>
                <w:sz w:val="20"/>
              </w:rPr>
            </w:pPr>
            <w:r>
              <w:rPr>
                <w:color w:val="231F20"/>
                <w:sz w:val="20"/>
              </w:rPr>
              <w:t>Derivative contracts</w:t>
            </w:r>
          </w:p>
        </w:tc>
        <w:tc>
          <w:tcPr>
            <w:tcW w:w="200" w:type="dxa"/>
            <w:shd w:val="clear" w:color="auto" w:fill="D1D3D4"/>
          </w:tcPr>
          <w:p>
            <w:pPr/>
          </w:p>
        </w:tc>
        <w:tc>
          <w:tcPr>
            <w:tcW w:w="1817" w:type="dxa"/>
            <w:shd w:val="clear" w:color="auto" w:fill="D1D3D4"/>
          </w:tcPr>
          <w:p>
            <w:pPr>
              <w:pStyle w:val="TableParagraph"/>
              <w:ind w:right="97"/>
              <w:jc w:val="right"/>
              <w:rPr>
                <w:sz w:val="20"/>
              </w:rPr>
            </w:pPr>
            <w:r>
              <w:rPr>
                <w:color w:val="231F20"/>
                <w:sz w:val="20"/>
              </w:rPr>
              <w:t>35</w:t>
            </w:r>
          </w:p>
        </w:tc>
        <w:tc>
          <w:tcPr>
            <w:tcW w:w="300" w:type="dxa"/>
            <w:shd w:val="clear" w:color="auto" w:fill="D1D3D4"/>
          </w:tcPr>
          <w:p>
            <w:pPr/>
          </w:p>
        </w:tc>
        <w:tc>
          <w:tcPr>
            <w:tcW w:w="1817" w:type="dxa"/>
            <w:shd w:val="clear" w:color="auto" w:fill="D1D3D4"/>
          </w:tcPr>
          <w:p>
            <w:pPr>
              <w:pStyle w:val="TableParagraph"/>
              <w:ind w:right="97"/>
              <w:jc w:val="right"/>
              <w:rPr>
                <w:sz w:val="20"/>
              </w:rPr>
            </w:pPr>
            <w:r>
              <w:rPr>
                <w:color w:val="231F20"/>
                <w:sz w:val="20"/>
              </w:rPr>
              <w:t>74</w:t>
            </w:r>
          </w:p>
        </w:tc>
      </w:tr>
      <w:tr>
        <w:trPr>
          <w:trHeight w:val="315" w:hRule="exact"/>
        </w:trPr>
        <w:tc>
          <w:tcPr>
            <w:tcW w:w="4986" w:type="dxa"/>
          </w:tcPr>
          <w:p>
            <w:pPr>
              <w:pStyle w:val="TableParagraph"/>
              <w:rPr>
                <w:sz w:val="20"/>
              </w:rPr>
            </w:pPr>
            <w:r>
              <w:rPr>
                <w:color w:val="231F20"/>
                <w:sz w:val="20"/>
              </w:rPr>
              <w:t>Other</w:t>
            </w:r>
          </w:p>
        </w:tc>
        <w:tc>
          <w:tcPr>
            <w:tcW w:w="200" w:type="dxa"/>
          </w:tcPr>
          <w:p>
            <w:pPr/>
          </w:p>
        </w:tc>
        <w:tc>
          <w:tcPr>
            <w:tcW w:w="1817" w:type="dxa"/>
            <w:tcBorders>
              <w:bottom w:val="single" w:sz="4" w:space="0" w:color="231F20"/>
            </w:tcBorders>
          </w:tcPr>
          <w:p>
            <w:pPr>
              <w:pStyle w:val="TableParagraph"/>
              <w:ind w:right="99"/>
              <w:jc w:val="right"/>
              <w:rPr>
                <w:sz w:val="20"/>
              </w:rPr>
            </w:pPr>
            <w:r>
              <w:rPr>
                <w:color w:val="231F20"/>
                <w:sz w:val="20"/>
              </w:rPr>
              <w:t>78</w:t>
            </w:r>
          </w:p>
        </w:tc>
        <w:tc>
          <w:tcPr>
            <w:tcW w:w="300" w:type="dxa"/>
          </w:tcPr>
          <w:p>
            <w:pPr/>
          </w:p>
        </w:tc>
        <w:tc>
          <w:tcPr>
            <w:tcW w:w="1817" w:type="dxa"/>
            <w:tcBorders>
              <w:bottom w:val="single" w:sz="4" w:space="0" w:color="231F20"/>
            </w:tcBorders>
          </w:tcPr>
          <w:p>
            <w:pPr>
              <w:pStyle w:val="TableParagraph"/>
              <w:ind w:right="99"/>
              <w:jc w:val="right"/>
              <w:rPr>
                <w:sz w:val="20"/>
              </w:rPr>
            </w:pPr>
            <w:r>
              <w:rPr>
                <w:color w:val="231F20"/>
                <w:sz w:val="20"/>
              </w:rPr>
              <w:t>98</w:t>
            </w:r>
          </w:p>
        </w:tc>
      </w:tr>
      <w:tr>
        <w:trPr>
          <w:trHeight w:val="360" w:hRule="exact"/>
        </w:trPr>
        <w:tc>
          <w:tcPr>
            <w:tcW w:w="4986" w:type="dxa"/>
            <w:shd w:val="clear" w:color="auto" w:fill="D1D3D4"/>
          </w:tcPr>
          <w:p>
            <w:pPr>
              <w:pStyle w:val="TableParagraph"/>
              <w:ind w:left="200"/>
              <w:rPr>
                <w:sz w:val="20"/>
              </w:rPr>
            </w:pPr>
            <w:r>
              <w:rPr>
                <w:color w:val="231F20"/>
                <w:sz w:val="20"/>
              </w:rPr>
              <w:t>Other noncurrent liabilities</w:t>
            </w:r>
          </w:p>
        </w:tc>
        <w:tc>
          <w:tcPr>
            <w:tcW w:w="2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416" w:val="left" w:leader="none"/>
              </w:tabs>
              <w:ind w:right="97"/>
              <w:jc w:val="right"/>
              <w:rPr>
                <w:sz w:val="20"/>
              </w:rPr>
            </w:pPr>
            <w:r>
              <w:rPr>
                <w:color w:val="231F20"/>
                <w:sz w:val="20"/>
              </w:rPr>
              <w:t>$</w:t>
              <w:tab/>
              <w:t>728</w:t>
            </w:r>
          </w:p>
        </w:tc>
        <w:tc>
          <w:tcPr>
            <w:tcW w:w="3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416" w:val="left" w:leader="none"/>
              </w:tabs>
              <w:ind w:right="97"/>
              <w:jc w:val="right"/>
              <w:rPr>
                <w:sz w:val="20"/>
              </w:rPr>
            </w:pPr>
            <w:r>
              <w:rPr>
                <w:color w:val="231F20"/>
                <w:sz w:val="20"/>
              </w:rPr>
              <w:t>$</w:t>
              <w:tab/>
              <w:t>760</w:t>
            </w:r>
          </w:p>
        </w:tc>
      </w:tr>
    </w:tbl>
    <w:p>
      <w:pPr>
        <w:pStyle w:val="BodyText"/>
        <w:spacing w:before="2"/>
        <w:rPr>
          <w:sz w:val="25"/>
        </w:rPr>
      </w:pPr>
    </w:p>
    <w:p>
      <w:pPr>
        <w:pStyle w:val="Heading2"/>
        <w:ind w:left="480"/>
        <w:rPr>
          <w:i/>
        </w:rPr>
      </w:pPr>
      <w:r>
        <w:rPr/>
        <w:pict>
          <v:line style="position:absolute;mso-position-horizontal-relative:page;mso-position-vertical-relative:paragraph;z-index:-374896" from="328.299988pt,-16.980469pt" to="419.149988pt,-16.980469pt" stroked="true" strokeweight=".5pt" strokecolor="#231f20">
            <v:stroke dashstyle="solid"/>
            <w10:wrap type="none"/>
          </v:line>
        </w:pict>
      </w:r>
      <w:r>
        <w:rPr/>
        <w:pict>
          <v:line style="position:absolute;mso-position-horizontal-relative:page;mso-position-vertical-relative:paragraph;z-index:-374872" from="434.149994pt,-16.980469pt" to="524.999994pt,-16.980469pt" stroked="true" strokeweight=".5pt" strokecolor="#231f20">
            <v:stroke dashstyle="solid"/>
            <w10:wrap type="none"/>
          </v:line>
        </w:pict>
      </w:r>
      <w:r>
        <w:rPr>
          <w:i/>
          <w:color w:val="231F20"/>
        </w:rPr>
        <w:t>Other Operating Expenses</w:t>
      </w:r>
    </w:p>
    <w:p>
      <w:pPr>
        <w:pStyle w:val="BodyText"/>
        <w:spacing w:before="5"/>
        <w:rPr>
          <w:b/>
          <w:i/>
          <w:sz w:val="21"/>
        </w:rPr>
      </w:pPr>
    </w:p>
    <w:p>
      <w:pPr>
        <w:pStyle w:val="BodyText"/>
        <w:spacing w:line="247" w:lineRule="auto"/>
        <w:ind w:left="119" w:right="118"/>
        <w:jc w:val="both"/>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10"/>
        <w:rPr>
          <w:sz w:val="20"/>
        </w:rPr>
      </w:pPr>
    </w:p>
    <w:tbl>
      <w:tblPr>
        <w:tblW w:w="0" w:type="auto"/>
        <w:jc w:val="left"/>
        <w:tblInd w:w="11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6"/>
        <w:gridCol w:w="1817"/>
        <w:gridCol w:w="200"/>
        <w:gridCol w:w="1817"/>
      </w:tblGrid>
      <w:tr>
        <w:trPr>
          <w:trHeight w:val="356" w:hRule="exact"/>
        </w:trPr>
        <w:tc>
          <w:tcPr>
            <w:tcW w:w="5286" w:type="dxa"/>
          </w:tcPr>
          <w:p>
            <w:pPr>
              <w:pStyle w:val="TableParagraph"/>
              <w:spacing w:line="252" w:lineRule="exact" w:before="0"/>
              <w:rPr>
                <w:b/>
                <w:sz w:val="22"/>
              </w:rPr>
            </w:pPr>
            <w:r>
              <w:rPr>
                <w:b/>
                <w:color w:val="231F20"/>
                <w:sz w:val="22"/>
              </w:rPr>
              <w:t>6. LONG-TERM DEBT</w:t>
            </w:r>
          </w:p>
        </w:tc>
        <w:tc>
          <w:tcPr>
            <w:tcW w:w="3834" w:type="dxa"/>
            <w:gridSpan w:val="3"/>
          </w:tcPr>
          <w:p>
            <w:pPr/>
          </w:p>
        </w:tc>
      </w:tr>
      <w:tr>
        <w:trPr>
          <w:trHeight w:val="359" w:hRule="exact"/>
        </w:trPr>
        <w:tc>
          <w:tcPr>
            <w:tcW w:w="5286" w:type="dxa"/>
          </w:tcPr>
          <w:p>
            <w:pPr>
              <w:pStyle w:val="TableParagraph"/>
              <w:spacing w:before="102"/>
              <w:rPr>
                <w:b/>
                <w:sz w:val="20"/>
              </w:rPr>
            </w:pPr>
            <w:r>
              <w:rPr>
                <w:b/>
                <w:color w:val="231F20"/>
                <w:sz w:val="20"/>
              </w:rPr>
              <w:t>(in millions)</w:t>
            </w:r>
          </w:p>
        </w:tc>
        <w:tc>
          <w:tcPr>
            <w:tcW w:w="1817" w:type="dxa"/>
            <w:tcBorders>
              <w:bottom w:val="single" w:sz="8" w:space="0" w:color="231F20"/>
            </w:tcBorders>
          </w:tcPr>
          <w:p>
            <w:pPr>
              <w:pStyle w:val="TableParagraph"/>
              <w:spacing w:before="102"/>
              <w:ind w:right="97"/>
              <w:jc w:val="right"/>
              <w:rPr>
                <w:b/>
                <w:sz w:val="20"/>
              </w:rPr>
            </w:pPr>
            <w:r>
              <w:rPr>
                <w:b/>
                <w:color w:val="231F20"/>
                <w:sz w:val="20"/>
              </w:rPr>
              <w:t>December 31, 2016</w:t>
            </w:r>
          </w:p>
        </w:tc>
        <w:tc>
          <w:tcPr>
            <w:tcW w:w="200" w:type="dxa"/>
          </w:tcPr>
          <w:p>
            <w:pPr/>
          </w:p>
        </w:tc>
        <w:tc>
          <w:tcPr>
            <w:tcW w:w="1817" w:type="dxa"/>
            <w:tcBorders>
              <w:bottom w:val="single" w:sz="8" w:space="0" w:color="231F20"/>
            </w:tcBorders>
          </w:tcPr>
          <w:p>
            <w:pPr>
              <w:pStyle w:val="TableParagraph"/>
              <w:spacing w:before="102"/>
              <w:ind w:right="97"/>
              <w:jc w:val="right"/>
              <w:rPr>
                <w:b/>
                <w:sz w:val="20"/>
              </w:rPr>
            </w:pPr>
            <w:r>
              <w:rPr>
                <w:b/>
                <w:color w:val="231F20"/>
                <w:sz w:val="20"/>
              </w:rPr>
              <w:t>December 31, 2015</w:t>
            </w:r>
          </w:p>
        </w:tc>
      </w:tr>
      <w:tr>
        <w:trPr>
          <w:trHeight w:val="310" w:hRule="exact"/>
        </w:trPr>
        <w:tc>
          <w:tcPr>
            <w:tcW w:w="5286" w:type="dxa"/>
            <w:shd w:val="clear" w:color="auto" w:fill="D1D3D4"/>
          </w:tcPr>
          <w:p>
            <w:pPr>
              <w:pStyle w:val="TableParagraph"/>
              <w:rPr>
                <w:sz w:val="20"/>
              </w:rPr>
            </w:pPr>
            <w:r>
              <w:rPr>
                <w:color w:val="231F20"/>
                <w:sz w:val="20"/>
              </w:rPr>
              <w:t>5.25% Convertible Senior Notes due November 2016</w:t>
            </w:r>
          </w:p>
        </w:tc>
        <w:tc>
          <w:tcPr>
            <w:tcW w:w="1817" w:type="dxa"/>
            <w:tcBorders>
              <w:top w:val="single" w:sz="8" w:space="0" w:color="231F20"/>
            </w:tcBorders>
            <w:shd w:val="clear" w:color="auto" w:fill="D1D3D4"/>
          </w:tcPr>
          <w:p>
            <w:pPr>
              <w:pStyle w:val="TableParagraph"/>
              <w:tabs>
                <w:tab w:pos="1549" w:val="left" w:leader="none"/>
              </w:tabs>
              <w:ind w:right="64"/>
              <w:jc w:val="right"/>
              <w:rPr>
                <w:sz w:val="20"/>
              </w:rPr>
            </w:pPr>
            <w:r>
              <w:rPr>
                <w:color w:val="231F20"/>
                <w:sz w:val="20"/>
              </w:rPr>
              <w:t>$</w:t>
              <w:tab/>
              <w:t>—</w:t>
            </w:r>
          </w:p>
        </w:tc>
        <w:tc>
          <w:tcPr>
            <w:tcW w:w="200" w:type="dxa"/>
            <w:shd w:val="clear" w:color="auto" w:fill="D1D3D4"/>
          </w:tcPr>
          <w:p>
            <w:pPr/>
          </w:p>
        </w:tc>
        <w:tc>
          <w:tcPr>
            <w:tcW w:w="1817" w:type="dxa"/>
            <w:tcBorders>
              <w:top w:val="single" w:sz="8" w:space="0" w:color="231F20"/>
            </w:tcBorders>
            <w:shd w:val="clear" w:color="auto" w:fill="D1D3D4"/>
          </w:tcPr>
          <w:p>
            <w:pPr>
              <w:pStyle w:val="TableParagraph"/>
              <w:tabs>
                <w:tab w:pos="1449" w:val="left" w:leader="none"/>
              </w:tabs>
              <w:ind w:right="64"/>
              <w:jc w:val="right"/>
              <w:rPr>
                <w:sz w:val="20"/>
              </w:rPr>
            </w:pPr>
            <w:r>
              <w:rPr>
                <w:color w:val="231F20"/>
                <w:sz w:val="20"/>
              </w:rPr>
              <w:t>$</w:t>
              <w:tab/>
              <w:t>111</w:t>
            </w:r>
          </w:p>
        </w:tc>
      </w:tr>
      <w:tr>
        <w:trPr>
          <w:trHeight w:val="300" w:hRule="exact"/>
        </w:trPr>
        <w:tc>
          <w:tcPr>
            <w:tcW w:w="5286" w:type="dxa"/>
          </w:tcPr>
          <w:p>
            <w:pPr>
              <w:pStyle w:val="TableParagraph"/>
              <w:rPr>
                <w:sz w:val="20"/>
              </w:rPr>
            </w:pPr>
            <w:r>
              <w:rPr>
                <w:color w:val="231F20"/>
                <w:sz w:val="20"/>
              </w:rPr>
              <w:t>5.75% Notes due December 2016</w:t>
            </w:r>
          </w:p>
        </w:tc>
        <w:tc>
          <w:tcPr>
            <w:tcW w:w="1817" w:type="dxa"/>
          </w:tcPr>
          <w:p>
            <w:pPr>
              <w:pStyle w:val="TableParagraph"/>
              <w:ind w:right="64"/>
              <w:jc w:val="right"/>
              <w:rPr>
                <w:sz w:val="20"/>
              </w:rPr>
            </w:pPr>
            <w:r>
              <w:rPr>
                <w:color w:val="231F20"/>
                <w:sz w:val="20"/>
              </w:rPr>
              <w:t>—</w:t>
            </w:r>
          </w:p>
        </w:tc>
        <w:tc>
          <w:tcPr>
            <w:tcW w:w="200" w:type="dxa"/>
          </w:tcPr>
          <w:p>
            <w:pPr/>
          </w:p>
        </w:tc>
        <w:tc>
          <w:tcPr>
            <w:tcW w:w="1817" w:type="dxa"/>
          </w:tcPr>
          <w:p>
            <w:pPr>
              <w:pStyle w:val="TableParagraph"/>
              <w:ind w:right="64"/>
              <w:jc w:val="right"/>
              <w:rPr>
                <w:sz w:val="20"/>
              </w:rPr>
            </w:pPr>
            <w:r>
              <w:rPr>
                <w:color w:val="231F20"/>
                <w:sz w:val="20"/>
              </w:rPr>
              <w:t>307</w:t>
            </w:r>
          </w:p>
        </w:tc>
      </w:tr>
      <w:tr>
        <w:trPr>
          <w:trHeight w:val="300" w:hRule="exact"/>
        </w:trPr>
        <w:tc>
          <w:tcPr>
            <w:tcW w:w="5286" w:type="dxa"/>
            <w:shd w:val="clear" w:color="auto" w:fill="D1D3D4"/>
          </w:tcPr>
          <w:p>
            <w:pPr>
              <w:pStyle w:val="TableParagraph"/>
              <w:rPr>
                <w:sz w:val="20"/>
              </w:rPr>
            </w:pPr>
            <w:r>
              <w:rPr>
                <w:color w:val="231F20"/>
                <w:sz w:val="20"/>
              </w:rPr>
              <w:t>5.125% Notes due 2017</w:t>
            </w:r>
          </w:p>
        </w:tc>
        <w:tc>
          <w:tcPr>
            <w:tcW w:w="1817" w:type="dxa"/>
            <w:shd w:val="clear" w:color="auto" w:fill="D1D3D4"/>
          </w:tcPr>
          <w:p>
            <w:pPr>
              <w:pStyle w:val="TableParagraph"/>
              <w:ind w:right="66"/>
              <w:jc w:val="right"/>
              <w:rPr>
                <w:sz w:val="20"/>
              </w:rPr>
            </w:pPr>
            <w:r>
              <w:rPr>
                <w:color w:val="231F20"/>
                <w:sz w:val="20"/>
              </w:rPr>
              <w:t>301</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309</w:t>
            </w:r>
          </w:p>
        </w:tc>
      </w:tr>
      <w:tr>
        <w:trPr>
          <w:trHeight w:val="300" w:hRule="exact"/>
        </w:trPr>
        <w:tc>
          <w:tcPr>
            <w:tcW w:w="5286" w:type="dxa"/>
          </w:tcPr>
          <w:p>
            <w:pPr>
              <w:pStyle w:val="TableParagraph"/>
              <w:rPr>
                <w:sz w:val="20"/>
              </w:rPr>
            </w:pPr>
            <w:r>
              <w:rPr>
                <w:color w:val="231F20"/>
                <w:sz w:val="20"/>
              </w:rPr>
              <w:t>French Credit Agreements due 2018—2.23%</w:t>
            </w:r>
          </w:p>
        </w:tc>
        <w:tc>
          <w:tcPr>
            <w:tcW w:w="1817" w:type="dxa"/>
          </w:tcPr>
          <w:p>
            <w:pPr>
              <w:pStyle w:val="TableParagraph"/>
              <w:ind w:right="64"/>
              <w:jc w:val="right"/>
              <w:rPr>
                <w:sz w:val="20"/>
              </w:rPr>
            </w:pPr>
            <w:r>
              <w:rPr>
                <w:color w:val="231F20"/>
                <w:sz w:val="20"/>
              </w:rPr>
              <w:t>14</w:t>
            </w:r>
          </w:p>
        </w:tc>
        <w:tc>
          <w:tcPr>
            <w:tcW w:w="200" w:type="dxa"/>
          </w:tcPr>
          <w:p>
            <w:pPr/>
          </w:p>
        </w:tc>
        <w:tc>
          <w:tcPr>
            <w:tcW w:w="1817" w:type="dxa"/>
          </w:tcPr>
          <w:p>
            <w:pPr>
              <w:pStyle w:val="TableParagraph"/>
              <w:ind w:right="64"/>
              <w:jc w:val="right"/>
              <w:rPr>
                <w:sz w:val="20"/>
              </w:rPr>
            </w:pPr>
            <w:r>
              <w:rPr>
                <w:color w:val="231F20"/>
                <w:sz w:val="20"/>
              </w:rPr>
              <w:t>25</w:t>
            </w:r>
          </w:p>
        </w:tc>
      </w:tr>
      <w:tr>
        <w:trPr>
          <w:trHeight w:val="300" w:hRule="exact"/>
        </w:trPr>
        <w:tc>
          <w:tcPr>
            <w:tcW w:w="5286" w:type="dxa"/>
            <w:shd w:val="clear" w:color="auto" w:fill="D1D3D4"/>
          </w:tcPr>
          <w:p>
            <w:pPr>
              <w:pStyle w:val="TableParagraph"/>
              <w:rPr>
                <w:sz w:val="20"/>
              </w:rPr>
            </w:pPr>
            <w:r>
              <w:rPr>
                <w:color w:val="231F20"/>
                <w:sz w:val="20"/>
              </w:rPr>
              <w:t>Fixed-rate 737 Aircraft Notes payable through 2018—7.03%</w:t>
            </w:r>
          </w:p>
        </w:tc>
        <w:tc>
          <w:tcPr>
            <w:tcW w:w="1817" w:type="dxa"/>
            <w:shd w:val="clear" w:color="auto" w:fill="D1D3D4"/>
          </w:tcPr>
          <w:p>
            <w:pPr>
              <w:pStyle w:val="TableParagraph"/>
              <w:ind w:right="64"/>
              <w:jc w:val="right"/>
              <w:rPr>
                <w:sz w:val="20"/>
              </w:rPr>
            </w:pPr>
            <w:r>
              <w:rPr>
                <w:color w:val="231F20"/>
                <w:sz w:val="20"/>
              </w:rPr>
              <w:t>8</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17</w:t>
            </w:r>
          </w:p>
        </w:tc>
      </w:tr>
      <w:tr>
        <w:trPr>
          <w:trHeight w:val="300" w:hRule="exact"/>
        </w:trPr>
        <w:tc>
          <w:tcPr>
            <w:tcW w:w="5286" w:type="dxa"/>
          </w:tcPr>
          <w:p>
            <w:pPr>
              <w:pStyle w:val="TableParagraph"/>
              <w:rPr>
                <w:sz w:val="20"/>
              </w:rPr>
            </w:pPr>
            <w:r>
              <w:rPr>
                <w:color w:val="231F20"/>
                <w:sz w:val="20"/>
              </w:rPr>
              <w:t>2.75% Notes due 2019</w:t>
            </w:r>
          </w:p>
        </w:tc>
        <w:tc>
          <w:tcPr>
            <w:tcW w:w="1817" w:type="dxa"/>
          </w:tcPr>
          <w:p>
            <w:pPr>
              <w:pStyle w:val="TableParagraph"/>
              <w:ind w:right="66"/>
              <w:jc w:val="right"/>
              <w:rPr>
                <w:sz w:val="20"/>
              </w:rPr>
            </w:pPr>
            <w:r>
              <w:rPr>
                <w:color w:val="231F20"/>
                <w:sz w:val="20"/>
              </w:rPr>
              <w:t>301</w:t>
            </w:r>
          </w:p>
        </w:tc>
        <w:tc>
          <w:tcPr>
            <w:tcW w:w="200" w:type="dxa"/>
          </w:tcPr>
          <w:p>
            <w:pPr/>
          </w:p>
        </w:tc>
        <w:tc>
          <w:tcPr>
            <w:tcW w:w="1817" w:type="dxa"/>
          </w:tcPr>
          <w:p>
            <w:pPr>
              <w:pStyle w:val="TableParagraph"/>
              <w:ind w:right="66"/>
              <w:jc w:val="right"/>
              <w:rPr>
                <w:sz w:val="20"/>
              </w:rPr>
            </w:pPr>
            <w:r>
              <w:rPr>
                <w:color w:val="231F20"/>
                <w:sz w:val="20"/>
              </w:rPr>
              <w:t>303</w:t>
            </w:r>
          </w:p>
        </w:tc>
      </w:tr>
      <w:tr>
        <w:trPr>
          <w:trHeight w:val="300" w:hRule="exact"/>
        </w:trPr>
        <w:tc>
          <w:tcPr>
            <w:tcW w:w="5286" w:type="dxa"/>
            <w:shd w:val="clear" w:color="auto" w:fill="D1D3D4"/>
          </w:tcPr>
          <w:p>
            <w:pPr>
              <w:pStyle w:val="TableParagraph"/>
              <w:rPr>
                <w:sz w:val="20"/>
              </w:rPr>
            </w:pPr>
            <w:r>
              <w:rPr>
                <w:color w:val="231F20"/>
                <w:sz w:val="20"/>
              </w:rPr>
              <w:t>Term Loan Agreement payable through 2019—6.315%</w:t>
            </w:r>
          </w:p>
        </w:tc>
        <w:tc>
          <w:tcPr>
            <w:tcW w:w="1817" w:type="dxa"/>
            <w:shd w:val="clear" w:color="auto" w:fill="D1D3D4"/>
          </w:tcPr>
          <w:p>
            <w:pPr>
              <w:pStyle w:val="TableParagraph"/>
              <w:ind w:right="64"/>
              <w:jc w:val="right"/>
              <w:rPr>
                <w:sz w:val="20"/>
              </w:rPr>
            </w:pPr>
            <w:r>
              <w:rPr>
                <w:color w:val="231F20"/>
                <w:sz w:val="20"/>
              </w:rPr>
              <w:t>106</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143</w:t>
            </w:r>
          </w:p>
        </w:tc>
      </w:tr>
      <w:tr>
        <w:trPr>
          <w:trHeight w:val="300" w:hRule="exact"/>
        </w:trPr>
        <w:tc>
          <w:tcPr>
            <w:tcW w:w="5286" w:type="dxa"/>
          </w:tcPr>
          <w:p>
            <w:pPr>
              <w:pStyle w:val="TableParagraph"/>
              <w:rPr>
                <w:sz w:val="20"/>
              </w:rPr>
            </w:pPr>
            <w:r>
              <w:rPr>
                <w:color w:val="231F20"/>
                <w:sz w:val="20"/>
              </w:rPr>
              <w:t>Term Loan Agreement payable through 2019—4.84%</w:t>
            </w:r>
          </w:p>
        </w:tc>
        <w:tc>
          <w:tcPr>
            <w:tcW w:w="1817" w:type="dxa"/>
          </w:tcPr>
          <w:p>
            <w:pPr>
              <w:pStyle w:val="TableParagraph"/>
              <w:ind w:right="64"/>
              <w:jc w:val="right"/>
              <w:rPr>
                <w:sz w:val="20"/>
              </w:rPr>
            </w:pPr>
            <w:r>
              <w:rPr>
                <w:color w:val="231F20"/>
                <w:sz w:val="20"/>
              </w:rPr>
              <w:t>28</w:t>
            </w:r>
          </w:p>
        </w:tc>
        <w:tc>
          <w:tcPr>
            <w:tcW w:w="200" w:type="dxa"/>
          </w:tcPr>
          <w:p>
            <w:pPr/>
          </w:p>
        </w:tc>
        <w:tc>
          <w:tcPr>
            <w:tcW w:w="1817" w:type="dxa"/>
          </w:tcPr>
          <w:p>
            <w:pPr>
              <w:pStyle w:val="TableParagraph"/>
              <w:ind w:right="64"/>
              <w:jc w:val="right"/>
              <w:rPr>
                <w:sz w:val="20"/>
              </w:rPr>
            </w:pPr>
            <w:r>
              <w:rPr>
                <w:color w:val="231F20"/>
                <w:sz w:val="20"/>
              </w:rPr>
              <w:t>36</w:t>
            </w:r>
          </w:p>
        </w:tc>
      </w:tr>
      <w:tr>
        <w:trPr>
          <w:trHeight w:val="300" w:hRule="exact"/>
        </w:trPr>
        <w:tc>
          <w:tcPr>
            <w:tcW w:w="5286" w:type="dxa"/>
            <w:shd w:val="clear" w:color="auto" w:fill="D1D3D4"/>
          </w:tcPr>
          <w:p>
            <w:pPr>
              <w:pStyle w:val="TableParagraph"/>
              <w:rPr>
                <w:sz w:val="20"/>
              </w:rPr>
            </w:pPr>
            <w:r>
              <w:rPr>
                <w:color w:val="231F20"/>
                <w:sz w:val="20"/>
              </w:rPr>
              <w:t>2.65% Notes due 2020</w:t>
            </w:r>
          </w:p>
        </w:tc>
        <w:tc>
          <w:tcPr>
            <w:tcW w:w="1817" w:type="dxa"/>
            <w:shd w:val="clear" w:color="auto" w:fill="D1D3D4"/>
          </w:tcPr>
          <w:p>
            <w:pPr>
              <w:pStyle w:val="TableParagraph"/>
              <w:ind w:right="66"/>
              <w:jc w:val="right"/>
              <w:rPr>
                <w:sz w:val="20"/>
              </w:rPr>
            </w:pPr>
            <w:r>
              <w:rPr>
                <w:color w:val="231F20"/>
                <w:sz w:val="20"/>
              </w:rPr>
              <w:t>492</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494</w:t>
            </w:r>
          </w:p>
        </w:tc>
      </w:tr>
      <w:tr>
        <w:trPr>
          <w:trHeight w:val="300" w:hRule="exact"/>
        </w:trPr>
        <w:tc>
          <w:tcPr>
            <w:tcW w:w="5286" w:type="dxa"/>
          </w:tcPr>
          <w:p>
            <w:pPr>
              <w:pStyle w:val="TableParagraph"/>
              <w:rPr>
                <w:sz w:val="20"/>
              </w:rPr>
            </w:pPr>
            <w:r>
              <w:rPr>
                <w:color w:val="231F20"/>
                <w:sz w:val="20"/>
              </w:rPr>
              <w:t>Term Loan Agreement payable through 2020—5.223%</w:t>
            </w:r>
          </w:p>
        </w:tc>
        <w:tc>
          <w:tcPr>
            <w:tcW w:w="1817" w:type="dxa"/>
          </w:tcPr>
          <w:p>
            <w:pPr>
              <w:pStyle w:val="TableParagraph"/>
              <w:ind w:right="64"/>
              <w:jc w:val="right"/>
              <w:rPr>
                <w:sz w:val="20"/>
              </w:rPr>
            </w:pPr>
            <w:r>
              <w:rPr>
                <w:color w:val="231F20"/>
                <w:sz w:val="20"/>
              </w:rPr>
              <w:t>284</w:t>
            </w:r>
          </w:p>
        </w:tc>
        <w:tc>
          <w:tcPr>
            <w:tcW w:w="200" w:type="dxa"/>
          </w:tcPr>
          <w:p>
            <w:pPr/>
          </w:p>
        </w:tc>
        <w:tc>
          <w:tcPr>
            <w:tcW w:w="1817" w:type="dxa"/>
          </w:tcPr>
          <w:p>
            <w:pPr>
              <w:pStyle w:val="TableParagraph"/>
              <w:ind w:right="64"/>
              <w:jc w:val="right"/>
              <w:rPr>
                <w:sz w:val="20"/>
              </w:rPr>
            </w:pPr>
            <w:r>
              <w:rPr>
                <w:color w:val="231F20"/>
                <w:sz w:val="20"/>
              </w:rPr>
              <w:t>329</w:t>
            </w:r>
          </w:p>
        </w:tc>
      </w:tr>
      <w:tr>
        <w:trPr>
          <w:trHeight w:val="300" w:hRule="exact"/>
        </w:trPr>
        <w:tc>
          <w:tcPr>
            <w:tcW w:w="5286" w:type="dxa"/>
            <w:shd w:val="clear" w:color="auto" w:fill="D1D3D4"/>
          </w:tcPr>
          <w:p>
            <w:pPr>
              <w:pStyle w:val="TableParagraph"/>
              <w:rPr>
                <w:sz w:val="20"/>
              </w:rPr>
            </w:pPr>
            <w:r>
              <w:rPr>
                <w:color w:val="231F20"/>
                <w:sz w:val="20"/>
              </w:rPr>
              <w:t>737 Aircraft Notes payable through 2020</w:t>
            </w:r>
          </w:p>
        </w:tc>
        <w:tc>
          <w:tcPr>
            <w:tcW w:w="1817" w:type="dxa"/>
            <w:shd w:val="clear" w:color="auto" w:fill="D1D3D4"/>
          </w:tcPr>
          <w:p>
            <w:pPr>
              <w:pStyle w:val="TableParagraph"/>
              <w:ind w:right="66"/>
              <w:jc w:val="right"/>
              <w:rPr>
                <w:sz w:val="20"/>
              </w:rPr>
            </w:pPr>
            <w:r>
              <w:rPr>
                <w:color w:val="231F20"/>
                <w:sz w:val="20"/>
              </w:rPr>
              <w:t>206</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257</w:t>
            </w:r>
          </w:p>
        </w:tc>
      </w:tr>
      <w:tr>
        <w:trPr>
          <w:trHeight w:val="300" w:hRule="exact"/>
        </w:trPr>
        <w:tc>
          <w:tcPr>
            <w:tcW w:w="5286" w:type="dxa"/>
          </w:tcPr>
          <w:p>
            <w:pPr>
              <w:pStyle w:val="TableParagraph"/>
              <w:rPr>
                <w:sz w:val="20"/>
              </w:rPr>
            </w:pPr>
            <w:r>
              <w:rPr>
                <w:color w:val="231F20"/>
                <w:sz w:val="20"/>
              </w:rPr>
              <w:t>Term Loan Agreements payable through 2021—7.94%</w:t>
            </w:r>
          </w:p>
        </w:tc>
        <w:tc>
          <w:tcPr>
            <w:tcW w:w="1817" w:type="dxa"/>
          </w:tcPr>
          <w:p>
            <w:pPr>
              <w:pStyle w:val="TableParagraph"/>
              <w:ind w:right="64"/>
              <w:jc w:val="right"/>
              <w:rPr>
                <w:sz w:val="20"/>
              </w:rPr>
            </w:pPr>
            <w:r>
              <w:rPr>
                <w:color w:val="231F20"/>
                <w:sz w:val="20"/>
              </w:rPr>
              <w:t>20</w:t>
            </w:r>
          </w:p>
        </w:tc>
        <w:tc>
          <w:tcPr>
            <w:tcW w:w="200" w:type="dxa"/>
          </w:tcPr>
          <w:p>
            <w:pPr/>
          </w:p>
        </w:tc>
        <w:tc>
          <w:tcPr>
            <w:tcW w:w="1817" w:type="dxa"/>
          </w:tcPr>
          <w:p>
            <w:pPr>
              <w:pStyle w:val="TableParagraph"/>
              <w:ind w:right="64"/>
              <w:jc w:val="right"/>
              <w:rPr>
                <w:sz w:val="20"/>
              </w:rPr>
            </w:pPr>
            <w:r>
              <w:rPr>
                <w:color w:val="231F20"/>
                <w:sz w:val="20"/>
              </w:rPr>
              <w:t>—</w:t>
            </w:r>
          </w:p>
        </w:tc>
      </w:tr>
      <w:tr>
        <w:trPr>
          <w:trHeight w:val="300" w:hRule="exact"/>
        </w:trPr>
        <w:tc>
          <w:tcPr>
            <w:tcW w:w="5286" w:type="dxa"/>
            <w:shd w:val="clear" w:color="auto" w:fill="D1D3D4"/>
          </w:tcPr>
          <w:p>
            <w:pPr>
              <w:pStyle w:val="TableParagraph"/>
              <w:rPr>
                <w:sz w:val="20"/>
              </w:rPr>
            </w:pPr>
            <w:r>
              <w:rPr>
                <w:color w:val="231F20"/>
                <w:sz w:val="20"/>
              </w:rPr>
              <w:t>Pass Through Certificates due 2022—6.24%</w:t>
            </w:r>
          </w:p>
        </w:tc>
        <w:tc>
          <w:tcPr>
            <w:tcW w:w="1817" w:type="dxa"/>
            <w:shd w:val="clear" w:color="auto" w:fill="D1D3D4"/>
          </w:tcPr>
          <w:p>
            <w:pPr>
              <w:pStyle w:val="TableParagraph"/>
              <w:ind w:right="64"/>
              <w:jc w:val="right"/>
              <w:rPr>
                <w:sz w:val="20"/>
              </w:rPr>
            </w:pPr>
            <w:r>
              <w:rPr>
                <w:color w:val="231F20"/>
                <w:sz w:val="20"/>
              </w:rPr>
              <w:t>324</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340</w:t>
            </w:r>
          </w:p>
        </w:tc>
      </w:tr>
      <w:tr>
        <w:trPr>
          <w:trHeight w:val="300" w:hRule="exact"/>
        </w:trPr>
        <w:tc>
          <w:tcPr>
            <w:tcW w:w="5286" w:type="dxa"/>
          </w:tcPr>
          <w:p>
            <w:pPr>
              <w:pStyle w:val="TableParagraph"/>
              <w:rPr>
                <w:sz w:val="20"/>
              </w:rPr>
            </w:pPr>
            <w:r>
              <w:rPr>
                <w:color w:val="231F20"/>
                <w:sz w:val="20"/>
              </w:rPr>
              <w:t>Term Loan Agreement payable through 2026—2.36%</w:t>
            </w:r>
          </w:p>
        </w:tc>
        <w:tc>
          <w:tcPr>
            <w:tcW w:w="1817" w:type="dxa"/>
          </w:tcPr>
          <w:p>
            <w:pPr>
              <w:pStyle w:val="TableParagraph"/>
              <w:ind w:right="64"/>
              <w:jc w:val="right"/>
              <w:rPr>
                <w:sz w:val="20"/>
              </w:rPr>
            </w:pPr>
            <w:r>
              <w:rPr>
                <w:color w:val="231F20"/>
                <w:sz w:val="20"/>
              </w:rPr>
              <w:t>215</w:t>
            </w:r>
          </w:p>
        </w:tc>
        <w:tc>
          <w:tcPr>
            <w:tcW w:w="200" w:type="dxa"/>
          </w:tcPr>
          <w:p>
            <w:pPr/>
          </w:p>
        </w:tc>
        <w:tc>
          <w:tcPr>
            <w:tcW w:w="1817" w:type="dxa"/>
          </w:tcPr>
          <w:p>
            <w:pPr>
              <w:pStyle w:val="TableParagraph"/>
              <w:ind w:right="64"/>
              <w:jc w:val="right"/>
              <w:rPr>
                <w:sz w:val="20"/>
              </w:rPr>
            </w:pPr>
            <w:r>
              <w:rPr>
                <w:color w:val="231F20"/>
                <w:sz w:val="20"/>
              </w:rPr>
              <w:t>—</w:t>
            </w:r>
          </w:p>
        </w:tc>
      </w:tr>
      <w:tr>
        <w:trPr>
          <w:trHeight w:val="300" w:hRule="exact"/>
        </w:trPr>
        <w:tc>
          <w:tcPr>
            <w:tcW w:w="5286" w:type="dxa"/>
            <w:shd w:val="clear" w:color="auto" w:fill="D1D3D4"/>
          </w:tcPr>
          <w:p>
            <w:pPr>
              <w:pStyle w:val="TableParagraph"/>
              <w:rPr>
                <w:sz w:val="20"/>
              </w:rPr>
            </w:pPr>
            <w:r>
              <w:rPr>
                <w:color w:val="231F20"/>
                <w:sz w:val="20"/>
              </w:rPr>
              <w:t>3.00% Notes due 2026</w:t>
            </w:r>
          </w:p>
        </w:tc>
        <w:tc>
          <w:tcPr>
            <w:tcW w:w="1817" w:type="dxa"/>
            <w:shd w:val="clear" w:color="auto" w:fill="D1D3D4"/>
          </w:tcPr>
          <w:p>
            <w:pPr>
              <w:pStyle w:val="TableParagraph"/>
              <w:ind w:right="66"/>
              <w:jc w:val="right"/>
              <w:rPr>
                <w:sz w:val="20"/>
              </w:rPr>
            </w:pPr>
            <w:r>
              <w:rPr>
                <w:color w:val="231F20"/>
                <w:sz w:val="20"/>
              </w:rPr>
              <w:t>300</w:t>
            </w:r>
          </w:p>
        </w:tc>
        <w:tc>
          <w:tcPr>
            <w:tcW w:w="200" w:type="dxa"/>
            <w:shd w:val="clear" w:color="auto" w:fill="D1D3D4"/>
          </w:tcPr>
          <w:p>
            <w:pPr/>
          </w:p>
        </w:tc>
        <w:tc>
          <w:tcPr>
            <w:tcW w:w="1817" w:type="dxa"/>
            <w:shd w:val="clear" w:color="auto" w:fill="D1D3D4"/>
          </w:tcPr>
          <w:p>
            <w:pPr>
              <w:pStyle w:val="TableParagraph"/>
              <w:ind w:right="66"/>
              <w:jc w:val="right"/>
              <w:rPr>
                <w:sz w:val="20"/>
              </w:rPr>
            </w:pPr>
            <w:r>
              <w:rPr>
                <w:color w:val="231F20"/>
                <w:sz w:val="20"/>
              </w:rPr>
              <w:t>—</w:t>
            </w:r>
          </w:p>
        </w:tc>
      </w:tr>
      <w:tr>
        <w:trPr>
          <w:trHeight w:val="300" w:hRule="exact"/>
        </w:trPr>
        <w:tc>
          <w:tcPr>
            <w:tcW w:w="5286" w:type="dxa"/>
          </w:tcPr>
          <w:p>
            <w:pPr>
              <w:pStyle w:val="TableParagraph"/>
              <w:rPr>
                <w:sz w:val="20"/>
              </w:rPr>
            </w:pPr>
            <w:r>
              <w:rPr>
                <w:color w:val="231F20"/>
                <w:sz w:val="20"/>
              </w:rPr>
              <w:t>7.375% Debentures due 2027</w:t>
            </w:r>
          </w:p>
        </w:tc>
        <w:tc>
          <w:tcPr>
            <w:tcW w:w="1817" w:type="dxa"/>
          </w:tcPr>
          <w:p>
            <w:pPr>
              <w:pStyle w:val="TableParagraph"/>
              <w:ind w:right="64"/>
              <w:jc w:val="right"/>
              <w:rPr>
                <w:sz w:val="20"/>
              </w:rPr>
            </w:pPr>
            <w:r>
              <w:rPr>
                <w:color w:val="231F20"/>
                <w:sz w:val="20"/>
              </w:rPr>
              <w:t>130</w:t>
            </w:r>
          </w:p>
        </w:tc>
        <w:tc>
          <w:tcPr>
            <w:tcW w:w="200" w:type="dxa"/>
          </w:tcPr>
          <w:p>
            <w:pPr/>
          </w:p>
        </w:tc>
        <w:tc>
          <w:tcPr>
            <w:tcW w:w="1817" w:type="dxa"/>
          </w:tcPr>
          <w:p>
            <w:pPr>
              <w:pStyle w:val="TableParagraph"/>
              <w:ind w:right="64"/>
              <w:jc w:val="right"/>
              <w:rPr>
                <w:sz w:val="20"/>
              </w:rPr>
            </w:pPr>
            <w:r>
              <w:rPr>
                <w:color w:val="231F20"/>
                <w:sz w:val="20"/>
              </w:rPr>
              <w:t>132</w:t>
            </w:r>
          </w:p>
        </w:tc>
      </w:tr>
      <w:tr>
        <w:trPr>
          <w:trHeight w:val="315" w:hRule="exact"/>
        </w:trPr>
        <w:tc>
          <w:tcPr>
            <w:tcW w:w="5286" w:type="dxa"/>
            <w:shd w:val="clear" w:color="auto" w:fill="D1D3D4"/>
          </w:tcPr>
          <w:p>
            <w:pPr>
              <w:pStyle w:val="TableParagraph"/>
              <w:rPr>
                <w:sz w:val="20"/>
              </w:rPr>
            </w:pPr>
            <w:r>
              <w:rPr>
                <w:color w:val="231F20"/>
                <w:sz w:val="20"/>
              </w:rPr>
              <w:t>Capital leases</w:t>
            </w:r>
          </w:p>
        </w:tc>
        <w:tc>
          <w:tcPr>
            <w:tcW w:w="1817" w:type="dxa"/>
            <w:tcBorders>
              <w:bottom w:val="single" w:sz="4" w:space="0" w:color="231F20"/>
            </w:tcBorders>
            <w:shd w:val="clear" w:color="auto" w:fill="D1D3D4"/>
          </w:tcPr>
          <w:p>
            <w:pPr>
              <w:pStyle w:val="TableParagraph"/>
              <w:ind w:right="66"/>
              <w:jc w:val="right"/>
              <w:rPr>
                <w:sz w:val="20"/>
              </w:rPr>
            </w:pPr>
            <w:r>
              <w:rPr>
                <w:color w:val="231F20"/>
                <w:sz w:val="20"/>
              </w:rPr>
              <w:t>681</w:t>
            </w:r>
          </w:p>
        </w:tc>
        <w:tc>
          <w:tcPr>
            <w:tcW w:w="200" w:type="dxa"/>
            <w:shd w:val="clear" w:color="auto" w:fill="D1D3D4"/>
          </w:tcPr>
          <w:p>
            <w:pPr/>
          </w:p>
        </w:tc>
        <w:tc>
          <w:tcPr>
            <w:tcW w:w="1817" w:type="dxa"/>
            <w:tcBorders>
              <w:bottom w:val="single" w:sz="4" w:space="0" w:color="231F20"/>
            </w:tcBorders>
            <w:shd w:val="clear" w:color="auto" w:fill="D1D3D4"/>
          </w:tcPr>
          <w:p>
            <w:pPr>
              <w:pStyle w:val="TableParagraph"/>
              <w:ind w:right="66"/>
              <w:jc w:val="right"/>
              <w:rPr>
                <w:sz w:val="20"/>
              </w:rPr>
            </w:pPr>
            <w:r>
              <w:rPr>
                <w:color w:val="231F20"/>
                <w:sz w:val="20"/>
              </w:rPr>
              <w:t>395</w:t>
            </w:r>
          </w:p>
        </w:tc>
      </w:tr>
      <w:tr>
        <w:trPr>
          <w:trHeight w:val="305" w:hRule="exact"/>
        </w:trPr>
        <w:tc>
          <w:tcPr>
            <w:tcW w:w="5286" w:type="dxa"/>
          </w:tcPr>
          <w:p>
            <w:pPr/>
          </w:p>
        </w:tc>
        <w:tc>
          <w:tcPr>
            <w:tcW w:w="1817" w:type="dxa"/>
            <w:tcBorders>
              <w:top w:val="single" w:sz="4" w:space="0" w:color="231F20"/>
            </w:tcBorders>
          </w:tcPr>
          <w:p>
            <w:pPr>
              <w:pStyle w:val="TableParagraph"/>
              <w:tabs>
                <w:tab w:pos="1299" w:val="left" w:leader="none"/>
              </w:tabs>
              <w:ind w:right="66"/>
              <w:jc w:val="right"/>
              <w:rPr>
                <w:sz w:val="20"/>
              </w:rPr>
            </w:pPr>
            <w:r>
              <w:rPr>
                <w:color w:val="231F20"/>
                <w:sz w:val="20"/>
              </w:rPr>
              <w:t>$</w:t>
              <w:tab/>
              <w:t>3,410</w:t>
            </w:r>
          </w:p>
        </w:tc>
        <w:tc>
          <w:tcPr>
            <w:tcW w:w="200" w:type="dxa"/>
          </w:tcPr>
          <w:p>
            <w:pPr/>
          </w:p>
        </w:tc>
        <w:tc>
          <w:tcPr>
            <w:tcW w:w="1817" w:type="dxa"/>
            <w:tcBorders>
              <w:top w:val="single" w:sz="4" w:space="0" w:color="231F20"/>
            </w:tcBorders>
          </w:tcPr>
          <w:p>
            <w:pPr>
              <w:pStyle w:val="TableParagraph"/>
              <w:tabs>
                <w:tab w:pos="1299" w:val="left" w:leader="none"/>
              </w:tabs>
              <w:ind w:right="66"/>
              <w:jc w:val="right"/>
              <w:rPr>
                <w:sz w:val="20"/>
              </w:rPr>
            </w:pPr>
            <w:r>
              <w:rPr>
                <w:color w:val="231F20"/>
                <w:sz w:val="20"/>
              </w:rPr>
              <w:t>$</w:t>
              <w:tab/>
              <w:t>3,198</w:t>
            </w:r>
          </w:p>
        </w:tc>
      </w:tr>
      <w:tr>
        <w:trPr>
          <w:trHeight w:val="300" w:hRule="exact"/>
        </w:trPr>
        <w:tc>
          <w:tcPr>
            <w:tcW w:w="5286" w:type="dxa"/>
            <w:shd w:val="clear" w:color="auto" w:fill="D1D3D4"/>
          </w:tcPr>
          <w:p>
            <w:pPr>
              <w:pStyle w:val="TableParagraph"/>
              <w:rPr>
                <w:sz w:val="20"/>
              </w:rPr>
            </w:pPr>
            <w:r>
              <w:rPr>
                <w:color w:val="231F20"/>
                <w:sz w:val="20"/>
              </w:rPr>
              <w:t>Less current maturities</w:t>
            </w:r>
          </w:p>
        </w:tc>
        <w:tc>
          <w:tcPr>
            <w:tcW w:w="1817" w:type="dxa"/>
            <w:shd w:val="clear" w:color="auto" w:fill="D1D3D4"/>
          </w:tcPr>
          <w:p>
            <w:pPr>
              <w:pStyle w:val="TableParagraph"/>
              <w:ind w:right="64"/>
              <w:jc w:val="right"/>
              <w:rPr>
                <w:sz w:val="20"/>
              </w:rPr>
            </w:pPr>
            <w:r>
              <w:rPr>
                <w:color w:val="231F20"/>
                <w:sz w:val="20"/>
              </w:rPr>
              <w:t>566</w:t>
            </w:r>
          </w:p>
        </w:tc>
        <w:tc>
          <w:tcPr>
            <w:tcW w:w="200" w:type="dxa"/>
            <w:shd w:val="clear" w:color="auto" w:fill="D1D3D4"/>
          </w:tcPr>
          <w:p>
            <w:pPr/>
          </w:p>
        </w:tc>
        <w:tc>
          <w:tcPr>
            <w:tcW w:w="1817" w:type="dxa"/>
            <w:shd w:val="clear" w:color="auto" w:fill="D1D3D4"/>
          </w:tcPr>
          <w:p>
            <w:pPr>
              <w:pStyle w:val="TableParagraph"/>
              <w:ind w:right="64"/>
              <w:jc w:val="right"/>
              <w:rPr>
                <w:sz w:val="20"/>
              </w:rPr>
            </w:pPr>
            <w:r>
              <w:rPr>
                <w:color w:val="231F20"/>
                <w:sz w:val="20"/>
              </w:rPr>
              <w:t>637</w:t>
            </w:r>
          </w:p>
        </w:tc>
      </w:tr>
      <w:tr>
        <w:trPr>
          <w:trHeight w:val="315" w:hRule="exact"/>
        </w:trPr>
        <w:tc>
          <w:tcPr>
            <w:tcW w:w="5286" w:type="dxa"/>
          </w:tcPr>
          <w:p>
            <w:pPr>
              <w:pStyle w:val="TableParagraph"/>
              <w:rPr>
                <w:sz w:val="20"/>
              </w:rPr>
            </w:pPr>
            <w:r>
              <w:rPr>
                <w:color w:val="231F20"/>
                <w:sz w:val="20"/>
              </w:rPr>
              <w:t>Less debt discount and issuance costs</w:t>
            </w:r>
          </w:p>
        </w:tc>
        <w:tc>
          <w:tcPr>
            <w:tcW w:w="1817" w:type="dxa"/>
            <w:tcBorders>
              <w:bottom w:val="single" w:sz="4" w:space="0" w:color="231F20"/>
            </w:tcBorders>
          </w:tcPr>
          <w:p>
            <w:pPr>
              <w:pStyle w:val="TableParagraph"/>
              <w:ind w:right="66"/>
              <w:jc w:val="right"/>
              <w:rPr>
                <w:sz w:val="20"/>
              </w:rPr>
            </w:pPr>
            <w:r>
              <w:rPr>
                <w:color w:val="231F20"/>
                <w:sz w:val="20"/>
              </w:rPr>
              <w:t>23</w:t>
            </w:r>
          </w:p>
        </w:tc>
        <w:tc>
          <w:tcPr>
            <w:tcW w:w="200" w:type="dxa"/>
          </w:tcPr>
          <w:p>
            <w:pPr/>
          </w:p>
        </w:tc>
        <w:tc>
          <w:tcPr>
            <w:tcW w:w="1817" w:type="dxa"/>
            <w:tcBorders>
              <w:bottom w:val="single" w:sz="4" w:space="0" w:color="231F20"/>
            </w:tcBorders>
          </w:tcPr>
          <w:p>
            <w:pPr>
              <w:pStyle w:val="TableParagraph"/>
              <w:ind w:right="66"/>
              <w:jc w:val="right"/>
              <w:rPr>
                <w:sz w:val="20"/>
              </w:rPr>
            </w:pPr>
            <w:r>
              <w:rPr>
                <w:color w:val="231F20"/>
                <w:sz w:val="20"/>
              </w:rPr>
              <w:t>20</w:t>
            </w:r>
          </w:p>
        </w:tc>
      </w:tr>
      <w:tr>
        <w:trPr>
          <w:trHeight w:val="360" w:hRule="exact"/>
        </w:trPr>
        <w:tc>
          <w:tcPr>
            <w:tcW w:w="5286"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299" w:val="left" w:leader="none"/>
              </w:tabs>
              <w:ind w:right="66"/>
              <w:jc w:val="right"/>
              <w:rPr>
                <w:sz w:val="20"/>
              </w:rPr>
            </w:pPr>
            <w:r>
              <w:rPr>
                <w:color w:val="231F20"/>
                <w:sz w:val="20"/>
              </w:rPr>
              <w:t>$</w:t>
              <w:tab/>
              <w:t>2,821</w:t>
            </w:r>
          </w:p>
        </w:tc>
        <w:tc>
          <w:tcPr>
            <w:tcW w:w="200" w:type="dxa"/>
            <w:shd w:val="clear" w:color="auto" w:fill="D1D3D4"/>
          </w:tcPr>
          <w:p>
            <w:pPr/>
          </w:p>
        </w:tc>
        <w:tc>
          <w:tcPr>
            <w:tcW w:w="1817" w:type="dxa"/>
            <w:tcBorders>
              <w:top w:val="single" w:sz="4" w:space="0" w:color="231F20"/>
              <w:bottom w:val="single" w:sz="4" w:space="0" w:color="231F20"/>
            </w:tcBorders>
            <w:shd w:val="clear" w:color="auto" w:fill="D1D3D4"/>
          </w:tcPr>
          <w:p>
            <w:pPr>
              <w:pStyle w:val="TableParagraph"/>
              <w:tabs>
                <w:tab w:pos="1299" w:val="left" w:leader="none"/>
              </w:tabs>
              <w:spacing w:before="48"/>
              <w:ind w:right="66"/>
              <w:jc w:val="right"/>
              <w:rPr>
                <w:sz w:val="20"/>
              </w:rPr>
            </w:pPr>
            <w:r>
              <w:rPr>
                <w:color w:val="231F20"/>
                <w:sz w:val="20"/>
              </w:rPr>
              <w:t>$</w:t>
              <w:tab/>
              <w:t>2,541</w:t>
            </w:r>
          </w:p>
        </w:tc>
      </w:tr>
    </w:tbl>
    <w:p>
      <w:pPr>
        <w:spacing w:after="0"/>
        <w:jc w:val="right"/>
        <w:rPr>
          <w:sz w:val="20"/>
        </w:rPr>
        <w:sectPr>
          <w:pgSz w:w="11880" w:h="15480"/>
          <w:pgMar w:header="0" w:footer="1240" w:top="1240" w:bottom="1420" w:left="1260" w:right="1260"/>
        </w:sectPr>
      </w:pPr>
    </w:p>
    <w:p>
      <w:pPr>
        <w:pStyle w:val="Heading2"/>
        <w:spacing w:before="74"/>
        <w:ind w:left="480"/>
        <w:rPr>
          <w:i/>
        </w:rPr>
      </w:pPr>
      <w:r>
        <w:rPr>
          <w:i/>
          <w:color w:val="231F20"/>
        </w:rPr>
        <w:t>AirTran Long-Term Debt</w:t>
      </w:r>
    </w:p>
    <w:p>
      <w:pPr>
        <w:pStyle w:val="BodyText"/>
        <w:spacing w:before="4"/>
        <w:rPr>
          <w:b/>
          <w:i/>
          <w:sz w:val="21"/>
        </w:rPr>
      </w:pPr>
    </w:p>
    <w:p>
      <w:pPr>
        <w:pStyle w:val="BodyText"/>
        <w:spacing w:line="247" w:lineRule="auto" w:before="1"/>
        <w:ind w:left="119" w:right="117"/>
        <w:jc w:val="both"/>
      </w:pPr>
      <w:r>
        <w:rPr>
          <w:color w:val="231F20"/>
        </w:rPr>
        <w:t>AirTran Holdings is party to aircraft purchase financing facilities, and as of December 31, 2016,         18 Boeing 737 aircraft remained that were financed under floating-rate facilities. Each note is secured by a first mortgage on the aircraft to which it relates. The notes bear interest at a floating rate per annum equal to a margin plus the three or six-month LIBOR in effect at the commencement of each semi-annual or three-month period, as applicable. As of December 31, 2016, the weighted average interest rate was 2.40 percent. Principal and interest under the notes are payable semi-annually or every three months as applicable. As of December 31, 2016, the remaining debt outstanding may be prepaid without penalty under all aircraft loans provided under such facilities. The remaining notes mature in years 2017 to 2020. As discussed further in Note 10, a portion of the above floating-rate debt has been effectively converted to a fixed rate via interest rate swap agreements which expire as the underlying notes mature.</w:t>
      </w:r>
    </w:p>
    <w:p>
      <w:pPr>
        <w:pStyle w:val="BodyText"/>
        <w:spacing w:before="9"/>
        <w:rPr>
          <w:sz w:val="20"/>
        </w:rPr>
      </w:pPr>
    </w:p>
    <w:p>
      <w:pPr>
        <w:pStyle w:val="BodyText"/>
        <w:spacing w:line="247" w:lineRule="auto"/>
        <w:ind w:left="119" w:right="118"/>
        <w:jc w:val="both"/>
      </w:pPr>
      <w:r>
        <w:rPr>
          <w:color w:val="231F20"/>
        </w:rPr>
        <w:t>As of December 31, 2016, two Boeing 737 aircraft were financed under a fixed-rate facility. Each note is secured by a first mortgage on the aircraft to which it relates. As of December 31, 2016, the  weighted average interest rate was 7.03 percent. Payments of principal and interest under the notes are due semi-annually. The remaining notes mature in years 2017 to</w:t>
      </w:r>
      <w:r>
        <w:rPr>
          <w:color w:val="231F20"/>
          <w:spacing w:val="-4"/>
        </w:rPr>
        <w:t> </w:t>
      </w:r>
      <w:r>
        <w:rPr>
          <w:color w:val="231F20"/>
        </w:rPr>
        <w:t>2018.</w:t>
      </w:r>
    </w:p>
    <w:p>
      <w:pPr>
        <w:pStyle w:val="BodyText"/>
        <w:spacing w:before="8"/>
        <w:rPr>
          <w:sz w:val="20"/>
        </w:rPr>
      </w:pPr>
    </w:p>
    <w:p>
      <w:pPr>
        <w:pStyle w:val="BodyText"/>
        <w:spacing w:line="247" w:lineRule="auto" w:before="1"/>
        <w:ind w:left="119" w:right="117"/>
        <w:jc w:val="both"/>
      </w:pPr>
      <w:r>
        <w:rPr>
          <w:color w:val="231F20"/>
        </w:rPr>
        <w:t>In October 2009, AirTran Holdings completed a public offering of $115 million of convertible senior notes due November 1, 2016. Such notes bore interest at 5.25 percent payable semi-annually, in  arrears, on May 1 and November 1. As a result of the acquisition and subsequent dividends declared by the Company, the convertible senior notes were convertible into AirTran conversion  units  of  168.6576 per $1,000 in principal amount of such notes. Based on the terms of the merger agreement, the holders of these notes could receive shares of the Company’s common stock at a conversion rate of 54.5143 shares and $615.16 in cash per $1,000 in principal amount of such notes. During 2016, all the bonds matured, the majority of which had been converted prior to the maturity date, with  approximately 6 million shares issued and cash paid of approximately $68</w:t>
      </w:r>
      <w:r>
        <w:rPr>
          <w:color w:val="231F20"/>
          <w:spacing w:val="1"/>
        </w:rPr>
        <w:t> </w:t>
      </w:r>
      <w:r>
        <w:rPr>
          <w:color w:val="231F20"/>
        </w:rPr>
        <w:t>million.</w:t>
      </w:r>
    </w:p>
    <w:p>
      <w:pPr>
        <w:pStyle w:val="BodyText"/>
        <w:spacing w:before="9"/>
        <w:rPr>
          <w:sz w:val="20"/>
        </w:rPr>
      </w:pPr>
    </w:p>
    <w:p>
      <w:pPr>
        <w:pStyle w:val="Heading2"/>
        <w:ind w:left="480"/>
        <w:rPr>
          <w:i/>
        </w:rPr>
      </w:pPr>
      <w:r>
        <w:rPr>
          <w:i/>
          <w:color w:val="231F20"/>
        </w:rPr>
        <w:t>Other Company Long-Term Debt</w:t>
      </w:r>
    </w:p>
    <w:p>
      <w:pPr>
        <w:pStyle w:val="BodyText"/>
        <w:spacing w:before="4"/>
        <w:rPr>
          <w:b/>
          <w:i/>
          <w:sz w:val="21"/>
        </w:rPr>
      </w:pPr>
    </w:p>
    <w:p>
      <w:pPr>
        <w:pStyle w:val="BodyText"/>
        <w:spacing w:line="247" w:lineRule="auto"/>
        <w:ind w:left="119" w:right="118"/>
        <w:jc w:val="both"/>
      </w:pPr>
      <w:r>
        <w:rPr>
          <w:color w:val="231F20"/>
        </w:rPr>
        <w:t>During November 2016, the Company issued $300 million senior unsecured notes due 2026. The notes bear interest at 3.00 percent. Interest is payable semi-annually in arrears on May 15 and November 15, beginning in 2017.</w:t>
      </w:r>
    </w:p>
    <w:p>
      <w:pPr>
        <w:pStyle w:val="BodyText"/>
        <w:spacing w:before="9"/>
        <w:rPr>
          <w:sz w:val="20"/>
        </w:rPr>
      </w:pPr>
    </w:p>
    <w:p>
      <w:pPr>
        <w:pStyle w:val="BodyText"/>
        <w:spacing w:line="247" w:lineRule="auto"/>
        <w:ind w:left="119" w:right="117"/>
        <w:jc w:val="both"/>
      </w:pPr>
      <w:r>
        <w:rPr>
          <w:color w:val="231F20"/>
        </w:rPr>
        <w:t>During October 2016, the Company entered into a term loan agreement providing for loans to the Company aggregating up to $215 million, to be secured by mortgages on seven of the Company’s 737-800 aircraft. The Company has borrowed the full $215 million and secured this loan with the requisite seven aircraft mortgages. The loan matures on October 31, 2026, and is repayable via semi-annual installments of principal that begin April 30, 2018. The loan bears interest at the LIBO Rate (as defined in the term loan agreement) plus 1.10 percent, which equates to an initial rate of 2.36 percent, and interest is payable semi-annually in installments that begin April 30, 2017.</w:t>
      </w:r>
    </w:p>
    <w:p>
      <w:pPr>
        <w:pStyle w:val="BodyText"/>
        <w:spacing w:before="9"/>
        <w:rPr>
          <w:sz w:val="20"/>
        </w:rPr>
      </w:pPr>
    </w:p>
    <w:p>
      <w:pPr>
        <w:pStyle w:val="BodyText"/>
        <w:spacing w:line="247" w:lineRule="auto"/>
        <w:ind w:left="119" w:right="118"/>
        <w:jc w:val="both"/>
      </w:pPr>
      <w:r>
        <w:rPr>
          <w:color w:val="231F20"/>
        </w:rPr>
        <w:t>During third quarter 2016, the Company entered into term loan agreements to purchase the equity interest in four aircraft that were previously classified as operating leases, for a total of $20 million. As of December 31, 2016, the weighted average interest rate for the four term loan agreements was</w:t>
      </w:r>
    </w:p>
    <w:p>
      <w:pPr>
        <w:pStyle w:val="BodyText"/>
        <w:spacing w:line="247" w:lineRule="auto"/>
        <w:ind w:left="119" w:right="118"/>
        <w:jc w:val="both"/>
      </w:pPr>
      <w:r>
        <w:rPr>
          <w:color w:val="231F20"/>
        </w:rPr>
        <w:t>7.94 percent. Payments of principal and interest under the loans are due semi-annually. The loans mature in years 2018 to 2021.</w:t>
      </w:r>
    </w:p>
    <w:p>
      <w:pPr>
        <w:spacing w:after="0" w:line="247" w:lineRule="auto"/>
        <w:jc w:val="both"/>
        <w:sectPr>
          <w:pgSz w:w="11880" w:h="15480"/>
          <w:pgMar w:header="0" w:footer="1240" w:top="1240" w:bottom="1420" w:left="1260" w:right="1260"/>
        </w:sectPr>
      </w:pPr>
    </w:p>
    <w:p>
      <w:pPr>
        <w:pStyle w:val="BodyText"/>
        <w:spacing w:line="247" w:lineRule="auto" w:before="74"/>
        <w:ind w:left="100" w:right="118"/>
        <w:jc w:val="both"/>
      </w:pPr>
      <w:r>
        <w:rPr>
          <w:color w:val="231F20"/>
        </w:rPr>
        <w:t>During November 2015, the Company issued $500 million senior unsecured notes due 2020. The notes bear interest at 2.65 percent, payable semi-annually in arrears on May 5 and November 5.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line="247" w:lineRule="auto" w:before="206"/>
        <w:ind w:left="100" w:right="118"/>
        <w:jc w:val="both"/>
      </w:pPr>
      <w:r>
        <w:rPr>
          <w:color w:val="231F20"/>
        </w:rPr>
        <w:t>During November 2014, the Company issued $300 million senior unsecured notes due 2019. The notes bear interest at 2.75 percent, payable semi-annually in arrears on May 6 and November 6.  Concurrently, the Company entered into a fixed-to-floating interest rate swap to convert the interest on these unsecured notes to a floating rate until their maturity. See Note 10 for further information on the interest-rate swap agreement.</w:t>
      </w:r>
    </w:p>
    <w:p>
      <w:pPr>
        <w:pStyle w:val="BodyText"/>
        <w:spacing w:line="247" w:lineRule="auto" w:before="206"/>
        <w:ind w:left="100" w:right="118"/>
        <w:jc w:val="both"/>
      </w:pPr>
      <w:r>
        <w:rPr>
          <w:color w:val="231F20"/>
        </w:rPr>
        <w:t>On July 1, 2009, the Company entered into a term loan agreement providing for loans to the Company aggregating up to $124 million, to be secured by mortgages on five of the Company’s 737-700 aircraft. The Company has borrowed the full $124 million and secured this loan with the requisite five aircraft mortgages.</w:t>
      </w:r>
      <w:r>
        <w:rPr>
          <w:color w:val="231F20"/>
          <w:spacing w:val="-7"/>
        </w:rPr>
        <w:t> </w:t>
      </w:r>
      <w:r>
        <w:rPr>
          <w:color w:val="231F20"/>
        </w:rPr>
        <w:t>The</w:t>
      </w:r>
      <w:r>
        <w:rPr>
          <w:color w:val="231F20"/>
          <w:spacing w:val="-7"/>
        </w:rPr>
        <w:t> </w:t>
      </w:r>
      <w:r>
        <w:rPr>
          <w:color w:val="231F20"/>
        </w:rPr>
        <w:t>loan</w:t>
      </w:r>
      <w:r>
        <w:rPr>
          <w:color w:val="231F20"/>
          <w:spacing w:val="-7"/>
        </w:rPr>
        <w:t> </w:t>
      </w:r>
      <w:r>
        <w:rPr>
          <w:color w:val="231F20"/>
        </w:rPr>
        <w:t>matures</w:t>
      </w:r>
      <w:r>
        <w:rPr>
          <w:color w:val="231F20"/>
          <w:spacing w:val="-7"/>
        </w:rPr>
        <w:t> </w:t>
      </w:r>
      <w:r>
        <w:rPr>
          <w:color w:val="231F20"/>
        </w:rPr>
        <w:t>on</w:t>
      </w:r>
      <w:r>
        <w:rPr>
          <w:color w:val="231F20"/>
          <w:spacing w:val="-7"/>
        </w:rPr>
        <w:t> </w:t>
      </w:r>
      <w:r>
        <w:rPr>
          <w:color w:val="231F20"/>
        </w:rPr>
        <w:t>July</w:t>
      </w:r>
      <w:r>
        <w:rPr>
          <w:color w:val="231F20"/>
          <w:spacing w:val="-7"/>
        </w:rPr>
        <w:t> </w:t>
      </w:r>
      <w:r>
        <w:rPr>
          <w:color w:val="231F20"/>
        </w:rPr>
        <w:t>1,</w:t>
      </w:r>
      <w:r>
        <w:rPr>
          <w:color w:val="231F20"/>
          <w:spacing w:val="-8"/>
        </w:rPr>
        <w:t> </w:t>
      </w:r>
      <w:r>
        <w:rPr>
          <w:color w:val="231F20"/>
        </w:rPr>
        <w:t>2019,</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repayable</w:t>
      </w:r>
      <w:r>
        <w:rPr>
          <w:color w:val="231F20"/>
          <w:spacing w:val="-8"/>
        </w:rPr>
        <w:t> </w:t>
      </w:r>
      <w:r>
        <w:rPr>
          <w:color w:val="231F20"/>
        </w:rPr>
        <w:t>semi-annually</w:t>
      </w:r>
      <w:r>
        <w:rPr>
          <w:color w:val="231F20"/>
          <w:spacing w:val="-8"/>
        </w:rPr>
        <w:t> </w:t>
      </w:r>
      <w:r>
        <w:rPr>
          <w:color w:val="231F20"/>
        </w:rPr>
        <w:t>in</w:t>
      </w:r>
      <w:r>
        <w:rPr>
          <w:color w:val="231F20"/>
          <w:spacing w:val="-8"/>
        </w:rPr>
        <w:t> </w:t>
      </w:r>
      <w:r>
        <w:rPr>
          <w:color w:val="231F20"/>
        </w:rPr>
        <w:t>installments</w:t>
      </w:r>
      <w:r>
        <w:rPr>
          <w:color w:val="231F20"/>
          <w:spacing w:val="-8"/>
        </w:rPr>
        <w:t> </w:t>
      </w:r>
      <w:r>
        <w:rPr>
          <w:color w:val="231F20"/>
        </w:rPr>
        <w:t>of</w:t>
      </w:r>
      <w:r>
        <w:rPr>
          <w:color w:val="231F20"/>
          <w:spacing w:val="-9"/>
        </w:rPr>
        <w:t> </w:t>
      </w:r>
      <w:r>
        <w:rPr>
          <w:color w:val="231F20"/>
        </w:rPr>
        <w:t>principal that</w:t>
      </w:r>
      <w:r>
        <w:rPr>
          <w:color w:val="231F20"/>
          <w:spacing w:val="-4"/>
        </w:rPr>
        <w:t> </w:t>
      </w:r>
      <w:r>
        <w:rPr>
          <w:color w:val="231F20"/>
        </w:rPr>
        <w:t>began</w:t>
      </w:r>
      <w:r>
        <w:rPr>
          <w:color w:val="231F20"/>
          <w:spacing w:val="-3"/>
        </w:rPr>
        <w:t> </w:t>
      </w:r>
      <w:r>
        <w:rPr>
          <w:color w:val="231F20"/>
        </w:rPr>
        <w:t>January</w:t>
      </w:r>
      <w:r>
        <w:rPr>
          <w:color w:val="231F20"/>
          <w:spacing w:val="-3"/>
        </w:rPr>
        <w:t> </w:t>
      </w:r>
      <w:r>
        <w:rPr>
          <w:color w:val="231F20"/>
        </w:rPr>
        <w:t>1,</w:t>
      </w:r>
      <w:r>
        <w:rPr>
          <w:color w:val="231F20"/>
          <w:spacing w:val="-3"/>
        </w:rPr>
        <w:t> </w:t>
      </w:r>
      <w:r>
        <w:rPr>
          <w:color w:val="231F20"/>
        </w:rPr>
        <w:t>2010.</w:t>
      </w:r>
      <w:r>
        <w:rPr>
          <w:color w:val="231F20"/>
          <w:spacing w:val="-3"/>
        </w:rPr>
        <w:t> </w:t>
      </w:r>
      <w:r>
        <w:rPr>
          <w:color w:val="231F20"/>
        </w:rPr>
        <w:t>The</w:t>
      </w:r>
      <w:r>
        <w:rPr>
          <w:color w:val="231F20"/>
          <w:spacing w:val="-3"/>
        </w:rPr>
        <w:t> </w:t>
      </w:r>
      <w:r>
        <w:rPr>
          <w:color w:val="231F20"/>
        </w:rPr>
        <w:t>loan</w:t>
      </w:r>
      <w:r>
        <w:rPr>
          <w:color w:val="231F20"/>
          <w:spacing w:val="-3"/>
        </w:rPr>
        <w:t> </w:t>
      </w:r>
      <w:r>
        <w:rPr>
          <w:color w:val="231F20"/>
        </w:rPr>
        <w:t>bears</w:t>
      </w:r>
      <w:r>
        <w:rPr>
          <w:color w:val="231F20"/>
          <w:spacing w:val="-3"/>
        </w:rPr>
        <w:t> </w:t>
      </w:r>
      <w:r>
        <w:rPr>
          <w:color w:val="231F20"/>
        </w:rPr>
        <w:t>interest</w:t>
      </w:r>
      <w:r>
        <w:rPr>
          <w:color w:val="231F20"/>
          <w:spacing w:val="-4"/>
        </w:rPr>
        <w:t> </w:t>
      </w:r>
      <w:r>
        <w:rPr>
          <w:color w:val="231F20"/>
        </w:rPr>
        <w:t>at</w:t>
      </w:r>
      <w:r>
        <w:rPr>
          <w:color w:val="231F20"/>
          <w:spacing w:val="-4"/>
        </w:rPr>
        <w:t> </w:t>
      </w:r>
      <w:r>
        <w:rPr>
          <w:color w:val="231F20"/>
        </w:rPr>
        <w:t>a</w:t>
      </w:r>
      <w:r>
        <w:rPr>
          <w:color w:val="231F20"/>
          <w:spacing w:val="-3"/>
        </w:rPr>
        <w:t> </w:t>
      </w:r>
      <w:r>
        <w:rPr>
          <w:color w:val="231F20"/>
        </w:rPr>
        <w:t>fixed</w:t>
      </w:r>
      <w:r>
        <w:rPr>
          <w:color w:val="231F20"/>
          <w:spacing w:val="-3"/>
        </w:rPr>
        <w:t> </w:t>
      </w:r>
      <w:r>
        <w:rPr>
          <w:color w:val="231F20"/>
        </w:rPr>
        <w:t>rate</w:t>
      </w:r>
      <w:r>
        <w:rPr>
          <w:color w:val="231F20"/>
          <w:spacing w:val="-3"/>
        </w:rPr>
        <w:t> </w:t>
      </w:r>
      <w:r>
        <w:rPr>
          <w:color w:val="231F20"/>
        </w:rPr>
        <w:t>of</w:t>
      </w:r>
      <w:r>
        <w:rPr>
          <w:color w:val="231F20"/>
          <w:spacing w:val="-5"/>
        </w:rPr>
        <w:t> </w:t>
      </w:r>
      <w:r>
        <w:rPr>
          <w:color w:val="231F20"/>
        </w:rPr>
        <w:t>4.84</w:t>
      </w:r>
      <w:r>
        <w:rPr>
          <w:color w:val="231F20"/>
          <w:spacing w:val="-5"/>
        </w:rPr>
        <w:t> </w:t>
      </w:r>
      <w:r>
        <w:rPr>
          <w:color w:val="231F20"/>
        </w:rPr>
        <w:t>percent,</w:t>
      </w:r>
      <w:r>
        <w:rPr>
          <w:color w:val="231F20"/>
          <w:spacing w:val="-5"/>
        </w:rPr>
        <w:t> </w:t>
      </w:r>
      <w:r>
        <w:rPr>
          <w:color w:val="231F20"/>
        </w:rPr>
        <w:t>and</w:t>
      </w:r>
      <w:r>
        <w:rPr>
          <w:color w:val="231F20"/>
          <w:spacing w:val="-5"/>
        </w:rPr>
        <w:t> </w:t>
      </w:r>
      <w:r>
        <w:rPr>
          <w:color w:val="231F20"/>
        </w:rPr>
        <w:t>interest</w:t>
      </w:r>
      <w:r>
        <w:rPr>
          <w:color w:val="231F20"/>
          <w:spacing w:val="-5"/>
        </w:rPr>
        <w:t> </w:t>
      </w:r>
      <w:r>
        <w:rPr>
          <w:color w:val="231F20"/>
        </w:rPr>
        <w:t>is</w:t>
      </w:r>
      <w:r>
        <w:rPr>
          <w:color w:val="231F20"/>
          <w:spacing w:val="-4"/>
        </w:rPr>
        <w:t> </w:t>
      </w:r>
      <w:r>
        <w:rPr>
          <w:color w:val="231F20"/>
          <w:spacing w:val="-3"/>
        </w:rPr>
        <w:t>payable </w:t>
      </w:r>
      <w:r>
        <w:rPr>
          <w:color w:val="231F20"/>
        </w:rPr>
        <w:t>semi-annually,</w:t>
      </w:r>
      <w:r>
        <w:rPr>
          <w:color w:val="231F20"/>
          <w:spacing w:val="-11"/>
        </w:rPr>
        <w:t> </w:t>
      </w:r>
      <w:r>
        <w:rPr>
          <w:color w:val="231F20"/>
        </w:rPr>
        <w:t>which</w:t>
      </w:r>
      <w:r>
        <w:rPr>
          <w:color w:val="231F20"/>
          <w:spacing w:val="-11"/>
        </w:rPr>
        <w:t> </w:t>
      </w:r>
      <w:r>
        <w:rPr>
          <w:color w:val="231F20"/>
        </w:rPr>
        <w:t>payments</w:t>
      </w:r>
      <w:r>
        <w:rPr>
          <w:color w:val="231F20"/>
          <w:spacing w:val="-11"/>
        </w:rPr>
        <w:t> </w:t>
      </w:r>
      <w:r>
        <w:rPr>
          <w:color w:val="231F20"/>
        </w:rPr>
        <w:t>began</w:t>
      </w:r>
      <w:r>
        <w:rPr>
          <w:color w:val="231F20"/>
          <w:spacing w:val="-11"/>
        </w:rPr>
        <w:t> </w:t>
      </w:r>
      <w:r>
        <w:rPr>
          <w:color w:val="231F20"/>
        </w:rPr>
        <w:t>on</w:t>
      </w:r>
      <w:r>
        <w:rPr>
          <w:color w:val="231F20"/>
          <w:spacing w:val="-11"/>
        </w:rPr>
        <w:t> </w:t>
      </w:r>
      <w:r>
        <w:rPr>
          <w:color w:val="231F20"/>
        </w:rPr>
        <w:t>January</w:t>
      </w:r>
      <w:r>
        <w:rPr>
          <w:color w:val="231F20"/>
          <w:spacing w:val="-11"/>
        </w:rPr>
        <w:t> </w:t>
      </w:r>
      <w:r>
        <w:rPr>
          <w:color w:val="231F20"/>
        </w:rPr>
        <w:t>1,</w:t>
      </w:r>
      <w:r>
        <w:rPr>
          <w:color w:val="231F20"/>
          <w:spacing w:val="-11"/>
        </w:rPr>
        <w:t> </w:t>
      </w:r>
      <w:r>
        <w:rPr>
          <w:color w:val="231F20"/>
        </w:rPr>
        <w:t>2010.</w:t>
      </w:r>
      <w:r>
        <w:rPr>
          <w:color w:val="231F20"/>
          <w:spacing w:val="-12"/>
        </w:rPr>
        <w:t> </w:t>
      </w:r>
      <w:r>
        <w:rPr>
          <w:color w:val="231F20"/>
        </w:rPr>
        <w:t>In</w:t>
      </w:r>
      <w:r>
        <w:rPr>
          <w:color w:val="231F20"/>
          <w:spacing w:val="-12"/>
        </w:rPr>
        <w:t> </w:t>
      </w:r>
      <w:r>
        <w:rPr>
          <w:color w:val="231F20"/>
        </w:rPr>
        <w:t>September</w:t>
      </w:r>
      <w:r>
        <w:rPr>
          <w:color w:val="231F20"/>
          <w:spacing w:val="-13"/>
        </w:rPr>
        <w:t> </w:t>
      </w:r>
      <w:r>
        <w:rPr>
          <w:color w:val="231F20"/>
        </w:rPr>
        <w:t>2015,</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prepaid</w:t>
      </w:r>
      <w:r>
        <w:rPr>
          <w:color w:val="231F20"/>
          <w:spacing w:val="-12"/>
        </w:rPr>
        <w:t> </w:t>
      </w:r>
      <w:r>
        <w:rPr>
          <w:color w:val="231F20"/>
          <w:spacing w:val="-2"/>
        </w:rPr>
        <w:t>$24 </w:t>
      </w:r>
      <w:r>
        <w:rPr>
          <w:color w:val="231F20"/>
        </w:rPr>
        <w:t>million on the loan agreement, which in turn released one of the encumbered aircraft. As such, </w:t>
      </w:r>
      <w:r>
        <w:rPr>
          <w:color w:val="231F20"/>
          <w:spacing w:val="-3"/>
        </w:rPr>
        <w:t>the </w:t>
      </w:r>
      <w:r>
        <w:rPr>
          <w:color w:val="231F20"/>
        </w:rPr>
        <w:t>remaining</w:t>
      </w:r>
      <w:r>
        <w:rPr>
          <w:color w:val="231F20"/>
          <w:spacing w:val="-15"/>
        </w:rPr>
        <w:t> </w:t>
      </w:r>
      <w:r>
        <w:rPr>
          <w:color w:val="231F20"/>
        </w:rPr>
        <w:t>four</w:t>
      </w:r>
      <w:r>
        <w:rPr>
          <w:color w:val="231F20"/>
          <w:spacing w:val="-15"/>
        </w:rPr>
        <w:t> </w:t>
      </w:r>
      <w:r>
        <w:rPr>
          <w:color w:val="231F20"/>
        </w:rPr>
        <w:t>aircraft</w:t>
      </w:r>
      <w:r>
        <w:rPr>
          <w:color w:val="231F20"/>
          <w:spacing w:val="-15"/>
        </w:rPr>
        <w:t> </w:t>
      </w:r>
      <w:r>
        <w:rPr>
          <w:color w:val="231F20"/>
        </w:rPr>
        <w:t>related</w:t>
      </w:r>
      <w:r>
        <w:rPr>
          <w:color w:val="231F20"/>
          <w:spacing w:val="-15"/>
        </w:rPr>
        <w:t> </w:t>
      </w:r>
      <w:r>
        <w:rPr>
          <w:color w:val="231F20"/>
        </w:rPr>
        <w:t>to</w:t>
      </w:r>
      <w:r>
        <w:rPr>
          <w:color w:val="231F20"/>
          <w:spacing w:val="-15"/>
        </w:rPr>
        <w:t> </w:t>
      </w:r>
      <w:r>
        <w:rPr>
          <w:color w:val="231F20"/>
        </w:rPr>
        <w:t>this</w:t>
      </w:r>
      <w:r>
        <w:rPr>
          <w:color w:val="231F20"/>
          <w:spacing w:val="-15"/>
        </w:rPr>
        <w:t> </w:t>
      </w:r>
      <w:r>
        <w:rPr>
          <w:color w:val="231F20"/>
        </w:rPr>
        <w:t>transaction</w:t>
      </w:r>
      <w:r>
        <w:rPr>
          <w:color w:val="231F20"/>
          <w:spacing w:val="-15"/>
        </w:rPr>
        <w:t> </w:t>
      </w:r>
      <w:r>
        <w:rPr>
          <w:color w:val="231F20"/>
        </w:rPr>
        <w:t>are</w:t>
      </w:r>
      <w:r>
        <w:rPr>
          <w:color w:val="231F20"/>
          <w:spacing w:val="-15"/>
        </w:rPr>
        <w:t> </w:t>
      </w:r>
      <w:r>
        <w:rPr>
          <w:color w:val="231F20"/>
        </w:rPr>
        <w:t>still</w:t>
      </w:r>
      <w:r>
        <w:rPr>
          <w:color w:val="231F20"/>
          <w:spacing w:val="-15"/>
        </w:rPr>
        <w:t> </w:t>
      </w:r>
      <w:r>
        <w:rPr>
          <w:color w:val="231F20"/>
        </w:rPr>
        <w:t>encumbered</w:t>
      </w:r>
      <w:r>
        <w:rPr>
          <w:color w:val="231F20"/>
          <w:spacing w:val="-15"/>
        </w:rPr>
        <w:t> </w:t>
      </w:r>
      <w:r>
        <w:rPr>
          <w:color w:val="231F20"/>
        </w:rPr>
        <w:t>as</w:t>
      </w:r>
      <w:r>
        <w:rPr>
          <w:color w:val="231F20"/>
          <w:spacing w:val="-15"/>
        </w:rPr>
        <w:t> </w:t>
      </w:r>
      <w:r>
        <w:rPr>
          <w:color w:val="231F20"/>
        </w:rPr>
        <w:t>of</w:t>
      </w:r>
      <w:r>
        <w:rPr>
          <w:color w:val="231F20"/>
          <w:spacing w:val="-15"/>
        </w:rPr>
        <w:t> </w:t>
      </w:r>
      <w:r>
        <w:rPr>
          <w:color w:val="231F20"/>
        </w:rPr>
        <w:t>December</w:t>
      </w:r>
      <w:r>
        <w:rPr>
          <w:color w:val="231F20"/>
          <w:spacing w:val="-15"/>
        </w:rPr>
        <w:t> </w:t>
      </w:r>
      <w:r>
        <w:rPr>
          <w:color w:val="231F20"/>
        </w:rPr>
        <w:t>31,</w:t>
      </w:r>
      <w:r>
        <w:rPr>
          <w:color w:val="231F20"/>
          <w:spacing w:val="-15"/>
        </w:rPr>
        <w:t> </w:t>
      </w:r>
      <w:r>
        <w:rPr>
          <w:color w:val="231F20"/>
        </w:rPr>
        <w:t>2016.</w:t>
      </w:r>
    </w:p>
    <w:p>
      <w:pPr>
        <w:pStyle w:val="BodyText"/>
        <w:spacing w:line="247" w:lineRule="auto" w:before="206"/>
        <w:ind w:left="100" w:right="118"/>
        <w:jc w:val="both"/>
      </w:pPr>
      <w:r>
        <w:rPr>
          <w:color w:val="231F20"/>
        </w:rPr>
        <w:t>On</w:t>
      </w:r>
      <w:r>
        <w:rPr>
          <w:color w:val="231F20"/>
          <w:spacing w:val="-6"/>
        </w:rPr>
        <w:t> </w:t>
      </w:r>
      <w:r>
        <w:rPr>
          <w:color w:val="231F20"/>
        </w:rPr>
        <w:t>April</w:t>
      </w:r>
      <w:r>
        <w:rPr>
          <w:color w:val="231F20"/>
          <w:spacing w:val="-7"/>
        </w:rPr>
        <w:t> </w:t>
      </w:r>
      <w:r>
        <w:rPr>
          <w:color w:val="231F20"/>
        </w:rPr>
        <w:t>29,</w:t>
      </w:r>
      <w:r>
        <w:rPr>
          <w:color w:val="231F20"/>
          <w:spacing w:val="-6"/>
        </w:rPr>
        <w:t> </w:t>
      </w:r>
      <w:r>
        <w:rPr>
          <w:color w:val="231F20"/>
        </w:rPr>
        <w:t>2009,</w:t>
      </w:r>
      <w:r>
        <w:rPr>
          <w:color w:val="231F20"/>
          <w:spacing w:val="-6"/>
        </w:rPr>
        <w:t> </w:t>
      </w:r>
      <w:r>
        <w:rPr>
          <w:color w:val="231F20"/>
        </w:rPr>
        <w:t>the</w:t>
      </w:r>
      <w:r>
        <w:rPr>
          <w:color w:val="231F20"/>
          <w:spacing w:val="-6"/>
        </w:rPr>
        <w:t> </w:t>
      </w:r>
      <w:r>
        <w:rPr>
          <w:color w:val="231F20"/>
        </w:rPr>
        <w:t>Company</w:t>
      </w:r>
      <w:r>
        <w:rPr>
          <w:color w:val="231F20"/>
          <w:spacing w:val="-6"/>
        </w:rPr>
        <w:t> </w:t>
      </w:r>
      <w:r>
        <w:rPr>
          <w:color w:val="231F20"/>
        </w:rPr>
        <w:t>entered</w:t>
      </w:r>
      <w:r>
        <w:rPr>
          <w:color w:val="231F20"/>
          <w:spacing w:val="-6"/>
        </w:rPr>
        <w:t> </w:t>
      </w:r>
      <w:r>
        <w:rPr>
          <w:color w:val="231F20"/>
        </w:rPr>
        <w:t>into</w:t>
      </w:r>
      <w:r>
        <w:rPr>
          <w:color w:val="231F20"/>
          <w:spacing w:val="-6"/>
        </w:rPr>
        <w:t> </w:t>
      </w:r>
      <w:r>
        <w:rPr>
          <w:color w:val="231F20"/>
        </w:rPr>
        <w:t>a</w:t>
      </w:r>
      <w:r>
        <w:rPr>
          <w:color w:val="231F20"/>
          <w:spacing w:val="-6"/>
        </w:rPr>
        <w:t> </w:t>
      </w:r>
      <w:r>
        <w:rPr>
          <w:color w:val="231F20"/>
        </w:rPr>
        <w:t>term</w:t>
      </w:r>
      <w:r>
        <w:rPr>
          <w:color w:val="231F20"/>
          <w:spacing w:val="-7"/>
        </w:rPr>
        <w:t> </w:t>
      </w:r>
      <w:r>
        <w:rPr>
          <w:color w:val="231F20"/>
        </w:rPr>
        <w:t>loan</w:t>
      </w:r>
      <w:r>
        <w:rPr>
          <w:color w:val="231F20"/>
          <w:spacing w:val="-6"/>
        </w:rPr>
        <w:t> </w:t>
      </w:r>
      <w:r>
        <w:rPr>
          <w:color w:val="231F20"/>
        </w:rPr>
        <w:t>agreement</w:t>
      </w:r>
      <w:r>
        <w:rPr>
          <w:color w:val="231F20"/>
          <w:spacing w:val="-8"/>
        </w:rPr>
        <w:t> </w:t>
      </w:r>
      <w:r>
        <w:rPr>
          <w:color w:val="231F20"/>
        </w:rPr>
        <w:t>providing</w:t>
      </w:r>
      <w:r>
        <w:rPr>
          <w:color w:val="231F20"/>
          <w:spacing w:val="-7"/>
        </w:rPr>
        <w:t> </w:t>
      </w:r>
      <w:r>
        <w:rPr>
          <w:color w:val="231F20"/>
        </w:rPr>
        <w:t>for</w:t>
      </w:r>
      <w:r>
        <w:rPr>
          <w:color w:val="231F20"/>
          <w:spacing w:val="-8"/>
        </w:rPr>
        <w:t> </w:t>
      </w:r>
      <w:r>
        <w:rPr>
          <w:color w:val="231F20"/>
        </w:rPr>
        <w:t>loans</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w:t>
      </w:r>
      <w:r>
        <w:rPr>
          <w:color w:val="231F20"/>
          <w:spacing w:val="-33"/>
        </w:rPr>
        <w:t> </w:t>
      </w:r>
      <w:r>
        <w:rPr>
          <w:color w:val="231F20"/>
        </w:rPr>
        <w:t>principal that began August 6, 2009. The loan bears interest at the LIBO Rate (as defined in the term </w:t>
      </w:r>
      <w:r>
        <w:rPr>
          <w:color w:val="231F20"/>
          <w:spacing w:val="-3"/>
        </w:rPr>
        <w:t>loan </w:t>
      </w:r>
      <w:r>
        <w:rPr>
          <w:color w:val="231F20"/>
        </w:rPr>
        <w:t>agreement) plus 3.30 percent, and interest is payable quarterly, which payments began on August 6, 2009. Pursuant to the terms of the term loan agreement, the Company entered into an interest rate swap agreement</w:t>
      </w:r>
      <w:r>
        <w:rPr>
          <w:color w:val="231F20"/>
          <w:spacing w:val="-13"/>
        </w:rPr>
        <w:t> </w:t>
      </w:r>
      <w:r>
        <w:rPr>
          <w:color w:val="231F20"/>
        </w:rPr>
        <w:t>to</w:t>
      </w:r>
      <w:r>
        <w:rPr>
          <w:color w:val="231F20"/>
          <w:spacing w:val="-13"/>
        </w:rPr>
        <w:t> </w:t>
      </w:r>
      <w:r>
        <w:rPr>
          <w:color w:val="231F20"/>
        </w:rPr>
        <w:t>convert</w:t>
      </w:r>
      <w:r>
        <w:rPr>
          <w:color w:val="231F20"/>
          <w:spacing w:val="-13"/>
        </w:rPr>
        <w:t> </w:t>
      </w:r>
      <w:r>
        <w:rPr>
          <w:color w:val="231F20"/>
        </w:rPr>
        <w:t>the</w:t>
      </w:r>
      <w:r>
        <w:rPr>
          <w:color w:val="231F20"/>
          <w:spacing w:val="-13"/>
        </w:rPr>
        <w:t> </w:t>
      </w:r>
      <w:r>
        <w:rPr>
          <w:color w:val="231F20"/>
        </w:rPr>
        <w:t>variable</w:t>
      </w:r>
      <w:r>
        <w:rPr>
          <w:color w:val="231F20"/>
          <w:spacing w:val="-13"/>
        </w:rPr>
        <w:t> </w:t>
      </w:r>
      <w:r>
        <w:rPr>
          <w:color w:val="231F20"/>
        </w:rPr>
        <w:t>rate</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term</w:t>
      </w:r>
      <w:r>
        <w:rPr>
          <w:color w:val="231F20"/>
          <w:spacing w:val="-13"/>
        </w:rPr>
        <w:t> </w:t>
      </w:r>
      <w:r>
        <w:rPr>
          <w:color w:val="231F20"/>
        </w:rPr>
        <w:t>loan</w:t>
      </w:r>
      <w:r>
        <w:rPr>
          <w:color w:val="231F20"/>
          <w:spacing w:val="-13"/>
        </w:rPr>
        <w:t> </w:t>
      </w:r>
      <w:r>
        <w:rPr>
          <w:color w:val="231F20"/>
        </w:rPr>
        <w:t>to</w:t>
      </w:r>
      <w:r>
        <w:rPr>
          <w:color w:val="231F20"/>
          <w:spacing w:val="-13"/>
        </w:rPr>
        <w:t> </w:t>
      </w:r>
      <w:r>
        <w:rPr>
          <w:color w:val="231F20"/>
        </w:rPr>
        <w:t>a</w:t>
      </w:r>
      <w:r>
        <w:rPr>
          <w:color w:val="231F20"/>
          <w:spacing w:val="-13"/>
        </w:rPr>
        <w:t> </w:t>
      </w:r>
      <w:r>
        <w:rPr>
          <w:color w:val="231F20"/>
        </w:rPr>
        <w:t>fixed</w:t>
      </w:r>
      <w:r>
        <w:rPr>
          <w:color w:val="231F20"/>
          <w:spacing w:val="-13"/>
        </w:rPr>
        <w:t> </w:t>
      </w:r>
      <w:r>
        <w:rPr>
          <w:color w:val="231F20"/>
        </w:rPr>
        <w:t>6.315</w:t>
      </w:r>
      <w:r>
        <w:rPr>
          <w:color w:val="231F20"/>
          <w:spacing w:val="-13"/>
        </w:rPr>
        <w:t> </w:t>
      </w:r>
      <w:r>
        <w:rPr>
          <w:color w:val="231F20"/>
        </w:rPr>
        <w:t>percent</w:t>
      </w:r>
      <w:r>
        <w:rPr>
          <w:color w:val="231F20"/>
          <w:spacing w:val="-13"/>
        </w:rPr>
        <w:t> </w:t>
      </w:r>
      <w:r>
        <w:rPr>
          <w:color w:val="231F20"/>
        </w:rPr>
        <w:t>until</w:t>
      </w:r>
      <w:r>
        <w:rPr>
          <w:color w:val="231F20"/>
          <w:spacing w:val="-13"/>
        </w:rPr>
        <w:t> </w:t>
      </w:r>
      <w:r>
        <w:rPr>
          <w:color w:val="231F20"/>
        </w:rPr>
        <w:t>maturity.</w:t>
      </w:r>
    </w:p>
    <w:p>
      <w:pPr>
        <w:pStyle w:val="BodyText"/>
        <w:spacing w:line="247" w:lineRule="auto" w:before="206"/>
        <w:ind w:left="100" w:right="118"/>
        <w:jc w:val="both"/>
      </w:pPr>
      <w:r>
        <w:rPr>
          <w:color w:val="231F20"/>
        </w:rPr>
        <w:t>On May 6, 2008, the Company entered into a term loan agreement providing for loans to the Company aggregating up to $600 million, to be secured by first-lien mortgages on 21 of  the  Company’s 737-700</w:t>
      </w:r>
      <w:r>
        <w:rPr>
          <w:color w:val="231F20"/>
          <w:spacing w:val="-3"/>
        </w:rPr>
        <w:t> </w:t>
      </w:r>
      <w:r>
        <w:rPr>
          <w:color w:val="231F20"/>
        </w:rPr>
        <w:t>aircraft.</w:t>
      </w:r>
      <w:r>
        <w:rPr>
          <w:color w:val="231F20"/>
          <w:spacing w:val="-3"/>
        </w:rPr>
        <w:t> </w:t>
      </w:r>
      <w:r>
        <w:rPr>
          <w:color w:val="231F20"/>
        </w:rPr>
        <w:t>On</w:t>
      </w:r>
      <w:r>
        <w:rPr>
          <w:color w:val="231F20"/>
          <w:spacing w:val="-3"/>
        </w:rPr>
        <w:t> </w:t>
      </w:r>
      <w:r>
        <w:rPr>
          <w:color w:val="231F20"/>
        </w:rPr>
        <w:t>May</w:t>
      </w:r>
      <w:r>
        <w:rPr>
          <w:color w:val="231F20"/>
          <w:spacing w:val="-3"/>
        </w:rPr>
        <w:t> </w:t>
      </w:r>
      <w:r>
        <w:rPr>
          <w:color w:val="231F20"/>
        </w:rPr>
        <w:t>9,</w:t>
      </w:r>
      <w:r>
        <w:rPr>
          <w:color w:val="231F20"/>
          <w:spacing w:val="-3"/>
        </w:rPr>
        <w:t> </w:t>
      </w:r>
      <w:r>
        <w:rPr>
          <w:color w:val="231F20"/>
        </w:rPr>
        <w:t>2008,</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borrowed</w:t>
      </w:r>
      <w:r>
        <w:rPr>
          <w:color w:val="231F20"/>
          <w:spacing w:val="-3"/>
        </w:rPr>
        <w:t> </w:t>
      </w:r>
      <w:r>
        <w:rPr>
          <w:color w:val="231F20"/>
        </w:rPr>
        <w:t>the</w:t>
      </w:r>
      <w:r>
        <w:rPr>
          <w:color w:val="231F20"/>
          <w:spacing w:val="-3"/>
        </w:rPr>
        <w:t> </w:t>
      </w:r>
      <w:r>
        <w:rPr>
          <w:color w:val="231F20"/>
        </w:rPr>
        <w:t>full</w:t>
      </w:r>
      <w:r>
        <w:rPr>
          <w:color w:val="231F20"/>
          <w:spacing w:val="-4"/>
        </w:rPr>
        <w:t> </w:t>
      </w:r>
      <w:r>
        <w:rPr>
          <w:color w:val="231F20"/>
        </w:rPr>
        <w:t>$600</w:t>
      </w:r>
      <w:r>
        <w:rPr>
          <w:color w:val="231F20"/>
          <w:spacing w:val="-3"/>
        </w:rPr>
        <w:t> </w:t>
      </w:r>
      <w:r>
        <w:rPr>
          <w:color w:val="231F20"/>
        </w:rPr>
        <w:t>million</w:t>
      </w:r>
      <w:r>
        <w:rPr>
          <w:color w:val="231F20"/>
          <w:spacing w:val="-4"/>
        </w:rPr>
        <w:t> </w:t>
      </w:r>
      <w:r>
        <w:rPr>
          <w:color w:val="231F20"/>
        </w:rPr>
        <w:t>and</w:t>
      </w:r>
      <w:r>
        <w:rPr>
          <w:color w:val="231F20"/>
          <w:spacing w:val="-4"/>
        </w:rPr>
        <w:t> </w:t>
      </w:r>
      <w:r>
        <w:rPr>
          <w:color w:val="231F20"/>
        </w:rPr>
        <w:t>secured</w:t>
      </w:r>
      <w:r>
        <w:rPr>
          <w:color w:val="231F20"/>
          <w:spacing w:val="-4"/>
        </w:rPr>
        <w:t> </w:t>
      </w:r>
      <w:r>
        <w:rPr>
          <w:color w:val="231F20"/>
        </w:rPr>
        <w:t>these</w:t>
      </w:r>
      <w:r>
        <w:rPr>
          <w:color w:val="231F20"/>
          <w:spacing w:val="-4"/>
        </w:rPr>
        <w:t> </w:t>
      </w:r>
      <w:r>
        <w:rPr>
          <w:color w:val="231F20"/>
        </w:rPr>
        <w:t>loans with</w:t>
      </w:r>
      <w:r>
        <w:rPr>
          <w:color w:val="231F20"/>
          <w:spacing w:val="-10"/>
        </w:rPr>
        <w:t> </w:t>
      </w:r>
      <w:r>
        <w:rPr>
          <w:color w:val="231F20"/>
        </w:rPr>
        <w:t>the</w:t>
      </w:r>
      <w:r>
        <w:rPr>
          <w:color w:val="231F20"/>
          <w:spacing w:val="-10"/>
        </w:rPr>
        <w:t> </w:t>
      </w:r>
      <w:r>
        <w:rPr>
          <w:color w:val="231F20"/>
        </w:rPr>
        <w:t>requisite</w:t>
      </w:r>
      <w:r>
        <w:rPr>
          <w:color w:val="231F20"/>
          <w:spacing w:val="-10"/>
        </w:rPr>
        <w:t> </w:t>
      </w:r>
      <w:r>
        <w:rPr>
          <w:color w:val="231F20"/>
        </w:rPr>
        <w:t>21</w:t>
      </w:r>
      <w:r>
        <w:rPr>
          <w:color w:val="231F20"/>
          <w:spacing w:val="-10"/>
        </w:rPr>
        <w:t> </w:t>
      </w:r>
      <w:r>
        <w:rPr>
          <w:color w:val="231F20"/>
        </w:rPr>
        <w:t>aircraft</w:t>
      </w:r>
      <w:r>
        <w:rPr>
          <w:color w:val="231F20"/>
          <w:spacing w:val="-12"/>
        </w:rPr>
        <w:t> </w:t>
      </w:r>
      <w:r>
        <w:rPr>
          <w:color w:val="231F20"/>
        </w:rPr>
        <w:t>mortgages.</w:t>
      </w:r>
      <w:r>
        <w:rPr>
          <w:color w:val="231F20"/>
          <w:spacing w:val="-11"/>
        </w:rPr>
        <w:t> </w:t>
      </w:r>
      <w:r>
        <w:rPr>
          <w:color w:val="231F20"/>
        </w:rPr>
        <w:t>The</w:t>
      </w:r>
      <w:r>
        <w:rPr>
          <w:color w:val="231F20"/>
          <w:spacing w:val="-11"/>
        </w:rPr>
        <w:t> </w:t>
      </w:r>
      <w:r>
        <w:rPr>
          <w:color w:val="231F20"/>
        </w:rPr>
        <w:t>loans</w:t>
      </w:r>
      <w:r>
        <w:rPr>
          <w:color w:val="231F20"/>
          <w:spacing w:val="-11"/>
        </w:rPr>
        <w:t> </w:t>
      </w:r>
      <w:r>
        <w:rPr>
          <w:color w:val="231F20"/>
        </w:rPr>
        <w:t>mature</w:t>
      </w:r>
      <w:r>
        <w:rPr>
          <w:color w:val="231F20"/>
          <w:spacing w:val="-11"/>
        </w:rPr>
        <w:t> </w:t>
      </w:r>
      <w:r>
        <w:rPr>
          <w:color w:val="231F20"/>
        </w:rPr>
        <w:t>on</w:t>
      </w:r>
      <w:r>
        <w:rPr>
          <w:color w:val="231F20"/>
          <w:spacing w:val="-11"/>
        </w:rPr>
        <w:t> </w:t>
      </w:r>
      <w:r>
        <w:rPr>
          <w:color w:val="231F20"/>
        </w:rPr>
        <w:t>May</w:t>
      </w:r>
      <w:r>
        <w:rPr>
          <w:color w:val="231F20"/>
          <w:spacing w:val="-11"/>
        </w:rPr>
        <w:t> </w:t>
      </w:r>
      <w:r>
        <w:rPr>
          <w:color w:val="231F20"/>
        </w:rPr>
        <w:t>9,</w:t>
      </w:r>
      <w:r>
        <w:rPr>
          <w:color w:val="231F20"/>
          <w:spacing w:val="-11"/>
        </w:rPr>
        <w:t> </w:t>
      </w:r>
      <w:r>
        <w:rPr>
          <w:color w:val="231F20"/>
        </w:rPr>
        <w:t>2020,</w:t>
      </w:r>
      <w:r>
        <w:rPr>
          <w:color w:val="231F20"/>
          <w:spacing w:val="-11"/>
        </w:rPr>
        <w:t> </w:t>
      </w:r>
      <w:r>
        <w:rPr>
          <w:color w:val="231F20"/>
        </w:rPr>
        <w:t>and</w:t>
      </w:r>
      <w:r>
        <w:rPr>
          <w:color w:val="231F20"/>
          <w:spacing w:val="-11"/>
        </w:rPr>
        <w:t> </w:t>
      </w:r>
      <w:r>
        <w:rPr>
          <w:color w:val="231F20"/>
        </w:rPr>
        <w:t>are</w:t>
      </w:r>
      <w:r>
        <w:rPr>
          <w:color w:val="231F20"/>
          <w:spacing w:val="-11"/>
        </w:rPr>
        <w:t> </w:t>
      </w:r>
      <w:r>
        <w:rPr>
          <w:color w:val="231F20"/>
        </w:rPr>
        <w:t>repayable</w:t>
      </w:r>
      <w:r>
        <w:rPr>
          <w:color w:val="231F20"/>
          <w:spacing w:val="-11"/>
        </w:rPr>
        <w:t> </w:t>
      </w:r>
      <w:r>
        <w:rPr>
          <w:color w:val="231F20"/>
        </w:rPr>
        <w:t>quarterly</w:t>
      </w:r>
      <w:r>
        <w:rPr>
          <w:color w:val="231F20"/>
          <w:spacing w:val="-11"/>
        </w:rPr>
        <w:t> </w:t>
      </w:r>
      <w:r>
        <w:rPr>
          <w:color w:val="231F20"/>
        </w:rPr>
        <w:t>in installments of principal, with the first payment made on August 9, 2008. The loans bear interest at </w:t>
      </w:r>
      <w:r>
        <w:rPr>
          <w:color w:val="231F20"/>
          <w:spacing w:val="-2"/>
        </w:rPr>
        <w:t>the </w:t>
      </w:r>
      <w:r>
        <w:rPr>
          <w:color w:val="231F20"/>
        </w:rPr>
        <w:t>LIBO Rate (as defined in the term loan agreement) plus 0.95 percent, and interest is payable quarterly. Pursuant to the terms of the term loan agreement, the Company entered into an interest rate swap agreement</w:t>
      </w:r>
      <w:r>
        <w:rPr>
          <w:color w:val="231F20"/>
          <w:spacing w:val="-13"/>
        </w:rPr>
        <w:t> </w:t>
      </w:r>
      <w:r>
        <w:rPr>
          <w:color w:val="231F20"/>
        </w:rPr>
        <w:t>to</w:t>
      </w:r>
      <w:r>
        <w:rPr>
          <w:color w:val="231F20"/>
          <w:spacing w:val="-13"/>
        </w:rPr>
        <w:t> </w:t>
      </w:r>
      <w:r>
        <w:rPr>
          <w:color w:val="231F20"/>
        </w:rPr>
        <w:t>convert</w:t>
      </w:r>
      <w:r>
        <w:rPr>
          <w:color w:val="231F20"/>
          <w:spacing w:val="-13"/>
        </w:rPr>
        <w:t> </w:t>
      </w:r>
      <w:r>
        <w:rPr>
          <w:color w:val="231F20"/>
        </w:rPr>
        <w:t>the</w:t>
      </w:r>
      <w:r>
        <w:rPr>
          <w:color w:val="231F20"/>
          <w:spacing w:val="-13"/>
        </w:rPr>
        <w:t> </w:t>
      </w:r>
      <w:r>
        <w:rPr>
          <w:color w:val="231F20"/>
        </w:rPr>
        <w:t>variable</w:t>
      </w:r>
      <w:r>
        <w:rPr>
          <w:color w:val="231F20"/>
          <w:spacing w:val="-13"/>
        </w:rPr>
        <w:t> </w:t>
      </w:r>
      <w:r>
        <w:rPr>
          <w:color w:val="231F20"/>
        </w:rPr>
        <w:t>rate</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term</w:t>
      </w:r>
      <w:r>
        <w:rPr>
          <w:color w:val="231F20"/>
          <w:spacing w:val="-13"/>
        </w:rPr>
        <w:t> </w:t>
      </w:r>
      <w:r>
        <w:rPr>
          <w:color w:val="231F20"/>
        </w:rPr>
        <w:t>loan</w:t>
      </w:r>
      <w:r>
        <w:rPr>
          <w:color w:val="231F20"/>
          <w:spacing w:val="-13"/>
        </w:rPr>
        <w:t> </w:t>
      </w:r>
      <w:r>
        <w:rPr>
          <w:color w:val="231F20"/>
        </w:rPr>
        <w:t>to</w:t>
      </w:r>
      <w:r>
        <w:rPr>
          <w:color w:val="231F20"/>
          <w:spacing w:val="-13"/>
        </w:rPr>
        <w:t> </w:t>
      </w:r>
      <w:r>
        <w:rPr>
          <w:color w:val="231F20"/>
        </w:rPr>
        <w:t>a</w:t>
      </w:r>
      <w:r>
        <w:rPr>
          <w:color w:val="231F20"/>
          <w:spacing w:val="-13"/>
        </w:rPr>
        <w:t> </w:t>
      </w:r>
      <w:r>
        <w:rPr>
          <w:color w:val="231F20"/>
        </w:rPr>
        <w:t>fixed</w:t>
      </w:r>
      <w:r>
        <w:rPr>
          <w:color w:val="231F20"/>
          <w:spacing w:val="-13"/>
        </w:rPr>
        <w:t> </w:t>
      </w:r>
      <w:r>
        <w:rPr>
          <w:color w:val="231F20"/>
        </w:rPr>
        <w:t>5.223</w:t>
      </w:r>
      <w:r>
        <w:rPr>
          <w:color w:val="231F20"/>
          <w:spacing w:val="-13"/>
        </w:rPr>
        <w:t> </w:t>
      </w:r>
      <w:r>
        <w:rPr>
          <w:color w:val="231F20"/>
        </w:rPr>
        <w:t>percent</w:t>
      </w:r>
      <w:r>
        <w:rPr>
          <w:color w:val="231F20"/>
          <w:spacing w:val="-13"/>
        </w:rPr>
        <w:t> </w:t>
      </w:r>
      <w:r>
        <w:rPr>
          <w:color w:val="231F20"/>
        </w:rPr>
        <w:t>until</w:t>
      </w:r>
      <w:r>
        <w:rPr>
          <w:color w:val="231F20"/>
          <w:spacing w:val="-13"/>
        </w:rPr>
        <w:t> </w:t>
      </w:r>
      <w:r>
        <w:rPr>
          <w:color w:val="231F20"/>
        </w:rPr>
        <w:t>maturity.</w:t>
      </w:r>
    </w:p>
    <w:p>
      <w:pPr>
        <w:pStyle w:val="BodyText"/>
        <w:spacing w:line="247" w:lineRule="auto" w:before="206"/>
        <w:ind w:left="100" w:right="117"/>
        <w:jc w:val="both"/>
      </w:pPr>
      <w:r>
        <w:rPr>
          <w:color w:val="231F20"/>
        </w:rPr>
        <w:t>On October 3, 2007, grantor trusts established by the Company issued $500 million Pass Through Certificates consisting of $412 million 6.15 percent Series A certificates and $88 million 6.65 percent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w:t>
      </w:r>
      <w:r>
        <w:rPr>
          <w:color w:val="231F20"/>
          <w:spacing w:val="40"/>
        </w:rPr>
        <w:t> </w:t>
      </w:r>
      <w:r>
        <w:rPr>
          <w:color w:val="231F20"/>
        </w:rPr>
        <w:t>notes</w:t>
      </w:r>
      <w:r>
        <w:rPr>
          <w:color w:val="231F20"/>
          <w:spacing w:val="40"/>
        </w:rPr>
        <w:t> </w:t>
      </w:r>
      <w:r>
        <w:rPr>
          <w:color w:val="231F20"/>
        </w:rPr>
        <w:t>held</w:t>
      </w:r>
      <w:r>
        <w:rPr>
          <w:color w:val="231F20"/>
          <w:spacing w:val="40"/>
        </w:rPr>
        <w:t> </w:t>
      </w:r>
      <w:r>
        <w:rPr>
          <w:color w:val="231F20"/>
        </w:rPr>
        <w:t>for</w:t>
      </w:r>
      <w:r>
        <w:rPr>
          <w:color w:val="231F20"/>
          <w:spacing w:val="39"/>
        </w:rPr>
        <w:t> </w:t>
      </w:r>
      <w:r>
        <w:rPr>
          <w:color w:val="231F20"/>
        </w:rPr>
        <w:t>both</w:t>
      </w:r>
      <w:r>
        <w:rPr>
          <w:color w:val="231F20"/>
          <w:spacing w:val="39"/>
        </w:rPr>
        <w:t> </w:t>
      </w:r>
      <w:r>
        <w:rPr>
          <w:color w:val="231F20"/>
        </w:rPr>
        <w:t>series</w:t>
      </w:r>
      <w:r>
        <w:rPr>
          <w:color w:val="231F20"/>
          <w:spacing w:val="41"/>
        </w:rPr>
        <w:t> </w:t>
      </w:r>
      <w:r>
        <w:rPr>
          <w:color w:val="231F20"/>
        </w:rPr>
        <w:t>of</w:t>
      </w:r>
      <w:r>
        <w:rPr>
          <w:color w:val="231F20"/>
          <w:spacing w:val="39"/>
        </w:rPr>
        <w:t> </w:t>
      </w:r>
      <w:r>
        <w:rPr>
          <w:color w:val="231F20"/>
        </w:rPr>
        <w:t>certificates</w:t>
      </w:r>
      <w:r>
        <w:rPr>
          <w:color w:val="231F20"/>
          <w:spacing w:val="40"/>
        </w:rPr>
        <w:t> </w:t>
      </w:r>
      <w:r>
        <w:rPr>
          <w:color w:val="231F20"/>
        </w:rPr>
        <w:t>are</w:t>
      </w:r>
      <w:r>
        <w:rPr>
          <w:color w:val="231F20"/>
          <w:spacing w:val="39"/>
        </w:rPr>
        <w:t> </w:t>
      </w:r>
      <w:r>
        <w:rPr>
          <w:color w:val="231F20"/>
        </w:rPr>
        <w:t>due</w:t>
      </w:r>
      <w:r>
        <w:rPr>
          <w:color w:val="231F20"/>
          <w:spacing w:val="39"/>
        </w:rPr>
        <w:t> </w:t>
      </w:r>
      <w:r>
        <w:rPr>
          <w:color w:val="231F20"/>
        </w:rPr>
        <w:t>semi-annually</w:t>
      </w:r>
      <w:r>
        <w:rPr>
          <w:color w:val="231F20"/>
          <w:spacing w:val="39"/>
        </w:rPr>
        <w:t> </w:t>
      </w:r>
      <w:r>
        <w:rPr>
          <w:color w:val="231F20"/>
        </w:rPr>
        <w:t>until</w:t>
      </w:r>
      <w:r>
        <w:rPr>
          <w:color w:val="231F20"/>
          <w:spacing w:val="38"/>
        </w:rPr>
        <w:t> </w:t>
      </w:r>
      <w:r>
        <w:rPr>
          <w:color w:val="231F20"/>
        </w:rPr>
        <w:t>the</w:t>
      </w:r>
      <w:r>
        <w:rPr>
          <w:color w:val="231F20"/>
          <w:spacing w:val="39"/>
        </w:rPr>
        <w:t> </w:t>
      </w:r>
      <w:r>
        <w:rPr>
          <w:color w:val="231F20"/>
        </w:rPr>
        <w:t>balance</w:t>
      </w:r>
      <w:r>
        <w:rPr>
          <w:color w:val="231F20"/>
          <w:spacing w:val="40"/>
        </w:rPr>
        <w:t> </w:t>
      </w:r>
      <w:r>
        <w:rPr>
          <w:color w:val="231F20"/>
        </w:rPr>
        <w:t>of</w:t>
      </w:r>
      <w:r>
        <w:rPr>
          <w:color w:val="231F20"/>
          <w:spacing w:val="38"/>
        </w:rPr>
        <w:t> </w:t>
      </w:r>
      <w:r>
        <w:rPr>
          <w:color w:val="231F20"/>
        </w:rPr>
        <w:t>the</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certificates mature on August 1, 2022. Prior to their issuance, the Company also entered into swap agreements to hedge the variability in interest rates on the Pass Through Certificates. The swap agreements  were  accounted  for as  cash  flow hedges,  and  resulted  in a payment by the Company of</w:t>
      </w:r>
    </w:p>
    <w:p>
      <w:pPr>
        <w:pStyle w:val="BodyText"/>
        <w:spacing w:line="247" w:lineRule="auto"/>
        <w:ind w:left="100" w:right="118"/>
        <w:jc w:val="both"/>
      </w:pPr>
      <w:r>
        <w:rPr>
          <w:color w:val="231F20"/>
        </w:rPr>
        <w:t>$20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4"/>
        <w:rPr>
          <w:sz w:val="19"/>
        </w:rPr>
      </w:pPr>
    </w:p>
    <w:p>
      <w:pPr>
        <w:pStyle w:val="BodyText"/>
        <w:spacing w:line="247" w:lineRule="auto"/>
        <w:ind w:left="100" w:right="117"/>
        <w:jc w:val="both"/>
      </w:pPr>
      <w:r>
        <w:rPr>
          <w:color w:val="231F20"/>
        </w:rPr>
        <w:t>During December 2006, the Company issued $300 million senior unsecured notes due December 15, 2016. The notes bore interest at 5.75 percent. During fourth quarter 2009, the Company entered into a fixed-to-floating interest rate swap to convert the interest on these unsecured notes to a floating rate; however, the interest rate swap was terminated in 2015. The notes matured and were redeemed in full on December 15, 2016, utilizing available cash on hand.</w:t>
      </w:r>
    </w:p>
    <w:p>
      <w:pPr>
        <w:pStyle w:val="BodyText"/>
        <w:spacing w:before="3"/>
        <w:rPr>
          <w:sz w:val="19"/>
        </w:rPr>
      </w:pPr>
    </w:p>
    <w:p>
      <w:pPr>
        <w:pStyle w:val="BodyText"/>
        <w:spacing w:line="247" w:lineRule="auto"/>
        <w:ind w:left="100" w:right="118"/>
        <w:jc w:val="both"/>
      </w:pPr>
      <w:r>
        <w:rPr>
          <w:color w:val="231F20"/>
        </w:rPr>
        <w:t>During February 2005, the Company issued $300 million senior unsecured notes due 2017. The notes bear interest at 5.125 percent, payable semi-annually in arrears, with the first payment made on September 1, 2005.</w:t>
      </w:r>
    </w:p>
    <w:p>
      <w:pPr>
        <w:pStyle w:val="BodyText"/>
        <w:spacing w:before="3"/>
        <w:rPr>
          <w:sz w:val="19"/>
        </w:rPr>
      </w:pPr>
    </w:p>
    <w:p>
      <w:pPr>
        <w:pStyle w:val="BodyText"/>
        <w:spacing w:line="247" w:lineRule="auto"/>
        <w:ind w:left="100" w:right="118"/>
        <w:jc w:val="both"/>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w:t>
      </w:r>
      <w:r>
        <w:rPr>
          <w:color w:val="231F20"/>
          <w:spacing w:val="-4"/>
        </w:rPr>
        <w:t> </w:t>
      </w:r>
      <w:r>
        <w:rPr>
          <w:color w:val="231F20"/>
        </w:rPr>
        <w:t>transactions.</w:t>
      </w:r>
    </w:p>
    <w:p>
      <w:pPr>
        <w:pStyle w:val="BodyText"/>
        <w:spacing w:before="3"/>
        <w:rPr>
          <w:sz w:val="19"/>
        </w:rPr>
      </w:pPr>
    </w:p>
    <w:p>
      <w:pPr>
        <w:pStyle w:val="BodyText"/>
        <w:spacing w:line="247" w:lineRule="auto"/>
        <w:ind w:left="100" w:right="117"/>
        <w:jc w:val="both"/>
      </w:pPr>
      <w:r>
        <w:rPr>
          <w:color w:val="231F20"/>
        </w:rPr>
        <w:t>On February 28, 1997, the Company issued $100 million of senior unsecured 7.375 percent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w:t>
      </w:r>
    </w:p>
    <w:p>
      <w:pPr>
        <w:pStyle w:val="BodyText"/>
        <w:spacing w:before="3"/>
        <w:rPr>
          <w:sz w:val="19"/>
        </w:rPr>
      </w:pPr>
    </w:p>
    <w:p>
      <w:pPr>
        <w:pStyle w:val="BodyText"/>
        <w:spacing w:line="247" w:lineRule="auto"/>
        <w:ind w:left="100" w:right="117"/>
        <w:jc w:val="both"/>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$179 million at December 31,</w:t>
      </w:r>
      <w:r>
        <w:rPr>
          <w:color w:val="231F20"/>
          <w:spacing w:val="-1"/>
        </w:rPr>
        <w:t> </w:t>
      </w:r>
      <w:r>
        <w:rPr>
          <w:color w:val="231F20"/>
        </w:rPr>
        <w:t>2016.</w:t>
      </w:r>
    </w:p>
    <w:p>
      <w:pPr>
        <w:pStyle w:val="BodyText"/>
        <w:spacing w:before="3"/>
        <w:rPr>
          <w:sz w:val="19"/>
        </w:rPr>
      </w:pPr>
    </w:p>
    <w:p>
      <w:pPr>
        <w:pStyle w:val="BodyText"/>
        <w:spacing w:line="247" w:lineRule="auto"/>
        <w:ind w:left="100" w:right="117"/>
        <w:jc w:val="both"/>
      </w:pPr>
      <w:r>
        <w:rPr>
          <w:color w:val="231F20"/>
        </w:rPr>
        <w:t>The net book value of the assets pledged as collateral for the Company’s secured borrowings, primarily aircraft</w:t>
      </w:r>
      <w:r>
        <w:rPr>
          <w:color w:val="231F20"/>
          <w:spacing w:val="-13"/>
        </w:rPr>
        <w:t> </w:t>
      </w:r>
      <w:r>
        <w:rPr>
          <w:color w:val="231F20"/>
        </w:rPr>
        <w:t>and</w:t>
      </w:r>
      <w:r>
        <w:rPr>
          <w:color w:val="231F20"/>
          <w:spacing w:val="-12"/>
        </w:rPr>
        <w:t> </w:t>
      </w:r>
      <w:r>
        <w:rPr>
          <w:color w:val="231F20"/>
        </w:rPr>
        <w:t>engines,</w:t>
      </w:r>
      <w:r>
        <w:rPr>
          <w:color w:val="231F20"/>
          <w:spacing w:val="-12"/>
        </w:rPr>
        <w:t> </w:t>
      </w:r>
      <w:r>
        <w:rPr>
          <w:color w:val="231F20"/>
        </w:rPr>
        <w:t>was</w:t>
      </w:r>
      <w:r>
        <w:rPr>
          <w:color w:val="231F20"/>
          <w:spacing w:val="-12"/>
        </w:rPr>
        <w:t> </w:t>
      </w:r>
      <w:r>
        <w:rPr>
          <w:color w:val="231F20"/>
        </w:rPr>
        <w:t>$2.8</w:t>
      </w:r>
      <w:r>
        <w:rPr>
          <w:color w:val="231F20"/>
          <w:spacing w:val="-12"/>
        </w:rPr>
        <w:t> </w:t>
      </w:r>
      <w:r>
        <w:rPr>
          <w:color w:val="231F20"/>
        </w:rPr>
        <w:t>billion</w:t>
      </w:r>
      <w:r>
        <w:rPr>
          <w:color w:val="231F20"/>
          <w:spacing w:val="-12"/>
        </w:rPr>
        <w:t> </w:t>
      </w:r>
      <w:r>
        <w:rPr>
          <w:color w:val="231F20"/>
        </w:rPr>
        <w:t>at</w:t>
      </w:r>
      <w:r>
        <w:rPr>
          <w:color w:val="231F20"/>
          <w:spacing w:val="-13"/>
        </w:rPr>
        <w:t> </w:t>
      </w:r>
      <w:r>
        <w:rPr>
          <w:color w:val="231F20"/>
        </w:rPr>
        <w:t>December</w:t>
      </w:r>
      <w:r>
        <w:rPr>
          <w:color w:val="231F20"/>
          <w:spacing w:val="-13"/>
        </w:rPr>
        <w:t> </w:t>
      </w:r>
      <w:r>
        <w:rPr>
          <w:color w:val="231F20"/>
        </w:rPr>
        <w:t>31,</w:t>
      </w:r>
      <w:r>
        <w:rPr>
          <w:color w:val="231F20"/>
          <w:spacing w:val="-12"/>
        </w:rPr>
        <w:t> </w:t>
      </w:r>
      <w:r>
        <w:rPr>
          <w:color w:val="231F20"/>
        </w:rPr>
        <w:t>2016.</w:t>
      </w:r>
      <w:r>
        <w:rPr>
          <w:color w:val="231F20"/>
          <w:spacing w:val="-12"/>
        </w:rPr>
        <w:t> </w:t>
      </w:r>
      <w:r>
        <w:rPr>
          <w:color w:val="231F20"/>
        </w:rPr>
        <w:t>In</w:t>
      </w:r>
      <w:r>
        <w:rPr>
          <w:color w:val="231F20"/>
          <w:spacing w:val="-12"/>
        </w:rPr>
        <w:t> </w:t>
      </w:r>
      <w:r>
        <w:rPr>
          <w:color w:val="231F20"/>
        </w:rPr>
        <w:t>addition,</w:t>
      </w:r>
      <w:r>
        <w:rPr>
          <w:color w:val="231F20"/>
          <w:spacing w:val="-12"/>
        </w:rPr>
        <w:t> </w:t>
      </w:r>
      <w:r>
        <w:rPr>
          <w:color w:val="231F20"/>
        </w:rPr>
        <w:t>the</w:t>
      </w:r>
      <w:r>
        <w:rPr>
          <w:color w:val="231F20"/>
          <w:spacing w:val="-13"/>
        </w:rPr>
        <w:t> </w:t>
      </w:r>
      <w:r>
        <w:rPr>
          <w:color w:val="231F20"/>
        </w:rPr>
        <w:t>Company</w:t>
      </w:r>
      <w:r>
        <w:rPr>
          <w:color w:val="231F20"/>
          <w:spacing w:val="-13"/>
        </w:rPr>
        <w:t> </w:t>
      </w:r>
      <w:r>
        <w:rPr>
          <w:color w:val="231F20"/>
        </w:rPr>
        <w:t>has</w:t>
      </w:r>
      <w:r>
        <w:rPr>
          <w:color w:val="231F20"/>
          <w:spacing w:val="-13"/>
        </w:rPr>
        <w:t> </w:t>
      </w:r>
      <w:r>
        <w:rPr>
          <w:color w:val="231F20"/>
        </w:rPr>
        <w:t>pledged</w:t>
      </w:r>
      <w:r>
        <w:rPr>
          <w:color w:val="231F20"/>
          <w:spacing w:val="-13"/>
        </w:rPr>
        <w:t> </w:t>
      </w:r>
      <w:r>
        <w:rPr>
          <w:color w:val="231F20"/>
        </w:rPr>
        <w:t>a</w:t>
      </w:r>
      <w:r>
        <w:rPr>
          <w:color w:val="231F20"/>
          <w:spacing w:val="-13"/>
        </w:rPr>
        <w:t> </w:t>
      </w:r>
      <w:r>
        <w:rPr>
          <w:color w:val="231F20"/>
        </w:rPr>
        <w:t>total of  up  to  82  of  its  Boeing  737-700  and  30  of  its  Boeing  737-800  aircraft at a  net book  value</w:t>
      </w:r>
      <w:r>
        <w:rPr>
          <w:color w:val="231F20"/>
          <w:spacing w:val="22"/>
        </w:rPr>
        <w:t> </w:t>
      </w:r>
      <w:r>
        <w:rPr>
          <w:color w:val="231F20"/>
        </w:rPr>
        <w:t>of</w:t>
      </w:r>
    </w:p>
    <w:p>
      <w:pPr>
        <w:pStyle w:val="BodyText"/>
        <w:spacing w:line="247" w:lineRule="auto"/>
        <w:ind w:left="100" w:right="121"/>
        <w:jc w:val="both"/>
      </w:pPr>
      <w:r>
        <w:rPr>
          <w:color w:val="231F20"/>
        </w:rPr>
        <w:t>$2.7</w:t>
      </w:r>
      <w:r>
        <w:rPr>
          <w:color w:val="231F20"/>
          <w:spacing w:val="-12"/>
        </w:rPr>
        <w:t> </w:t>
      </w:r>
      <w:r>
        <w:rPr>
          <w:color w:val="231F20"/>
        </w:rPr>
        <w:t>billion,</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case</w:t>
      </w:r>
      <w:r>
        <w:rPr>
          <w:color w:val="231F20"/>
          <w:spacing w:val="-12"/>
        </w:rPr>
        <w:t> </w:t>
      </w:r>
      <w:r>
        <w:rPr>
          <w:color w:val="231F20"/>
        </w:rPr>
        <w:t>that</w:t>
      </w:r>
      <w:r>
        <w:rPr>
          <w:color w:val="231F20"/>
          <w:spacing w:val="-12"/>
        </w:rPr>
        <w:t> </w:t>
      </w:r>
      <w:r>
        <w:rPr>
          <w:color w:val="231F20"/>
        </w:rPr>
        <w:t>it</w:t>
      </w:r>
      <w:r>
        <w:rPr>
          <w:color w:val="231F20"/>
          <w:spacing w:val="-12"/>
        </w:rPr>
        <w:t> </w:t>
      </w:r>
      <w:r>
        <w:rPr>
          <w:color w:val="231F20"/>
        </w:rPr>
        <w:t>has</w:t>
      </w:r>
      <w:r>
        <w:rPr>
          <w:color w:val="231F20"/>
          <w:spacing w:val="-12"/>
        </w:rPr>
        <w:t> </w:t>
      </w:r>
      <w:r>
        <w:rPr>
          <w:color w:val="231F20"/>
        </w:rPr>
        <w:t>obligations</w:t>
      </w:r>
      <w:r>
        <w:rPr>
          <w:color w:val="231F20"/>
          <w:spacing w:val="-12"/>
        </w:rPr>
        <w:t> </w:t>
      </w:r>
      <w:r>
        <w:rPr>
          <w:color w:val="231F20"/>
        </w:rPr>
        <w:t>related</w:t>
      </w:r>
      <w:r>
        <w:rPr>
          <w:color w:val="231F20"/>
          <w:spacing w:val="-12"/>
        </w:rPr>
        <w:t> </w:t>
      </w:r>
      <w:r>
        <w:rPr>
          <w:color w:val="231F20"/>
        </w:rPr>
        <w:t>to</w:t>
      </w:r>
      <w:r>
        <w:rPr>
          <w:color w:val="231F20"/>
          <w:spacing w:val="-12"/>
        </w:rPr>
        <w:t> </w:t>
      </w:r>
      <w:r>
        <w:rPr>
          <w:color w:val="231F20"/>
        </w:rPr>
        <w:t>its</w:t>
      </w:r>
      <w:r>
        <w:rPr>
          <w:color w:val="231F20"/>
          <w:spacing w:val="-12"/>
        </w:rPr>
        <w:t> </w:t>
      </w:r>
      <w:r>
        <w:rPr>
          <w:color w:val="231F20"/>
        </w:rPr>
        <w:t>fuel</w:t>
      </w:r>
      <w:r>
        <w:rPr>
          <w:color w:val="231F20"/>
          <w:spacing w:val="-13"/>
        </w:rPr>
        <w:t> </w:t>
      </w:r>
      <w:r>
        <w:rPr>
          <w:color w:val="231F20"/>
        </w:rPr>
        <w:t>derivative</w:t>
      </w:r>
      <w:r>
        <w:rPr>
          <w:color w:val="231F20"/>
          <w:spacing w:val="-12"/>
        </w:rPr>
        <w:t> </w:t>
      </w:r>
      <w:r>
        <w:rPr>
          <w:color w:val="231F20"/>
        </w:rPr>
        <w:t>instruments</w:t>
      </w:r>
      <w:r>
        <w:rPr>
          <w:color w:val="231F20"/>
          <w:spacing w:val="-12"/>
        </w:rPr>
        <w:t> </w:t>
      </w:r>
      <w:r>
        <w:rPr>
          <w:color w:val="231F20"/>
        </w:rPr>
        <w:t>with</w:t>
      </w:r>
      <w:r>
        <w:rPr>
          <w:color w:val="231F20"/>
          <w:spacing w:val="-12"/>
        </w:rPr>
        <w:t> </w:t>
      </w:r>
      <w:r>
        <w:rPr>
          <w:color w:val="231F20"/>
        </w:rPr>
        <w:t>counterparties that</w:t>
      </w:r>
      <w:r>
        <w:rPr>
          <w:color w:val="231F20"/>
          <w:spacing w:val="-15"/>
        </w:rPr>
        <w:t> </w:t>
      </w:r>
      <w:r>
        <w:rPr>
          <w:color w:val="231F20"/>
        </w:rPr>
        <w:t>exceed</w:t>
      </w:r>
      <w:r>
        <w:rPr>
          <w:color w:val="231F20"/>
          <w:spacing w:val="-14"/>
        </w:rPr>
        <w:t> </w:t>
      </w:r>
      <w:r>
        <w:rPr>
          <w:color w:val="231F20"/>
        </w:rPr>
        <w:t>certain</w:t>
      </w:r>
      <w:r>
        <w:rPr>
          <w:color w:val="231F20"/>
          <w:spacing w:val="-14"/>
        </w:rPr>
        <w:t> </w:t>
      </w:r>
      <w:r>
        <w:rPr>
          <w:color w:val="231F20"/>
        </w:rPr>
        <w:t>thresholds.</w:t>
      </w:r>
      <w:r>
        <w:rPr>
          <w:color w:val="231F20"/>
          <w:spacing w:val="-14"/>
        </w:rPr>
        <w:t> </w:t>
      </w:r>
      <w:r>
        <w:rPr>
          <w:color w:val="231F20"/>
        </w:rPr>
        <w:t>See</w:t>
      </w:r>
      <w:r>
        <w:rPr>
          <w:color w:val="231F20"/>
          <w:spacing w:val="-14"/>
        </w:rPr>
        <w:t> </w:t>
      </w:r>
      <w:r>
        <w:rPr>
          <w:color w:val="231F20"/>
        </w:rPr>
        <w:t>Note</w:t>
      </w:r>
      <w:r>
        <w:rPr>
          <w:color w:val="231F20"/>
          <w:spacing w:val="-14"/>
        </w:rPr>
        <w:t> </w:t>
      </w:r>
      <w:r>
        <w:rPr>
          <w:color w:val="231F20"/>
        </w:rPr>
        <w:t>10</w:t>
      </w:r>
      <w:r>
        <w:rPr>
          <w:color w:val="231F20"/>
          <w:spacing w:val="-14"/>
        </w:rPr>
        <w:t> </w:t>
      </w:r>
      <w:r>
        <w:rPr>
          <w:color w:val="231F20"/>
        </w:rPr>
        <w:t>for</w:t>
      </w:r>
      <w:r>
        <w:rPr>
          <w:color w:val="231F20"/>
          <w:spacing w:val="-15"/>
        </w:rPr>
        <w:t> </w:t>
      </w:r>
      <w:r>
        <w:rPr>
          <w:color w:val="231F20"/>
        </w:rPr>
        <w:t>further</w:t>
      </w:r>
      <w:r>
        <w:rPr>
          <w:color w:val="231F20"/>
          <w:spacing w:val="-15"/>
        </w:rPr>
        <w:t> </w:t>
      </w:r>
      <w:r>
        <w:rPr>
          <w:color w:val="231F20"/>
        </w:rPr>
        <w:t>information</w:t>
      </w:r>
      <w:r>
        <w:rPr>
          <w:color w:val="231F20"/>
          <w:spacing w:val="-14"/>
        </w:rPr>
        <w:t> </w:t>
      </w:r>
      <w:r>
        <w:rPr>
          <w:color w:val="231F20"/>
        </w:rPr>
        <w:t>on</w:t>
      </w:r>
      <w:r>
        <w:rPr>
          <w:color w:val="231F20"/>
          <w:spacing w:val="-14"/>
        </w:rPr>
        <w:t> </w:t>
      </w:r>
      <w:r>
        <w:rPr>
          <w:color w:val="231F20"/>
        </w:rPr>
        <w:t>these</w:t>
      </w:r>
      <w:r>
        <w:rPr>
          <w:color w:val="231F20"/>
          <w:spacing w:val="-14"/>
        </w:rPr>
        <w:t> </w:t>
      </w:r>
      <w:r>
        <w:rPr>
          <w:color w:val="231F20"/>
        </w:rPr>
        <w:t>collateral</w:t>
      </w:r>
      <w:r>
        <w:rPr>
          <w:color w:val="231F20"/>
          <w:spacing w:val="-15"/>
        </w:rPr>
        <w:t> </w:t>
      </w:r>
      <w:r>
        <w:rPr>
          <w:color w:val="231F20"/>
          <w:spacing w:val="-2"/>
        </w:rPr>
        <w:t>arrangements.</w:t>
      </w:r>
    </w:p>
    <w:p>
      <w:pPr>
        <w:pStyle w:val="BodyText"/>
        <w:spacing w:before="3"/>
        <w:rPr>
          <w:sz w:val="19"/>
        </w:rPr>
      </w:pPr>
    </w:p>
    <w:p>
      <w:pPr>
        <w:pStyle w:val="BodyText"/>
        <w:spacing w:line="247" w:lineRule="auto"/>
        <w:ind w:left="100" w:right="117"/>
        <w:jc w:val="both"/>
      </w:pPr>
      <w:r>
        <w:rPr>
          <w:color w:val="231F20"/>
        </w:rPr>
        <w:t>As of December 31, 2016, aggregate annual principal maturities of debt and capital leases (not including   amounts   associated   with   interest   rate   swap   agreements,   interest   on   capital leases,</w:t>
      </w:r>
    </w:p>
    <w:p>
      <w:pPr>
        <w:spacing w:after="0" w:line="247" w:lineRule="auto"/>
        <w:jc w:val="both"/>
        <w:sectPr>
          <w:footerReference w:type="default" r:id="rId24"/>
          <w:pgSz w:w="11880" w:h="15480"/>
          <w:pgMar w:footer="1240" w:header="0" w:top="1240" w:bottom="1420" w:left="1280" w:right="1260"/>
        </w:sectPr>
      </w:pPr>
    </w:p>
    <w:p>
      <w:pPr>
        <w:pStyle w:val="BodyText"/>
        <w:spacing w:line="247" w:lineRule="auto" w:before="74"/>
        <w:ind w:left="120" w:right="137"/>
        <w:jc w:val="both"/>
      </w:pPr>
      <w:bookmarkStart w:name="7. LEASES" w:id="31"/>
      <w:bookmarkEnd w:id="31"/>
      <w:r>
        <w:rPr/>
      </w:r>
      <w:r>
        <w:rPr>
          <w:color w:val="231F20"/>
        </w:rPr>
        <w:t>amortization of capital lease incentives, and amortization of purchase accounting adjustments) for the five-year period ending December 31, 2021, and thereafter, were $555 million in 2017, $323 million in 2018, $573 million in 2019, $797 million in 2020, $148 million in 2021, and $926 million thereafter.</w:t>
      </w:r>
    </w:p>
    <w:p>
      <w:pPr>
        <w:pStyle w:val="Heading1"/>
        <w:numPr>
          <w:ilvl w:val="0"/>
          <w:numId w:val="16"/>
        </w:numPr>
        <w:tabs>
          <w:tab w:pos="340" w:val="left" w:leader="none"/>
        </w:tabs>
        <w:spacing w:line="240" w:lineRule="auto" w:before="209" w:after="0"/>
        <w:ind w:left="340" w:right="0" w:hanging="220"/>
        <w:jc w:val="both"/>
      </w:pPr>
      <w:r>
        <w:rPr>
          <w:color w:val="231F20"/>
        </w:rPr>
        <w:t>LEASES</w:t>
      </w:r>
    </w:p>
    <w:p>
      <w:pPr>
        <w:pStyle w:val="BodyText"/>
        <w:spacing w:before="9"/>
        <w:rPr>
          <w:b/>
          <w:sz w:val="18"/>
        </w:rPr>
      </w:pPr>
    </w:p>
    <w:p>
      <w:pPr>
        <w:pStyle w:val="BodyText"/>
        <w:spacing w:line="247" w:lineRule="auto" w:before="1"/>
        <w:ind w:left="120" w:right="137"/>
        <w:jc w:val="both"/>
      </w:pPr>
      <w:r>
        <w:rPr/>
        <w:pict>
          <v:line style="position:absolute;mso-position-horizontal-relative:page;mso-position-vertical-relative:paragraph;z-index:-374800" from="69pt,60.319103pt" to="325pt,60.319103pt" stroked="true" strokeweight="1pt" strokecolor="#231f20">
            <v:stroke dashstyle="solid"/>
            <w10:wrap type="none"/>
          </v:line>
        </w:pict>
      </w:r>
      <w:r>
        <w:rPr>
          <w:color w:val="231F20"/>
        </w:rPr>
        <w:t>The Company’s fleet included 51 aircraft on capital lease as of December 31, 2016, compared with     28 aircraft on capital lease, including one B717, as of December 31, 2015. Amounts applicable to these aircraft that are included in property and equipment</w:t>
      </w:r>
      <w:r>
        <w:rPr>
          <w:color w:val="231F20"/>
          <w:spacing w:val="-3"/>
        </w:rPr>
        <w:t> </w:t>
      </w:r>
      <w:r>
        <w:rPr>
          <w:color w:val="231F20"/>
        </w:rPr>
        <w:t>were:</w:t>
      </w:r>
    </w:p>
    <w:p>
      <w:pPr>
        <w:pStyle w:val="BodyText"/>
        <w:spacing w:before="8"/>
        <w:rPr>
          <w:sz w:val="14"/>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20"/>
        <w:gridCol w:w="200"/>
        <w:gridCol w:w="1267"/>
        <w:gridCol w:w="533"/>
        <w:gridCol w:w="1437"/>
        <w:gridCol w:w="563"/>
      </w:tblGrid>
      <w:tr>
        <w:trPr>
          <w:trHeight w:val="256" w:hRule="exact"/>
        </w:trPr>
        <w:tc>
          <w:tcPr>
            <w:tcW w:w="5120" w:type="dxa"/>
          </w:tcPr>
          <w:p>
            <w:pPr>
              <w:pStyle w:val="TableParagraph"/>
              <w:spacing w:line="229" w:lineRule="exact" w:before="0"/>
              <w:rPr>
                <w:b/>
                <w:sz w:val="20"/>
              </w:rPr>
            </w:pPr>
            <w:r>
              <w:rPr>
                <w:b/>
                <w:color w:val="231F20"/>
                <w:sz w:val="20"/>
              </w:rPr>
              <w:t>(in millions)</w:t>
            </w:r>
          </w:p>
        </w:tc>
        <w:tc>
          <w:tcPr>
            <w:tcW w:w="200" w:type="dxa"/>
          </w:tcPr>
          <w:p>
            <w:pPr/>
          </w:p>
        </w:tc>
        <w:tc>
          <w:tcPr>
            <w:tcW w:w="1267" w:type="dxa"/>
            <w:tcBorders>
              <w:bottom w:val="single" w:sz="8" w:space="0" w:color="231F20"/>
            </w:tcBorders>
          </w:tcPr>
          <w:p>
            <w:pPr>
              <w:pStyle w:val="TableParagraph"/>
              <w:spacing w:line="229" w:lineRule="exact" w:before="0"/>
              <w:ind w:left="700"/>
              <w:rPr>
                <w:b/>
                <w:sz w:val="20"/>
              </w:rPr>
            </w:pPr>
            <w:r>
              <w:rPr>
                <w:b/>
                <w:color w:val="231F20"/>
                <w:sz w:val="20"/>
              </w:rPr>
              <w:t>2016</w:t>
            </w:r>
          </w:p>
        </w:tc>
        <w:tc>
          <w:tcPr>
            <w:tcW w:w="533" w:type="dxa"/>
            <w:tcBorders>
              <w:bottom w:val="single" w:sz="8" w:space="0" w:color="231F20"/>
            </w:tcBorders>
          </w:tcPr>
          <w:p>
            <w:pPr/>
          </w:p>
        </w:tc>
        <w:tc>
          <w:tcPr>
            <w:tcW w:w="1437" w:type="dxa"/>
            <w:tcBorders>
              <w:bottom w:val="single" w:sz="8" w:space="0" w:color="231F20"/>
            </w:tcBorders>
          </w:tcPr>
          <w:p>
            <w:pPr>
              <w:pStyle w:val="TableParagraph"/>
              <w:spacing w:line="229" w:lineRule="exact" w:before="0"/>
              <w:ind w:left="840"/>
              <w:rPr>
                <w:b/>
                <w:sz w:val="20"/>
              </w:rPr>
            </w:pPr>
            <w:r>
              <w:rPr>
                <w:b/>
                <w:color w:val="231F20"/>
                <w:sz w:val="20"/>
              </w:rPr>
              <w:t>2015</w:t>
            </w:r>
          </w:p>
        </w:tc>
        <w:tc>
          <w:tcPr>
            <w:tcW w:w="563" w:type="dxa"/>
            <w:tcBorders>
              <w:bottom w:val="single" w:sz="8" w:space="0" w:color="231F20"/>
            </w:tcBorders>
          </w:tcPr>
          <w:p>
            <w:pPr/>
          </w:p>
        </w:tc>
      </w:tr>
      <w:tr>
        <w:trPr>
          <w:trHeight w:val="310" w:hRule="exact"/>
        </w:trPr>
        <w:tc>
          <w:tcPr>
            <w:tcW w:w="5120" w:type="dxa"/>
            <w:shd w:val="clear" w:color="auto" w:fill="D1D3D4"/>
          </w:tcPr>
          <w:p>
            <w:pPr>
              <w:pStyle w:val="TableParagraph"/>
              <w:rPr>
                <w:sz w:val="20"/>
              </w:rPr>
            </w:pPr>
            <w:r>
              <w:rPr>
                <w:color w:val="231F20"/>
                <w:sz w:val="20"/>
              </w:rPr>
              <w:t>Flight equipment</w:t>
            </w:r>
          </w:p>
        </w:tc>
        <w:tc>
          <w:tcPr>
            <w:tcW w:w="200" w:type="dxa"/>
            <w:shd w:val="clear" w:color="auto" w:fill="D1D3D4"/>
          </w:tcPr>
          <w:p>
            <w:pPr/>
          </w:p>
        </w:tc>
        <w:tc>
          <w:tcPr>
            <w:tcW w:w="1267" w:type="dxa"/>
            <w:tcBorders>
              <w:top w:val="single" w:sz="8" w:space="0" w:color="231F20"/>
            </w:tcBorders>
            <w:shd w:val="clear" w:color="auto" w:fill="D1D3D4"/>
          </w:tcPr>
          <w:p>
            <w:pPr>
              <w:pStyle w:val="TableParagraph"/>
              <w:rPr>
                <w:sz w:val="20"/>
              </w:rPr>
            </w:pPr>
            <w:r>
              <w:rPr>
                <w:color w:val="231F20"/>
                <w:sz w:val="20"/>
              </w:rPr>
              <w:t>$</w:t>
            </w:r>
          </w:p>
        </w:tc>
        <w:tc>
          <w:tcPr>
            <w:tcW w:w="533" w:type="dxa"/>
            <w:tcBorders>
              <w:top w:val="single" w:sz="8" w:space="0" w:color="231F20"/>
            </w:tcBorders>
            <w:shd w:val="clear" w:color="auto" w:fill="D1D3D4"/>
          </w:tcPr>
          <w:p>
            <w:pPr>
              <w:pStyle w:val="TableParagraph"/>
              <w:ind w:right="64"/>
              <w:jc w:val="right"/>
              <w:rPr>
                <w:sz w:val="20"/>
              </w:rPr>
            </w:pPr>
            <w:r>
              <w:rPr>
                <w:color w:val="231F20"/>
                <w:sz w:val="20"/>
              </w:rPr>
              <w:t>923</w:t>
            </w:r>
          </w:p>
        </w:tc>
        <w:tc>
          <w:tcPr>
            <w:tcW w:w="1437" w:type="dxa"/>
            <w:tcBorders>
              <w:top w:val="single" w:sz="8" w:space="0" w:color="231F20"/>
            </w:tcBorders>
            <w:shd w:val="clear" w:color="auto" w:fill="D1D3D4"/>
          </w:tcPr>
          <w:p>
            <w:pPr>
              <w:pStyle w:val="TableParagraph"/>
              <w:ind w:left="80"/>
              <w:rPr>
                <w:sz w:val="20"/>
              </w:rPr>
            </w:pPr>
            <w:r>
              <w:rPr>
                <w:color w:val="231F20"/>
                <w:sz w:val="20"/>
              </w:rPr>
              <w:t>$</w:t>
            </w:r>
          </w:p>
        </w:tc>
        <w:tc>
          <w:tcPr>
            <w:tcW w:w="563" w:type="dxa"/>
            <w:tcBorders>
              <w:top w:val="single" w:sz="8" w:space="0" w:color="231F20"/>
            </w:tcBorders>
            <w:shd w:val="clear" w:color="auto" w:fill="D1D3D4"/>
          </w:tcPr>
          <w:p>
            <w:pPr>
              <w:pStyle w:val="TableParagraph"/>
              <w:ind w:right="64"/>
              <w:jc w:val="right"/>
              <w:rPr>
                <w:sz w:val="20"/>
              </w:rPr>
            </w:pPr>
            <w:r>
              <w:rPr>
                <w:color w:val="231F20"/>
                <w:sz w:val="20"/>
              </w:rPr>
              <w:t>435</w:t>
            </w:r>
          </w:p>
        </w:tc>
      </w:tr>
      <w:tr>
        <w:trPr>
          <w:trHeight w:val="315" w:hRule="exact"/>
        </w:trPr>
        <w:tc>
          <w:tcPr>
            <w:tcW w:w="5120" w:type="dxa"/>
          </w:tcPr>
          <w:p>
            <w:pPr>
              <w:pStyle w:val="TableParagraph"/>
              <w:rPr>
                <w:sz w:val="20"/>
              </w:rPr>
            </w:pPr>
            <w:r>
              <w:rPr>
                <w:color w:val="231F20"/>
                <w:sz w:val="20"/>
              </w:rPr>
              <w:t>Less: accumulated amortization</w:t>
            </w:r>
          </w:p>
        </w:tc>
        <w:tc>
          <w:tcPr>
            <w:tcW w:w="200" w:type="dxa"/>
          </w:tcPr>
          <w:p>
            <w:pPr/>
          </w:p>
        </w:tc>
        <w:tc>
          <w:tcPr>
            <w:tcW w:w="1267" w:type="dxa"/>
            <w:tcBorders>
              <w:bottom w:val="single" w:sz="4" w:space="0" w:color="231F20"/>
            </w:tcBorders>
          </w:tcPr>
          <w:p>
            <w:pPr/>
          </w:p>
        </w:tc>
        <w:tc>
          <w:tcPr>
            <w:tcW w:w="533" w:type="dxa"/>
            <w:tcBorders>
              <w:bottom w:val="single" w:sz="4" w:space="0" w:color="231F20"/>
            </w:tcBorders>
          </w:tcPr>
          <w:p>
            <w:pPr>
              <w:pStyle w:val="TableParagraph"/>
              <w:ind w:right="64"/>
              <w:jc w:val="right"/>
              <w:rPr>
                <w:sz w:val="20"/>
              </w:rPr>
            </w:pPr>
            <w:r>
              <w:rPr>
                <w:color w:val="231F20"/>
                <w:sz w:val="20"/>
              </w:rPr>
              <w:t>82</w:t>
            </w:r>
          </w:p>
        </w:tc>
        <w:tc>
          <w:tcPr>
            <w:tcW w:w="1437" w:type="dxa"/>
            <w:tcBorders>
              <w:bottom w:val="single" w:sz="4" w:space="0" w:color="231F20"/>
            </w:tcBorders>
          </w:tcPr>
          <w:p>
            <w:pPr/>
          </w:p>
        </w:tc>
        <w:tc>
          <w:tcPr>
            <w:tcW w:w="563" w:type="dxa"/>
            <w:tcBorders>
              <w:bottom w:val="single" w:sz="4" w:space="0" w:color="231F20"/>
            </w:tcBorders>
          </w:tcPr>
          <w:p>
            <w:pPr>
              <w:pStyle w:val="TableParagraph"/>
              <w:ind w:right="64"/>
              <w:jc w:val="right"/>
              <w:rPr>
                <w:sz w:val="20"/>
              </w:rPr>
            </w:pPr>
            <w:r>
              <w:rPr>
                <w:color w:val="231F20"/>
                <w:sz w:val="20"/>
              </w:rPr>
              <w:t>29</w:t>
            </w:r>
          </w:p>
        </w:tc>
      </w:tr>
      <w:tr>
        <w:trPr>
          <w:trHeight w:val="360" w:hRule="exact"/>
        </w:trPr>
        <w:tc>
          <w:tcPr>
            <w:tcW w:w="5120" w:type="dxa"/>
            <w:shd w:val="clear" w:color="auto" w:fill="D1D3D4"/>
          </w:tcPr>
          <w:p>
            <w:pPr/>
          </w:p>
        </w:tc>
        <w:tc>
          <w:tcPr>
            <w:tcW w:w="200" w:type="dxa"/>
            <w:shd w:val="clear" w:color="auto" w:fill="D1D3D4"/>
          </w:tcPr>
          <w:p>
            <w:pPr/>
          </w:p>
        </w:tc>
        <w:tc>
          <w:tcPr>
            <w:tcW w:w="1267"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53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841</w:t>
            </w:r>
          </w:p>
        </w:tc>
        <w:tc>
          <w:tcPr>
            <w:tcW w:w="1437" w:type="dxa"/>
            <w:tcBorders>
              <w:top w:val="single" w:sz="4" w:space="0" w:color="231F20"/>
              <w:bottom w:val="single" w:sz="4" w:space="0" w:color="231F20"/>
            </w:tcBorders>
            <w:shd w:val="clear" w:color="auto" w:fill="D1D3D4"/>
          </w:tcPr>
          <w:p>
            <w:pPr>
              <w:pStyle w:val="TableParagraph"/>
              <w:ind w:left="80"/>
              <w:rPr>
                <w:sz w:val="20"/>
              </w:rPr>
            </w:pPr>
            <w:r>
              <w:rPr>
                <w:color w:val="231F20"/>
                <w:sz w:val="20"/>
              </w:rPr>
              <w:t>$</w:t>
            </w:r>
          </w:p>
        </w:tc>
        <w:tc>
          <w:tcPr>
            <w:tcW w:w="563" w:type="dxa"/>
            <w:tcBorders>
              <w:top w:val="single" w:sz="4" w:space="0" w:color="231F20"/>
              <w:bottom w:val="single" w:sz="4" w:space="0" w:color="231F20"/>
            </w:tcBorders>
            <w:shd w:val="clear" w:color="auto" w:fill="D1D3D4"/>
          </w:tcPr>
          <w:p>
            <w:pPr>
              <w:pStyle w:val="TableParagraph"/>
              <w:ind w:right="66"/>
              <w:jc w:val="right"/>
              <w:rPr>
                <w:sz w:val="20"/>
              </w:rPr>
            </w:pPr>
            <w:r>
              <w:rPr>
                <w:color w:val="231F20"/>
                <w:sz w:val="20"/>
              </w:rPr>
              <w:t>406</w:t>
            </w:r>
          </w:p>
        </w:tc>
      </w:tr>
    </w:tbl>
    <w:p>
      <w:pPr>
        <w:pStyle w:val="BodyText"/>
        <w:spacing w:before="6"/>
      </w:pPr>
    </w:p>
    <w:p>
      <w:pPr>
        <w:pStyle w:val="BodyText"/>
        <w:spacing w:line="247" w:lineRule="auto"/>
        <w:ind w:left="120" w:right="137"/>
        <w:jc w:val="both"/>
      </w:pPr>
      <w:r>
        <w:rPr/>
        <w:pict>
          <v:line style="position:absolute;mso-position-horizontal-relative:page;mso-position-vertical-relative:paragraph;z-index:-374776" from="335pt,-15.480469pt" to="425pt,-15.480469pt" stroked="true" strokeweight=".5pt" strokecolor="#231f20">
            <v:stroke dashstyle="solid"/>
            <w10:wrap type="none"/>
          </v:line>
        </w:pict>
      </w:r>
      <w:r>
        <w:rPr/>
        <w:pict>
          <v:line style="position:absolute;mso-position-horizontal-relative:page;mso-position-vertical-relative:paragraph;z-index:-374752" from="429pt,-15.480469pt" to="525pt,-15.480469pt" stroked="true" strokeweight=".5pt" strokecolor="#231f20">
            <v:stroke dashstyle="solid"/>
            <w10:wrap type="none"/>
          </v:line>
        </w:pict>
      </w:r>
      <w:r>
        <w:rPr>
          <w:color w:val="231F20"/>
        </w:rPr>
        <w:t>Total rental expense for operating leases, both aircraft and other, charged to operations in 2016, 2015, and 2014 was $932 million, $909 million, and $931 million, respectively. The majority of the Company’s terminal operations space, as well as 83 aircraft, were under operating  leases  at  December 31, 2016. For aircraft operating leases and for terminal operations leases, expense is  recorded on a straight-line basis and included in Aircraft rentals and in Landing fees and other rentals, respectively, in the Consolidated Statement of Income. Future minimum lease payments under capital leases and noncancelable operating leases and rentals to be received under subleases with initial or remaining terms in excess of one year at December 31, 2016,</w:t>
      </w:r>
      <w:r>
        <w:rPr>
          <w:color w:val="231F20"/>
          <w:spacing w:val="-1"/>
        </w:rPr>
        <w:t> </w:t>
      </w:r>
      <w:r>
        <w:rPr>
          <w:color w:val="231F20"/>
        </w:rPr>
        <w:t>were:</w:t>
      </w:r>
    </w:p>
    <w:p>
      <w:pPr>
        <w:spacing w:after="0" w:line="247" w:lineRule="auto"/>
        <w:jc w:val="both"/>
        <w:sectPr>
          <w:footerReference w:type="default" r:id="rId25"/>
          <w:pgSz w:w="11880" w:h="15480"/>
          <w:pgMar w:footer="1240" w:header="0" w:top="1240" w:bottom="1420" w:left="1260" w:right="1240"/>
          <w:pgNumType w:start="101"/>
        </w:sectPr>
      </w:pPr>
    </w:p>
    <w:p>
      <w:pPr>
        <w:tabs>
          <w:tab w:pos="4559" w:val="left" w:leader="none"/>
        </w:tabs>
        <w:spacing w:line="201" w:lineRule="exact" w:before="167"/>
        <w:ind w:left="3483" w:right="0" w:firstLine="0"/>
        <w:jc w:val="left"/>
        <w:rPr>
          <w:b/>
          <w:sz w:val="20"/>
        </w:rPr>
      </w:pPr>
      <w:r>
        <w:rPr>
          <w:b/>
          <w:color w:val="231F20"/>
          <w:sz w:val="20"/>
        </w:rPr>
        <w:t>Capital</w:t>
        <w:tab/>
        <w:t>Operating</w:t>
      </w:r>
    </w:p>
    <w:p>
      <w:pPr>
        <w:spacing w:line="201" w:lineRule="exact" w:before="167"/>
        <w:ind w:left="0" w:right="0" w:firstLine="0"/>
        <w:jc w:val="right"/>
        <w:rPr>
          <w:b/>
          <w:sz w:val="20"/>
        </w:rPr>
      </w:pPr>
      <w:r>
        <w:rPr/>
        <w:br w:type="column"/>
      </w:r>
      <w:r>
        <w:rPr>
          <w:b/>
          <w:color w:val="231F20"/>
          <w:sz w:val="20"/>
        </w:rPr>
        <w:t>LFMP</w:t>
      </w:r>
    </w:p>
    <w:p>
      <w:pPr>
        <w:spacing w:line="201" w:lineRule="exact" w:before="167"/>
        <w:ind w:left="476" w:right="0" w:firstLine="0"/>
        <w:jc w:val="left"/>
        <w:rPr>
          <w:b/>
          <w:sz w:val="20"/>
        </w:rPr>
      </w:pPr>
      <w:r>
        <w:rPr/>
        <w:br w:type="column"/>
      </w:r>
      <w:r>
        <w:rPr>
          <w:b/>
          <w:color w:val="231F20"/>
          <w:sz w:val="20"/>
        </w:rPr>
        <w:t>Operating</w:t>
      </w:r>
    </w:p>
    <w:p>
      <w:pPr>
        <w:spacing w:after="0" w:line="201" w:lineRule="exact"/>
        <w:jc w:val="left"/>
        <w:rPr>
          <w:sz w:val="20"/>
        </w:rPr>
        <w:sectPr>
          <w:type w:val="continuous"/>
          <w:pgSz w:w="11880" w:h="15480"/>
          <w:pgMar w:top="1260" w:bottom="280" w:left="1260" w:right="1240"/>
          <w:cols w:num="3" w:equalWidth="0">
            <w:col w:w="5438" w:space="40"/>
            <w:col w:w="2246" w:space="40"/>
            <w:col w:w="1616"/>
          </w:cols>
        </w:sectPr>
      </w:pPr>
    </w:p>
    <w:p>
      <w:pPr>
        <w:spacing w:line="228" w:lineRule="exact" w:before="0"/>
        <w:ind w:left="120" w:right="0" w:firstLine="0"/>
        <w:jc w:val="left"/>
        <w:rPr>
          <w:b/>
          <w:sz w:val="20"/>
        </w:rPr>
      </w:pPr>
      <w:r>
        <w:rPr>
          <w:b/>
          <w:color w:val="231F20"/>
          <w:sz w:val="20"/>
        </w:rPr>
        <w:t>(in millions)</w:t>
      </w:r>
    </w:p>
    <w:p>
      <w:pPr>
        <w:tabs>
          <w:tab w:pos="434" w:val="left" w:leader="none"/>
          <w:tab w:pos="1239" w:val="left" w:leader="none"/>
        </w:tabs>
        <w:spacing w:line="228" w:lineRule="exact" w:before="0"/>
        <w:ind w:left="120" w:right="0" w:firstLine="0"/>
        <w:jc w:val="left"/>
        <w:rPr>
          <w:b/>
          <w:sz w:val="20"/>
        </w:rPr>
      </w:pPr>
      <w:r>
        <w:rPr/>
        <w:br w:type="column"/>
      </w:r>
      <w:r>
        <w:rPr>
          <w:b/>
          <w:color w:val="231F20"/>
          <w:sz w:val="20"/>
          <w:u w:val="single" w:color="231F20"/>
        </w:rPr>
        <w:t> </w:t>
        <w:tab/>
        <w:t>leases</w:t>
        <w:tab/>
        <w:t>leases (b)      </w:t>
      </w:r>
      <w:r>
        <w:rPr>
          <w:b/>
          <w:color w:val="231F20"/>
          <w:spacing w:val="46"/>
          <w:sz w:val="20"/>
          <w:u w:val="single" w:color="231F20"/>
        </w:rPr>
        <w:t> </w:t>
      </w:r>
      <w:r>
        <w:rPr>
          <w:b/>
          <w:color w:val="231F20"/>
          <w:sz w:val="20"/>
          <w:u w:val="single" w:color="231F20"/>
        </w:rPr>
        <w:t>Subleases</w:t>
      </w:r>
      <w:r>
        <w:rPr>
          <w:b/>
          <w:color w:val="231F20"/>
          <w:spacing w:val="-1"/>
          <w:sz w:val="20"/>
          <w:u w:val="single" w:color="231F20"/>
        </w:rPr>
        <w:t> </w:t>
      </w:r>
    </w:p>
    <w:p>
      <w:pPr>
        <w:spacing w:line="228" w:lineRule="exact" w:before="0"/>
        <w:ind w:left="63" w:right="0" w:firstLine="0"/>
        <w:jc w:val="left"/>
        <w:rPr>
          <w:b/>
          <w:sz w:val="20"/>
        </w:rPr>
      </w:pPr>
      <w:r>
        <w:rPr/>
        <w:br w:type="column"/>
      </w:r>
      <w:r>
        <w:rPr>
          <w:b/>
          <w:color w:val="231F20"/>
          <w:sz w:val="20"/>
          <w:u w:val="single" w:color="231F20"/>
        </w:rPr>
        <w:t>facility lease*</w:t>
      </w:r>
    </w:p>
    <w:p>
      <w:pPr>
        <w:spacing w:line="228" w:lineRule="exact" w:before="0"/>
        <w:ind w:left="120" w:right="0" w:firstLine="0"/>
        <w:jc w:val="left"/>
        <w:rPr>
          <w:b/>
          <w:sz w:val="20"/>
        </w:rPr>
      </w:pPr>
      <w:r>
        <w:rPr/>
        <w:br w:type="column"/>
      </w:r>
      <w:r>
        <w:rPr>
          <w:b/>
          <w:color w:val="231F20"/>
          <w:sz w:val="20"/>
        </w:rPr>
        <w:t>leases, net</w:t>
      </w:r>
    </w:p>
    <w:p>
      <w:pPr>
        <w:spacing w:after="0" w:line="228" w:lineRule="exact"/>
        <w:jc w:val="left"/>
        <w:rPr>
          <w:sz w:val="20"/>
        </w:rPr>
        <w:sectPr>
          <w:type w:val="continuous"/>
          <w:pgSz w:w="11880" w:h="15480"/>
          <w:pgMar w:top="1260" w:bottom="280" w:left="1260" w:right="1240"/>
          <w:cols w:num="4" w:equalWidth="0">
            <w:col w:w="1149" w:space="1971"/>
            <w:col w:w="3640" w:space="40"/>
            <w:col w:w="1216" w:space="115"/>
            <w:col w:w="1249"/>
          </w:cols>
        </w:sectPr>
      </w:pP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40"/>
        <w:gridCol w:w="1200"/>
        <w:gridCol w:w="1200"/>
        <w:gridCol w:w="1747"/>
        <w:gridCol w:w="733"/>
        <w:gridCol w:w="1200"/>
      </w:tblGrid>
      <w:tr>
        <w:trPr>
          <w:trHeight w:val="305" w:hRule="exact"/>
        </w:trPr>
        <w:tc>
          <w:tcPr>
            <w:tcW w:w="3040" w:type="dxa"/>
            <w:tcBorders>
              <w:top w:val="single" w:sz="4" w:space="0" w:color="231F20"/>
            </w:tcBorders>
            <w:shd w:val="clear" w:color="auto" w:fill="D1D3D4"/>
          </w:tcPr>
          <w:p>
            <w:pPr>
              <w:pStyle w:val="TableParagraph"/>
              <w:rPr>
                <w:sz w:val="20"/>
              </w:rPr>
            </w:pPr>
            <w:r>
              <w:rPr>
                <w:color w:val="231F20"/>
                <w:sz w:val="20"/>
              </w:rPr>
              <w:t>2017</w:t>
            </w:r>
          </w:p>
        </w:tc>
        <w:tc>
          <w:tcPr>
            <w:tcW w:w="1200" w:type="dxa"/>
            <w:shd w:val="clear" w:color="auto" w:fill="D1D3D4"/>
          </w:tcPr>
          <w:p>
            <w:pPr>
              <w:pStyle w:val="TableParagraph"/>
              <w:tabs>
                <w:tab w:pos="852" w:val="left" w:leader="none"/>
              </w:tabs>
              <w:spacing w:before="58"/>
              <w:ind w:right="66"/>
              <w:jc w:val="right"/>
              <w:rPr>
                <w:sz w:val="20"/>
              </w:rPr>
            </w:pPr>
            <w:r>
              <w:rPr>
                <w:color w:val="231F20"/>
                <w:sz w:val="20"/>
              </w:rPr>
              <w:t>$</w:t>
              <w:tab/>
              <w:t>80</w:t>
            </w:r>
          </w:p>
        </w:tc>
        <w:tc>
          <w:tcPr>
            <w:tcW w:w="1200" w:type="dxa"/>
            <w:shd w:val="clear" w:color="auto" w:fill="D1D3D4"/>
          </w:tcPr>
          <w:p>
            <w:pPr>
              <w:pStyle w:val="TableParagraph"/>
              <w:tabs>
                <w:tab w:pos="752" w:val="left" w:leader="none"/>
              </w:tabs>
              <w:spacing w:before="58"/>
              <w:ind w:right="66"/>
              <w:jc w:val="right"/>
              <w:rPr>
                <w:sz w:val="20"/>
              </w:rPr>
            </w:pPr>
            <w:r>
              <w:rPr>
                <w:color w:val="231F20"/>
                <w:sz w:val="20"/>
              </w:rPr>
              <w:t>$</w:t>
              <w:tab/>
              <w:t>671</w:t>
            </w:r>
          </w:p>
        </w:tc>
        <w:tc>
          <w:tcPr>
            <w:tcW w:w="1747" w:type="dxa"/>
            <w:shd w:val="clear" w:color="auto" w:fill="D1D3D4"/>
          </w:tcPr>
          <w:p>
            <w:pPr>
              <w:pStyle w:val="TableParagraph"/>
              <w:tabs>
                <w:tab w:pos="832" w:val="left" w:leader="none"/>
              </w:tabs>
              <w:spacing w:before="58"/>
              <w:ind w:left="80"/>
              <w:rPr>
                <w:sz w:val="20"/>
              </w:rPr>
            </w:pPr>
            <w:r>
              <w:rPr>
                <w:color w:val="231F20"/>
                <w:sz w:val="20"/>
              </w:rPr>
              <w:t>$</w:t>
              <w:tab/>
            </w:r>
            <w:r>
              <w:rPr>
                <w:color w:val="231F20"/>
                <w:spacing w:val="2"/>
                <w:sz w:val="20"/>
              </w:rPr>
              <w:t>(103)$</w:t>
            </w:r>
          </w:p>
        </w:tc>
        <w:tc>
          <w:tcPr>
            <w:tcW w:w="733" w:type="dxa"/>
            <w:shd w:val="clear" w:color="auto" w:fill="D1D3D4"/>
          </w:tcPr>
          <w:p>
            <w:pPr>
              <w:pStyle w:val="TableParagraph"/>
              <w:spacing w:before="58"/>
              <w:ind w:right="66"/>
              <w:jc w:val="right"/>
              <w:rPr>
                <w:sz w:val="20"/>
              </w:rPr>
            </w:pPr>
            <w:r>
              <w:rPr>
                <w:color w:val="231F20"/>
                <w:sz w:val="20"/>
              </w:rPr>
              <w:t>24</w:t>
            </w:r>
          </w:p>
        </w:tc>
        <w:tc>
          <w:tcPr>
            <w:tcW w:w="1200" w:type="dxa"/>
            <w:tcBorders>
              <w:top w:val="single" w:sz="4" w:space="0" w:color="231F20"/>
            </w:tcBorders>
            <w:shd w:val="clear" w:color="auto" w:fill="D1D3D4"/>
          </w:tcPr>
          <w:p>
            <w:pPr>
              <w:pStyle w:val="TableParagraph"/>
              <w:tabs>
                <w:tab w:pos="752" w:val="left" w:leader="none"/>
              </w:tabs>
              <w:ind w:right="66"/>
              <w:jc w:val="right"/>
              <w:rPr>
                <w:sz w:val="20"/>
              </w:rPr>
            </w:pPr>
            <w:r>
              <w:rPr>
                <w:color w:val="231F20"/>
                <w:sz w:val="20"/>
              </w:rPr>
              <w:t>$</w:t>
              <w:tab/>
              <w:t>592</w:t>
            </w:r>
          </w:p>
        </w:tc>
      </w:tr>
      <w:tr>
        <w:trPr>
          <w:trHeight w:val="300" w:hRule="exact"/>
        </w:trPr>
        <w:tc>
          <w:tcPr>
            <w:tcW w:w="3040" w:type="dxa"/>
          </w:tcPr>
          <w:p>
            <w:pPr>
              <w:pStyle w:val="TableParagraph"/>
              <w:rPr>
                <w:sz w:val="20"/>
              </w:rPr>
            </w:pPr>
            <w:r>
              <w:rPr>
                <w:color w:val="231F20"/>
                <w:sz w:val="20"/>
              </w:rPr>
              <w:t>2018</w:t>
            </w:r>
          </w:p>
        </w:tc>
        <w:tc>
          <w:tcPr>
            <w:tcW w:w="1200" w:type="dxa"/>
          </w:tcPr>
          <w:p>
            <w:pPr>
              <w:pStyle w:val="TableParagraph"/>
              <w:ind w:right="66"/>
              <w:jc w:val="right"/>
              <w:rPr>
                <w:sz w:val="20"/>
              </w:rPr>
            </w:pPr>
            <w:r>
              <w:rPr>
                <w:color w:val="231F20"/>
                <w:sz w:val="20"/>
              </w:rPr>
              <w:t>80</w:t>
            </w:r>
          </w:p>
        </w:tc>
        <w:tc>
          <w:tcPr>
            <w:tcW w:w="1200" w:type="dxa"/>
          </w:tcPr>
          <w:p>
            <w:pPr>
              <w:pStyle w:val="TableParagraph"/>
              <w:ind w:right="66"/>
              <w:jc w:val="right"/>
              <w:rPr>
                <w:sz w:val="20"/>
              </w:rPr>
            </w:pPr>
            <w:r>
              <w:rPr>
                <w:color w:val="231F20"/>
                <w:sz w:val="20"/>
              </w:rPr>
              <w:t>562</w:t>
            </w:r>
          </w:p>
        </w:tc>
        <w:tc>
          <w:tcPr>
            <w:tcW w:w="1747" w:type="dxa"/>
          </w:tcPr>
          <w:p>
            <w:pPr>
              <w:pStyle w:val="TableParagraph"/>
              <w:ind w:left="833"/>
              <w:rPr>
                <w:sz w:val="20"/>
              </w:rPr>
            </w:pPr>
            <w:r>
              <w:rPr>
                <w:color w:val="231F20"/>
                <w:sz w:val="20"/>
              </w:rPr>
              <w:t>(102)</w:t>
            </w:r>
          </w:p>
        </w:tc>
        <w:tc>
          <w:tcPr>
            <w:tcW w:w="733" w:type="dxa"/>
          </w:tcPr>
          <w:p>
            <w:pPr>
              <w:pStyle w:val="TableParagraph"/>
              <w:ind w:right="66"/>
              <w:jc w:val="right"/>
              <w:rPr>
                <w:sz w:val="20"/>
              </w:rPr>
            </w:pPr>
            <w:r>
              <w:rPr>
                <w:color w:val="231F20"/>
                <w:sz w:val="20"/>
              </w:rPr>
              <w:t>25</w:t>
            </w:r>
          </w:p>
        </w:tc>
        <w:tc>
          <w:tcPr>
            <w:tcW w:w="1200" w:type="dxa"/>
          </w:tcPr>
          <w:p>
            <w:pPr>
              <w:pStyle w:val="TableParagraph"/>
              <w:ind w:right="66"/>
              <w:jc w:val="right"/>
              <w:rPr>
                <w:sz w:val="20"/>
              </w:rPr>
            </w:pPr>
            <w:r>
              <w:rPr>
                <w:color w:val="231F20"/>
                <w:sz w:val="20"/>
              </w:rPr>
              <w:t>485</w:t>
            </w:r>
          </w:p>
        </w:tc>
      </w:tr>
      <w:tr>
        <w:trPr>
          <w:trHeight w:val="300" w:hRule="exact"/>
        </w:trPr>
        <w:tc>
          <w:tcPr>
            <w:tcW w:w="3040" w:type="dxa"/>
            <w:shd w:val="clear" w:color="auto" w:fill="D1D3D4"/>
          </w:tcPr>
          <w:p>
            <w:pPr>
              <w:pStyle w:val="TableParagraph"/>
              <w:rPr>
                <w:sz w:val="20"/>
              </w:rPr>
            </w:pPr>
            <w:r>
              <w:rPr>
                <w:color w:val="231F20"/>
                <w:sz w:val="20"/>
              </w:rPr>
              <w:t>2019</w:t>
            </w:r>
          </w:p>
        </w:tc>
        <w:tc>
          <w:tcPr>
            <w:tcW w:w="1200" w:type="dxa"/>
            <w:shd w:val="clear" w:color="auto" w:fill="D1D3D4"/>
          </w:tcPr>
          <w:p>
            <w:pPr>
              <w:pStyle w:val="TableParagraph"/>
              <w:ind w:right="66"/>
              <w:jc w:val="right"/>
              <w:rPr>
                <w:sz w:val="20"/>
              </w:rPr>
            </w:pPr>
            <w:r>
              <w:rPr>
                <w:color w:val="231F20"/>
                <w:sz w:val="20"/>
              </w:rPr>
              <w:t>78</w:t>
            </w:r>
          </w:p>
        </w:tc>
        <w:tc>
          <w:tcPr>
            <w:tcW w:w="1200" w:type="dxa"/>
            <w:shd w:val="clear" w:color="auto" w:fill="D1D3D4"/>
          </w:tcPr>
          <w:p>
            <w:pPr>
              <w:pStyle w:val="TableParagraph"/>
              <w:ind w:right="66"/>
              <w:jc w:val="right"/>
              <w:rPr>
                <w:sz w:val="20"/>
              </w:rPr>
            </w:pPr>
            <w:r>
              <w:rPr>
                <w:color w:val="231F20"/>
                <w:sz w:val="20"/>
              </w:rPr>
              <w:t>491</w:t>
            </w:r>
          </w:p>
        </w:tc>
        <w:tc>
          <w:tcPr>
            <w:tcW w:w="1747" w:type="dxa"/>
            <w:shd w:val="clear" w:color="auto" w:fill="D1D3D4"/>
          </w:tcPr>
          <w:p>
            <w:pPr>
              <w:pStyle w:val="TableParagraph"/>
              <w:ind w:left="933"/>
              <w:rPr>
                <w:sz w:val="20"/>
              </w:rPr>
            </w:pPr>
            <w:r>
              <w:rPr>
                <w:color w:val="231F20"/>
                <w:sz w:val="20"/>
              </w:rPr>
              <w:t>(97)</w:t>
            </w:r>
          </w:p>
        </w:tc>
        <w:tc>
          <w:tcPr>
            <w:tcW w:w="733" w:type="dxa"/>
            <w:shd w:val="clear" w:color="auto" w:fill="D1D3D4"/>
          </w:tcPr>
          <w:p>
            <w:pPr>
              <w:pStyle w:val="TableParagraph"/>
              <w:ind w:right="66"/>
              <w:jc w:val="right"/>
              <w:rPr>
                <w:sz w:val="20"/>
              </w:rPr>
            </w:pPr>
            <w:r>
              <w:rPr>
                <w:color w:val="231F20"/>
                <w:sz w:val="20"/>
              </w:rPr>
              <w:t>25</w:t>
            </w:r>
          </w:p>
        </w:tc>
        <w:tc>
          <w:tcPr>
            <w:tcW w:w="1200" w:type="dxa"/>
            <w:shd w:val="clear" w:color="auto" w:fill="D1D3D4"/>
          </w:tcPr>
          <w:p>
            <w:pPr>
              <w:pStyle w:val="TableParagraph"/>
              <w:ind w:right="66"/>
              <w:jc w:val="right"/>
              <w:rPr>
                <w:sz w:val="20"/>
              </w:rPr>
            </w:pPr>
            <w:r>
              <w:rPr>
                <w:color w:val="231F20"/>
                <w:sz w:val="20"/>
              </w:rPr>
              <w:t>419</w:t>
            </w:r>
          </w:p>
        </w:tc>
      </w:tr>
      <w:tr>
        <w:trPr>
          <w:trHeight w:val="300" w:hRule="exact"/>
        </w:trPr>
        <w:tc>
          <w:tcPr>
            <w:tcW w:w="3040" w:type="dxa"/>
          </w:tcPr>
          <w:p>
            <w:pPr>
              <w:pStyle w:val="TableParagraph"/>
              <w:rPr>
                <w:sz w:val="20"/>
              </w:rPr>
            </w:pPr>
            <w:r>
              <w:rPr>
                <w:color w:val="231F20"/>
                <w:sz w:val="20"/>
              </w:rPr>
              <w:t>2020</w:t>
            </w:r>
          </w:p>
        </w:tc>
        <w:tc>
          <w:tcPr>
            <w:tcW w:w="1200" w:type="dxa"/>
          </w:tcPr>
          <w:p>
            <w:pPr>
              <w:pStyle w:val="TableParagraph"/>
              <w:ind w:right="66"/>
              <w:jc w:val="right"/>
              <w:rPr>
                <w:sz w:val="20"/>
              </w:rPr>
            </w:pPr>
            <w:r>
              <w:rPr>
                <w:color w:val="231F20"/>
                <w:sz w:val="20"/>
              </w:rPr>
              <w:t>78</w:t>
            </w:r>
          </w:p>
        </w:tc>
        <w:tc>
          <w:tcPr>
            <w:tcW w:w="1200" w:type="dxa"/>
          </w:tcPr>
          <w:p>
            <w:pPr>
              <w:pStyle w:val="TableParagraph"/>
              <w:ind w:right="66"/>
              <w:jc w:val="right"/>
              <w:rPr>
                <w:sz w:val="20"/>
              </w:rPr>
            </w:pPr>
            <w:r>
              <w:rPr>
                <w:color w:val="231F20"/>
                <w:sz w:val="20"/>
              </w:rPr>
              <w:t>377</w:t>
            </w:r>
          </w:p>
        </w:tc>
        <w:tc>
          <w:tcPr>
            <w:tcW w:w="1747" w:type="dxa"/>
          </w:tcPr>
          <w:p>
            <w:pPr>
              <w:pStyle w:val="TableParagraph"/>
              <w:ind w:left="933"/>
              <w:rPr>
                <w:sz w:val="20"/>
              </w:rPr>
            </w:pPr>
            <w:r>
              <w:rPr>
                <w:color w:val="231F20"/>
                <w:sz w:val="20"/>
              </w:rPr>
              <w:t>(78)</w:t>
            </w:r>
          </w:p>
        </w:tc>
        <w:tc>
          <w:tcPr>
            <w:tcW w:w="733" w:type="dxa"/>
          </w:tcPr>
          <w:p>
            <w:pPr>
              <w:pStyle w:val="TableParagraph"/>
              <w:ind w:right="66"/>
              <w:jc w:val="right"/>
              <w:rPr>
                <w:sz w:val="20"/>
              </w:rPr>
            </w:pPr>
            <w:r>
              <w:rPr>
                <w:color w:val="231F20"/>
                <w:sz w:val="20"/>
              </w:rPr>
              <w:t>26</w:t>
            </w:r>
          </w:p>
        </w:tc>
        <w:tc>
          <w:tcPr>
            <w:tcW w:w="1200" w:type="dxa"/>
          </w:tcPr>
          <w:p>
            <w:pPr>
              <w:pStyle w:val="TableParagraph"/>
              <w:ind w:right="66"/>
              <w:jc w:val="right"/>
              <w:rPr>
                <w:sz w:val="20"/>
              </w:rPr>
            </w:pPr>
            <w:r>
              <w:rPr>
                <w:color w:val="231F20"/>
                <w:sz w:val="20"/>
              </w:rPr>
              <w:t>325</w:t>
            </w:r>
          </w:p>
        </w:tc>
      </w:tr>
      <w:tr>
        <w:trPr>
          <w:trHeight w:val="300" w:hRule="exact"/>
        </w:trPr>
        <w:tc>
          <w:tcPr>
            <w:tcW w:w="3040" w:type="dxa"/>
            <w:shd w:val="clear" w:color="auto" w:fill="D1D3D4"/>
          </w:tcPr>
          <w:p>
            <w:pPr>
              <w:pStyle w:val="TableParagraph"/>
              <w:rPr>
                <w:sz w:val="20"/>
              </w:rPr>
            </w:pPr>
            <w:r>
              <w:rPr>
                <w:color w:val="231F20"/>
                <w:sz w:val="20"/>
              </w:rPr>
              <w:t>2021</w:t>
            </w:r>
          </w:p>
        </w:tc>
        <w:tc>
          <w:tcPr>
            <w:tcW w:w="1200" w:type="dxa"/>
            <w:shd w:val="clear" w:color="auto" w:fill="D1D3D4"/>
          </w:tcPr>
          <w:p>
            <w:pPr>
              <w:pStyle w:val="TableParagraph"/>
              <w:ind w:right="66"/>
              <w:jc w:val="right"/>
              <w:rPr>
                <w:sz w:val="20"/>
              </w:rPr>
            </w:pPr>
            <w:r>
              <w:rPr>
                <w:color w:val="231F20"/>
                <w:sz w:val="20"/>
              </w:rPr>
              <w:t>74</w:t>
            </w:r>
          </w:p>
        </w:tc>
        <w:tc>
          <w:tcPr>
            <w:tcW w:w="1200" w:type="dxa"/>
            <w:shd w:val="clear" w:color="auto" w:fill="D1D3D4"/>
          </w:tcPr>
          <w:p>
            <w:pPr>
              <w:pStyle w:val="TableParagraph"/>
              <w:ind w:right="66"/>
              <w:jc w:val="right"/>
              <w:rPr>
                <w:sz w:val="20"/>
              </w:rPr>
            </w:pPr>
            <w:r>
              <w:rPr>
                <w:color w:val="231F20"/>
                <w:sz w:val="20"/>
              </w:rPr>
              <w:t>232</w:t>
            </w:r>
          </w:p>
        </w:tc>
        <w:tc>
          <w:tcPr>
            <w:tcW w:w="1747" w:type="dxa"/>
            <w:shd w:val="clear" w:color="auto" w:fill="D1D3D4"/>
          </w:tcPr>
          <w:p>
            <w:pPr>
              <w:pStyle w:val="TableParagraph"/>
              <w:ind w:left="933"/>
              <w:rPr>
                <w:sz w:val="20"/>
              </w:rPr>
            </w:pPr>
            <w:r>
              <w:rPr>
                <w:color w:val="231F20"/>
                <w:sz w:val="20"/>
              </w:rPr>
              <w:t>(41)</w:t>
            </w:r>
          </w:p>
        </w:tc>
        <w:tc>
          <w:tcPr>
            <w:tcW w:w="733" w:type="dxa"/>
            <w:shd w:val="clear" w:color="auto" w:fill="D1D3D4"/>
          </w:tcPr>
          <w:p>
            <w:pPr>
              <w:pStyle w:val="TableParagraph"/>
              <w:ind w:right="66"/>
              <w:jc w:val="right"/>
              <w:rPr>
                <w:sz w:val="20"/>
              </w:rPr>
            </w:pPr>
            <w:r>
              <w:rPr>
                <w:color w:val="231F20"/>
                <w:sz w:val="20"/>
              </w:rPr>
              <w:t>26</w:t>
            </w:r>
          </w:p>
        </w:tc>
        <w:tc>
          <w:tcPr>
            <w:tcW w:w="1200" w:type="dxa"/>
            <w:shd w:val="clear" w:color="auto" w:fill="D1D3D4"/>
          </w:tcPr>
          <w:p>
            <w:pPr>
              <w:pStyle w:val="TableParagraph"/>
              <w:ind w:right="66"/>
              <w:jc w:val="right"/>
              <w:rPr>
                <w:sz w:val="20"/>
              </w:rPr>
            </w:pPr>
            <w:r>
              <w:rPr>
                <w:color w:val="231F20"/>
                <w:sz w:val="20"/>
              </w:rPr>
              <w:t>217</w:t>
            </w:r>
          </w:p>
        </w:tc>
      </w:tr>
      <w:tr>
        <w:trPr>
          <w:trHeight w:val="315" w:hRule="exact"/>
        </w:trPr>
        <w:tc>
          <w:tcPr>
            <w:tcW w:w="3040" w:type="dxa"/>
          </w:tcPr>
          <w:p>
            <w:pPr>
              <w:pStyle w:val="TableParagraph"/>
              <w:rPr>
                <w:sz w:val="20"/>
              </w:rPr>
            </w:pPr>
            <w:r>
              <w:rPr>
                <w:color w:val="231F20"/>
                <w:sz w:val="20"/>
              </w:rPr>
              <w:t>Thereafter</w:t>
            </w:r>
          </w:p>
        </w:tc>
        <w:tc>
          <w:tcPr>
            <w:tcW w:w="1200" w:type="dxa"/>
            <w:tcBorders>
              <w:bottom w:val="single" w:sz="4" w:space="0" w:color="231F20"/>
            </w:tcBorders>
          </w:tcPr>
          <w:p>
            <w:pPr>
              <w:pStyle w:val="TableParagraph"/>
              <w:ind w:right="64"/>
              <w:jc w:val="right"/>
              <w:rPr>
                <w:sz w:val="20"/>
              </w:rPr>
            </w:pPr>
            <w:r>
              <w:rPr>
                <w:color w:val="231F20"/>
                <w:sz w:val="20"/>
              </w:rPr>
              <w:t>353</w:t>
            </w:r>
          </w:p>
        </w:tc>
        <w:tc>
          <w:tcPr>
            <w:tcW w:w="1200" w:type="dxa"/>
            <w:tcBorders>
              <w:bottom w:val="single" w:sz="4" w:space="0" w:color="231F20"/>
            </w:tcBorders>
          </w:tcPr>
          <w:p>
            <w:pPr>
              <w:pStyle w:val="TableParagraph"/>
              <w:ind w:right="64"/>
              <w:jc w:val="right"/>
              <w:rPr>
                <w:sz w:val="20"/>
              </w:rPr>
            </w:pPr>
            <w:r>
              <w:rPr>
                <w:color w:val="231F20"/>
                <w:sz w:val="20"/>
              </w:rPr>
              <w:t>715</w:t>
            </w:r>
          </w:p>
        </w:tc>
        <w:tc>
          <w:tcPr>
            <w:tcW w:w="1747" w:type="dxa"/>
            <w:tcBorders>
              <w:bottom w:val="single" w:sz="4" w:space="0" w:color="231F20"/>
            </w:tcBorders>
          </w:tcPr>
          <w:p>
            <w:pPr>
              <w:pStyle w:val="TableParagraph"/>
              <w:ind w:left="933"/>
              <w:rPr>
                <w:sz w:val="20"/>
              </w:rPr>
            </w:pPr>
            <w:r>
              <w:rPr>
                <w:color w:val="231F20"/>
                <w:sz w:val="20"/>
              </w:rPr>
              <w:t>(26)</w:t>
            </w:r>
          </w:p>
        </w:tc>
        <w:tc>
          <w:tcPr>
            <w:tcW w:w="733" w:type="dxa"/>
            <w:tcBorders>
              <w:bottom w:val="single" w:sz="4" w:space="0" w:color="231F20"/>
            </w:tcBorders>
          </w:tcPr>
          <w:p>
            <w:pPr>
              <w:pStyle w:val="TableParagraph"/>
              <w:ind w:right="64"/>
              <w:jc w:val="right"/>
              <w:rPr>
                <w:sz w:val="20"/>
              </w:rPr>
            </w:pPr>
            <w:r>
              <w:rPr>
                <w:color w:val="231F20"/>
                <w:sz w:val="20"/>
              </w:rPr>
              <w:t>608</w:t>
            </w:r>
          </w:p>
        </w:tc>
        <w:tc>
          <w:tcPr>
            <w:tcW w:w="1200" w:type="dxa"/>
            <w:tcBorders>
              <w:bottom w:val="single" w:sz="4" w:space="0" w:color="231F20"/>
            </w:tcBorders>
          </w:tcPr>
          <w:p>
            <w:pPr>
              <w:pStyle w:val="TableParagraph"/>
              <w:ind w:right="64"/>
              <w:jc w:val="right"/>
              <w:rPr>
                <w:sz w:val="20"/>
              </w:rPr>
            </w:pPr>
            <w:r>
              <w:rPr>
                <w:color w:val="231F20"/>
                <w:sz w:val="20"/>
              </w:rPr>
              <w:t>1,297</w:t>
            </w:r>
          </w:p>
        </w:tc>
      </w:tr>
      <w:tr>
        <w:trPr>
          <w:trHeight w:val="360" w:hRule="exact"/>
        </w:trPr>
        <w:tc>
          <w:tcPr>
            <w:tcW w:w="3040" w:type="dxa"/>
            <w:shd w:val="clear" w:color="auto" w:fill="D1D3D4"/>
          </w:tcPr>
          <w:p>
            <w:pPr>
              <w:pStyle w:val="TableParagraph"/>
              <w:rPr>
                <w:sz w:val="20"/>
              </w:rPr>
            </w:pPr>
            <w:r>
              <w:rPr>
                <w:color w:val="231F20"/>
                <w:sz w:val="20"/>
              </w:rPr>
              <w:t>Total minimum lease payments</w:t>
            </w:r>
          </w:p>
        </w:tc>
        <w:tc>
          <w:tcPr>
            <w:tcW w:w="1200" w:type="dxa"/>
            <w:tcBorders>
              <w:top w:val="single" w:sz="4" w:space="0" w:color="231F20"/>
            </w:tcBorders>
            <w:shd w:val="clear" w:color="auto" w:fill="D1D3D4"/>
          </w:tcPr>
          <w:p>
            <w:pPr>
              <w:pStyle w:val="TableParagraph"/>
              <w:tabs>
                <w:tab w:pos="752" w:val="left" w:leader="none"/>
              </w:tabs>
              <w:ind w:right="64"/>
              <w:jc w:val="right"/>
              <w:rPr>
                <w:sz w:val="20"/>
              </w:rPr>
            </w:pPr>
            <w:r>
              <w:rPr>
                <w:color w:val="231F20"/>
                <w:sz w:val="20"/>
              </w:rPr>
              <w:t>$</w:t>
              <w:tab/>
              <w:t>743</w:t>
            </w:r>
          </w:p>
        </w:tc>
        <w:tc>
          <w:tcPr>
            <w:tcW w:w="1200" w:type="dxa"/>
            <w:tcBorders>
              <w:top w:val="single" w:sz="4" w:space="0" w:color="231F20"/>
              <w:bottom w:val="single" w:sz="4" w:space="0" w:color="231F20"/>
            </w:tcBorders>
            <w:shd w:val="clear" w:color="auto" w:fill="D1D3D4"/>
          </w:tcPr>
          <w:p>
            <w:pPr>
              <w:pStyle w:val="TableParagraph"/>
              <w:tabs>
                <w:tab w:pos="602" w:val="left" w:leader="none"/>
              </w:tabs>
              <w:ind w:right="64"/>
              <w:jc w:val="right"/>
              <w:rPr>
                <w:sz w:val="20"/>
              </w:rPr>
            </w:pPr>
            <w:r>
              <w:rPr>
                <w:color w:val="231F20"/>
                <w:sz w:val="20"/>
              </w:rPr>
              <w:t>$</w:t>
              <w:tab/>
              <w:t>3,048</w:t>
            </w:r>
          </w:p>
        </w:tc>
        <w:tc>
          <w:tcPr>
            <w:tcW w:w="1747" w:type="dxa"/>
            <w:tcBorders>
              <w:top w:val="single" w:sz="4" w:space="0" w:color="231F20"/>
              <w:bottom w:val="single" w:sz="4" w:space="0" w:color="231F20"/>
            </w:tcBorders>
            <w:shd w:val="clear" w:color="auto" w:fill="D1D3D4"/>
          </w:tcPr>
          <w:p>
            <w:pPr>
              <w:pStyle w:val="TableParagraph"/>
              <w:spacing w:line="20" w:lineRule="exact" w:before="0"/>
              <w:ind w:left="75"/>
              <w:rPr>
                <w:sz w:val="2"/>
              </w:rPr>
            </w:pPr>
            <w:r>
              <w:rPr>
                <w:sz w:val="2"/>
              </w:rPr>
              <w:pict>
                <v:group style="width:56.5pt;height:.5pt;mso-position-horizontal-relative:char;mso-position-vertical-relative:line" coordorigin="0,0" coordsize="1130,10">
                  <v:line style="position:absolute" from="5,5" to="1125,5" stroked="true" strokeweight=".5pt" strokecolor="#231f20">
                    <v:stroke dashstyle="solid"/>
                  </v:line>
                </v:group>
              </w:pict>
            </w:r>
            <w:r>
              <w:rPr>
                <w:sz w:val="2"/>
              </w:rPr>
            </w:r>
          </w:p>
          <w:p>
            <w:pPr>
              <w:pStyle w:val="TableParagraph"/>
              <w:tabs>
                <w:tab w:pos="832" w:val="left" w:leader="none"/>
              </w:tabs>
              <w:spacing w:before="33"/>
              <w:ind w:left="80"/>
              <w:rPr>
                <w:sz w:val="20"/>
              </w:rPr>
            </w:pPr>
            <w:r>
              <w:rPr>
                <w:color w:val="231F20"/>
                <w:sz w:val="20"/>
              </w:rPr>
              <w:t>$</w:t>
              <w:tab/>
            </w:r>
            <w:r>
              <w:rPr>
                <w:color w:val="231F20"/>
                <w:spacing w:val="2"/>
                <w:sz w:val="20"/>
              </w:rPr>
              <w:t>(447)$</w:t>
            </w:r>
          </w:p>
        </w:tc>
        <w:tc>
          <w:tcPr>
            <w:tcW w:w="733" w:type="dxa"/>
            <w:tcBorders>
              <w:top w:val="single" w:sz="4" w:space="0" w:color="231F20"/>
              <w:bottom w:val="single" w:sz="4" w:space="0" w:color="231F20"/>
            </w:tcBorders>
            <w:shd w:val="clear" w:color="auto" w:fill="D1D3D4"/>
          </w:tcPr>
          <w:p>
            <w:pPr>
              <w:pStyle w:val="TableParagraph"/>
              <w:ind w:right="64"/>
              <w:jc w:val="right"/>
              <w:rPr>
                <w:sz w:val="20"/>
              </w:rPr>
            </w:pPr>
            <w:r>
              <w:rPr>
                <w:color w:val="231F20"/>
                <w:sz w:val="20"/>
              </w:rPr>
              <w:t>734</w:t>
            </w:r>
          </w:p>
        </w:tc>
        <w:tc>
          <w:tcPr>
            <w:tcW w:w="1200" w:type="dxa"/>
            <w:tcBorders>
              <w:top w:val="single" w:sz="4" w:space="0" w:color="231F20"/>
              <w:bottom w:val="single" w:sz="4" w:space="0" w:color="231F20"/>
            </w:tcBorders>
            <w:shd w:val="clear" w:color="auto" w:fill="D1D3D4"/>
          </w:tcPr>
          <w:p>
            <w:pPr>
              <w:pStyle w:val="TableParagraph"/>
              <w:tabs>
                <w:tab w:pos="602" w:val="left" w:leader="none"/>
              </w:tabs>
              <w:spacing w:before="48"/>
              <w:ind w:right="64"/>
              <w:jc w:val="right"/>
              <w:rPr>
                <w:sz w:val="20"/>
              </w:rPr>
            </w:pPr>
            <w:r>
              <w:rPr>
                <w:color w:val="231F20"/>
                <w:sz w:val="20"/>
              </w:rPr>
              <w:t>$</w:t>
              <w:tab/>
              <w:t>3,335</w:t>
            </w:r>
          </w:p>
        </w:tc>
      </w:tr>
      <w:tr>
        <w:trPr>
          <w:trHeight w:val="320" w:hRule="exact"/>
        </w:trPr>
        <w:tc>
          <w:tcPr>
            <w:tcW w:w="3040" w:type="dxa"/>
          </w:tcPr>
          <w:p>
            <w:pPr>
              <w:pStyle w:val="TableParagraph"/>
              <w:spacing w:before="113"/>
              <w:rPr>
                <w:sz w:val="20"/>
              </w:rPr>
            </w:pPr>
            <w:r>
              <w:rPr>
                <w:color w:val="231F20"/>
                <w:sz w:val="20"/>
              </w:rPr>
              <w:t>Less amount representing interest</w:t>
            </w:r>
          </w:p>
        </w:tc>
        <w:tc>
          <w:tcPr>
            <w:tcW w:w="1200" w:type="dxa"/>
            <w:tcBorders>
              <w:bottom w:val="single" w:sz="4" w:space="0" w:color="231F20"/>
            </w:tcBorders>
          </w:tcPr>
          <w:p>
            <w:pPr>
              <w:pStyle w:val="TableParagraph"/>
              <w:spacing w:before="113"/>
              <w:ind w:right="64"/>
              <w:jc w:val="right"/>
              <w:rPr>
                <w:sz w:val="20"/>
              </w:rPr>
            </w:pPr>
            <w:r>
              <w:rPr>
                <w:color w:val="231F20"/>
                <w:sz w:val="20"/>
              </w:rPr>
              <w:t>128</w:t>
            </w:r>
          </w:p>
        </w:tc>
        <w:tc>
          <w:tcPr>
            <w:tcW w:w="1200" w:type="dxa"/>
            <w:tcBorders>
              <w:top w:val="single" w:sz="4" w:space="0" w:color="231F20"/>
            </w:tcBorders>
          </w:tcPr>
          <w:p>
            <w:pPr/>
          </w:p>
        </w:tc>
        <w:tc>
          <w:tcPr>
            <w:tcW w:w="1747" w:type="dxa"/>
            <w:tcBorders>
              <w:top w:val="single" w:sz="4" w:space="0" w:color="231F20"/>
            </w:tcBorders>
          </w:tcPr>
          <w:p>
            <w:pPr/>
          </w:p>
        </w:tc>
        <w:tc>
          <w:tcPr>
            <w:tcW w:w="733" w:type="dxa"/>
            <w:tcBorders>
              <w:top w:val="single" w:sz="4" w:space="0" w:color="231F20"/>
            </w:tcBorders>
          </w:tcPr>
          <w:p>
            <w:pPr/>
          </w:p>
        </w:tc>
        <w:tc>
          <w:tcPr>
            <w:tcW w:w="1200" w:type="dxa"/>
            <w:tcBorders>
              <w:top w:val="single" w:sz="4" w:space="0" w:color="231F20"/>
            </w:tcBorders>
          </w:tcPr>
          <w:p>
            <w:pPr/>
          </w:p>
        </w:tc>
      </w:tr>
      <w:tr>
        <w:trPr>
          <w:trHeight w:val="545" w:hRule="exact"/>
        </w:trPr>
        <w:tc>
          <w:tcPr>
            <w:tcW w:w="3040" w:type="dxa"/>
            <w:shd w:val="clear" w:color="auto" w:fill="D1D3D4"/>
          </w:tcPr>
          <w:p>
            <w:pPr>
              <w:pStyle w:val="TableParagraph"/>
              <w:spacing w:line="249" w:lineRule="auto"/>
              <w:ind w:left="200" w:right="454" w:hanging="200"/>
              <w:rPr>
                <w:sz w:val="20"/>
              </w:rPr>
            </w:pPr>
            <w:r>
              <w:rPr>
                <w:color w:val="231F20"/>
                <w:sz w:val="20"/>
              </w:rPr>
              <w:t>Present value of minimum lease payments (a)</w:t>
            </w:r>
          </w:p>
        </w:tc>
        <w:tc>
          <w:tcPr>
            <w:tcW w:w="1200" w:type="dxa"/>
            <w:tcBorders>
              <w:top w:val="single" w:sz="4" w:space="0" w:color="231F20"/>
            </w:tcBorders>
            <w:shd w:val="clear" w:color="auto" w:fill="D1D3D4"/>
          </w:tcPr>
          <w:p>
            <w:pPr>
              <w:pStyle w:val="TableParagraph"/>
              <w:spacing w:before="5"/>
              <w:rPr>
                <w:b/>
                <w:sz w:val="25"/>
              </w:rPr>
            </w:pPr>
          </w:p>
          <w:p>
            <w:pPr>
              <w:pStyle w:val="TableParagraph"/>
              <w:spacing w:before="1"/>
              <w:ind w:right="64"/>
              <w:jc w:val="right"/>
              <w:rPr>
                <w:sz w:val="20"/>
              </w:rPr>
            </w:pPr>
            <w:r>
              <w:rPr>
                <w:color w:val="231F20"/>
                <w:sz w:val="20"/>
              </w:rPr>
              <w:t>615</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r>
        <w:trPr>
          <w:trHeight w:val="315" w:hRule="exact"/>
        </w:trPr>
        <w:tc>
          <w:tcPr>
            <w:tcW w:w="3040" w:type="dxa"/>
          </w:tcPr>
          <w:p>
            <w:pPr>
              <w:pStyle w:val="TableParagraph"/>
              <w:rPr>
                <w:sz w:val="20"/>
              </w:rPr>
            </w:pPr>
            <w:r>
              <w:rPr>
                <w:color w:val="231F20"/>
                <w:sz w:val="20"/>
              </w:rPr>
              <w:t>Less current portion</w:t>
            </w:r>
          </w:p>
        </w:tc>
        <w:tc>
          <w:tcPr>
            <w:tcW w:w="1200" w:type="dxa"/>
            <w:tcBorders>
              <w:bottom w:val="single" w:sz="4" w:space="0" w:color="231F20"/>
            </w:tcBorders>
          </w:tcPr>
          <w:p>
            <w:pPr>
              <w:pStyle w:val="TableParagraph"/>
              <w:ind w:right="66"/>
              <w:jc w:val="right"/>
              <w:rPr>
                <w:sz w:val="20"/>
              </w:rPr>
            </w:pPr>
            <w:r>
              <w:rPr>
                <w:color w:val="231F20"/>
                <w:sz w:val="20"/>
              </w:rPr>
              <w:t>58</w:t>
            </w:r>
          </w:p>
        </w:tc>
        <w:tc>
          <w:tcPr>
            <w:tcW w:w="1200" w:type="dxa"/>
          </w:tcPr>
          <w:p>
            <w:pPr/>
          </w:p>
        </w:tc>
        <w:tc>
          <w:tcPr>
            <w:tcW w:w="1747" w:type="dxa"/>
          </w:tcPr>
          <w:p>
            <w:pPr/>
          </w:p>
        </w:tc>
        <w:tc>
          <w:tcPr>
            <w:tcW w:w="733" w:type="dxa"/>
          </w:tcPr>
          <w:p>
            <w:pPr/>
          </w:p>
        </w:tc>
        <w:tc>
          <w:tcPr>
            <w:tcW w:w="1200" w:type="dxa"/>
          </w:tcPr>
          <w:p>
            <w:pPr/>
          </w:p>
        </w:tc>
      </w:tr>
      <w:tr>
        <w:trPr>
          <w:trHeight w:val="360" w:hRule="exact"/>
        </w:trPr>
        <w:tc>
          <w:tcPr>
            <w:tcW w:w="3040" w:type="dxa"/>
            <w:shd w:val="clear" w:color="auto" w:fill="D1D3D4"/>
          </w:tcPr>
          <w:p>
            <w:pPr>
              <w:pStyle w:val="TableParagraph"/>
              <w:rPr>
                <w:sz w:val="20"/>
              </w:rPr>
            </w:pPr>
            <w:r>
              <w:rPr>
                <w:color w:val="231F20"/>
                <w:sz w:val="20"/>
              </w:rPr>
              <w:t>Long-term portion</w:t>
            </w:r>
          </w:p>
        </w:tc>
        <w:tc>
          <w:tcPr>
            <w:tcW w:w="1200" w:type="dxa"/>
            <w:tcBorders>
              <w:top w:val="single" w:sz="4" w:space="0" w:color="231F20"/>
              <w:bottom w:val="double" w:sz="7" w:space="0" w:color="231F20"/>
            </w:tcBorders>
            <w:shd w:val="clear" w:color="auto" w:fill="D1D3D4"/>
          </w:tcPr>
          <w:p>
            <w:pPr>
              <w:pStyle w:val="TableParagraph"/>
              <w:tabs>
                <w:tab w:pos="752" w:val="left" w:leader="none"/>
              </w:tabs>
              <w:ind w:right="64"/>
              <w:jc w:val="right"/>
              <w:rPr>
                <w:sz w:val="20"/>
              </w:rPr>
            </w:pPr>
            <w:r>
              <w:rPr>
                <w:color w:val="231F20"/>
                <w:sz w:val="20"/>
              </w:rPr>
              <w:t>$</w:t>
              <w:tab/>
              <w:t>557</w:t>
            </w:r>
          </w:p>
        </w:tc>
        <w:tc>
          <w:tcPr>
            <w:tcW w:w="1200" w:type="dxa"/>
            <w:shd w:val="clear" w:color="auto" w:fill="D1D3D4"/>
          </w:tcPr>
          <w:p>
            <w:pPr/>
          </w:p>
        </w:tc>
        <w:tc>
          <w:tcPr>
            <w:tcW w:w="1747" w:type="dxa"/>
            <w:shd w:val="clear" w:color="auto" w:fill="D1D3D4"/>
          </w:tcPr>
          <w:p>
            <w:pPr/>
          </w:p>
        </w:tc>
        <w:tc>
          <w:tcPr>
            <w:tcW w:w="733" w:type="dxa"/>
            <w:shd w:val="clear" w:color="auto" w:fill="D1D3D4"/>
          </w:tcPr>
          <w:p>
            <w:pPr/>
          </w:p>
        </w:tc>
        <w:tc>
          <w:tcPr>
            <w:tcW w:w="1200" w:type="dxa"/>
            <w:shd w:val="clear" w:color="auto" w:fill="D1D3D4"/>
          </w:tcPr>
          <w:p>
            <w:pPr/>
          </w:p>
        </w:tc>
      </w:tr>
    </w:tbl>
    <w:p>
      <w:pPr>
        <w:spacing w:before="38"/>
        <w:ind w:left="120" w:right="0" w:firstLine="0"/>
        <w:jc w:val="both"/>
        <w:rPr>
          <w:sz w:val="18"/>
        </w:rPr>
      </w:pPr>
      <w:r>
        <w:rPr/>
        <w:pict>
          <v:line style="position:absolute;mso-position-horizontal-relative:page;mso-position-vertical-relative:paragraph;z-index:-374728" from="285pt,-80.947655pt" to="341pt,-80.947655pt" stroked="true" strokeweight=".5pt" strokecolor="#231f20">
            <v:stroke dashstyle="solid"/>
            <w10:wrap type="none"/>
          </v:line>
        </w:pict>
      </w:r>
      <w:r>
        <w:rPr/>
        <w:pict>
          <v:group style="position:absolute;margin-left:344.75pt;margin-top:-81.197655pt;width:56.5pt;height:2.5pt;mso-position-horizontal-relative:page;mso-position-vertical-relative:paragraph;z-index:-374704" coordorigin="6895,-1624" coordsize="1130,50">
            <v:line style="position:absolute" from="6900,-1619" to="8020,-1619" stroked="true" strokeweight=".5pt" strokecolor="#231f20">
              <v:stroke dashstyle="solid"/>
            </v:line>
            <v:line style="position:absolute" from="6900,-1579" to="8020,-1579" stroked="true" strokeweight=".5pt" strokecolor="#231f20">
              <v:stroke dashstyle="solid"/>
            </v:line>
            <w10:wrap type="none"/>
          </v:group>
        </w:pict>
      </w:r>
      <w:r>
        <w:rPr/>
        <w:pict>
          <v:line style="position:absolute;mso-position-horizontal-relative:page;mso-position-vertical-relative:paragraph;z-index:-374680" from="405pt,-80.947655pt" to="465pt,-80.947655pt" stroked="true" strokeweight=".5pt" strokecolor="#231f20">
            <v:stroke dashstyle="solid"/>
            <w10:wrap type="none"/>
          </v:line>
        </w:pict>
      </w:r>
      <w:r>
        <w:rPr>
          <w:color w:val="231F20"/>
          <w:sz w:val="18"/>
        </w:rPr>
        <w:t>* See Note 4 for further details</w:t>
      </w:r>
    </w:p>
    <w:p>
      <w:pPr>
        <w:pStyle w:val="ListParagraph"/>
        <w:numPr>
          <w:ilvl w:val="0"/>
          <w:numId w:val="17"/>
        </w:numPr>
        <w:tabs>
          <w:tab w:pos="419" w:val="left" w:leader="none"/>
        </w:tabs>
        <w:spacing w:line="240" w:lineRule="auto" w:before="95" w:after="0"/>
        <w:ind w:left="120" w:right="0" w:firstLine="0"/>
        <w:jc w:val="both"/>
        <w:rPr>
          <w:sz w:val="22"/>
        </w:rPr>
      </w:pPr>
      <w:r>
        <w:rPr>
          <w:color w:val="231F20"/>
          <w:sz w:val="22"/>
        </w:rPr>
        <w:t>Excludes lease incentive obligation of $66</w:t>
      </w:r>
      <w:r>
        <w:rPr>
          <w:color w:val="231F20"/>
          <w:spacing w:val="-1"/>
          <w:sz w:val="22"/>
        </w:rPr>
        <w:t> </w:t>
      </w:r>
      <w:r>
        <w:rPr>
          <w:color w:val="231F20"/>
          <w:sz w:val="22"/>
        </w:rPr>
        <w:t>million.</w:t>
      </w:r>
    </w:p>
    <w:p>
      <w:pPr>
        <w:pStyle w:val="ListParagraph"/>
        <w:numPr>
          <w:ilvl w:val="0"/>
          <w:numId w:val="17"/>
        </w:numPr>
        <w:tabs>
          <w:tab w:pos="469" w:val="left" w:leader="none"/>
        </w:tabs>
        <w:spacing w:line="247" w:lineRule="auto" w:before="7" w:after="0"/>
        <w:ind w:left="120" w:right="137" w:firstLine="0"/>
        <w:jc w:val="both"/>
        <w:rPr>
          <w:sz w:val="22"/>
        </w:rPr>
      </w:pPr>
      <w:r>
        <w:rPr>
          <w:color w:val="231F20"/>
          <w:sz w:val="22"/>
        </w:rPr>
        <w:t>Includes a portion of the Company’s Construction obligation that has not yet been placed into service as of December 31, 2016. See Note 4 for further</w:t>
      </w:r>
      <w:r>
        <w:rPr>
          <w:color w:val="231F20"/>
          <w:spacing w:val="-2"/>
          <w:sz w:val="22"/>
        </w:rPr>
        <w:t> </w:t>
      </w:r>
      <w:r>
        <w:rPr>
          <w:color w:val="231F20"/>
          <w:sz w:val="22"/>
        </w:rPr>
        <w:t>information.</w:t>
      </w:r>
    </w:p>
    <w:p>
      <w:pPr>
        <w:pStyle w:val="BodyText"/>
        <w:spacing w:line="247" w:lineRule="auto" w:before="209"/>
        <w:ind w:left="120" w:right="137"/>
        <w:jc w:val="both"/>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spacing w:after="0" w:line="247" w:lineRule="auto"/>
        <w:jc w:val="both"/>
        <w:sectPr>
          <w:type w:val="continuous"/>
          <w:pgSz w:w="11880" w:h="15480"/>
          <w:pgMar w:top="1260" w:bottom="280" w:left="1260" w:right="1240"/>
        </w:sectPr>
      </w:pPr>
    </w:p>
    <w:p>
      <w:pPr>
        <w:pStyle w:val="BodyText"/>
        <w:spacing w:line="247" w:lineRule="auto" w:before="74"/>
        <w:ind w:left="100" w:right="117"/>
        <w:jc w:val="both"/>
      </w:pPr>
      <w:bookmarkStart w:name="8. COMMON STOCK" w:id="32"/>
      <w:bookmarkEnd w:id="32"/>
      <w:r>
        <w:rPr/>
      </w:r>
      <w:bookmarkStart w:name="9. STOCK PLANS" w:id="33"/>
      <w:bookmarkEnd w:id="33"/>
      <w:r>
        <w:rPr/>
      </w:r>
      <w:r>
        <w:rPr>
          <w:color w:val="231F20"/>
        </w:rPr>
        <w:t>On July 9, 2012, the Company signed an agreement with Delta Air Lines, Inc. and Boeing Capital Corp. to lease or sublease all 88 of AirTran’s B717s to Delta at agreed-upon lease rates. The first converted B717 was delivered to Delta in September 2013, and as of December 31, 2016, the  Company had delivered all B717s to Delta. A total of 76 of the B717s are on operating lease, ten are owned, and two are on capital lease.</w:t>
      </w:r>
    </w:p>
    <w:p>
      <w:pPr>
        <w:pStyle w:val="BodyText"/>
        <w:spacing w:before="2"/>
        <w:rPr>
          <w:sz w:val="19"/>
        </w:rPr>
      </w:pPr>
    </w:p>
    <w:p>
      <w:pPr>
        <w:pStyle w:val="BodyText"/>
        <w:spacing w:line="247" w:lineRule="auto"/>
        <w:ind w:left="100" w:right="117"/>
        <w:jc w:val="both"/>
      </w:pPr>
      <w:r>
        <w:rPr>
          <w:color w:val="231F20"/>
        </w:rPr>
        <w:t>The </w:t>
      </w:r>
      <w:r>
        <w:rPr>
          <w:color w:val="231F20"/>
          <w:spacing w:val="-3"/>
        </w:rPr>
        <w:t>Company paid </w:t>
      </w:r>
      <w:r>
        <w:rPr>
          <w:color w:val="231F20"/>
        </w:rPr>
        <w:t>the </w:t>
      </w:r>
      <w:r>
        <w:rPr>
          <w:color w:val="231F20"/>
          <w:spacing w:val="-3"/>
        </w:rPr>
        <w:t>majority </w:t>
      </w:r>
      <w:r>
        <w:rPr>
          <w:color w:val="231F20"/>
        </w:rPr>
        <w:t>of the </w:t>
      </w:r>
      <w:r>
        <w:rPr>
          <w:color w:val="231F20"/>
          <w:spacing w:val="-3"/>
        </w:rPr>
        <w:t>costs </w:t>
      </w:r>
      <w:r>
        <w:rPr>
          <w:color w:val="231F20"/>
        </w:rPr>
        <w:t>to </w:t>
      </w:r>
      <w:r>
        <w:rPr>
          <w:color w:val="231F20"/>
          <w:spacing w:val="-3"/>
        </w:rPr>
        <w:t>convert </w:t>
      </w:r>
      <w:r>
        <w:rPr>
          <w:color w:val="231F20"/>
        </w:rPr>
        <w:t>the </w:t>
      </w:r>
      <w:r>
        <w:rPr>
          <w:color w:val="231F20"/>
          <w:spacing w:val="-3"/>
        </w:rPr>
        <w:t>aircraft </w:t>
      </w:r>
      <w:r>
        <w:rPr>
          <w:color w:val="231F20"/>
        </w:rPr>
        <w:t>to the </w:t>
      </w:r>
      <w:r>
        <w:rPr>
          <w:color w:val="231F20"/>
          <w:spacing w:val="-3"/>
        </w:rPr>
        <w:t>Delta livery </w:t>
      </w:r>
      <w:r>
        <w:rPr>
          <w:color w:val="231F20"/>
        </w:rPr>
        <w:t>and </w:t>
      </w:r>
      <w:r>
        <w:rPr>
          <w:color w:val="231F20"/>
          <w:spacing w:val="-3"/>
        </w:rPr>
        <w:t>perform certain </w:t>
      </w:r>
      <w:r>
        <w:rPr>
          <w:color w:val="231F20"/>
        </w:rPr>
        <w:t>maintenance checks prior to the delivery of each aircraft. The agreement to pay these conversion </w:t>
      </w:r>
      <w:r>
        <w:rPr>
          <w:color w:val="231F20"/>
          <w:spacing w:val="-2"/>
        </w:rPr>
        <w:t>and </w:t>
      </w:r>
      <w:r>
        <w:rPr>
          <w:color w:val="231F20"/>
        </w:rPr>
        <w:t>maintenance costs is a “lease incentive” under applicable accounting guidance. The sublease terms </w:t>
      </w:r>
      <w:r>
        <w:rPr>
          <w:color w:val="231F20"/>
          <w:spacing w:val="-2"/>
        </w:rPr>
        <w:t>for </w:t>
      </w:r>
      <w:r>
        <w:rPr>
          <w:color w:val="231F20"/>
        </w:rPr>
        <w:t>the 76 B717s on operating lease and the two B717s on capital lease coincide with the Company’s remaining</w:t>
      </w:r>
      <w:r>
        <w:rPr>
          <w:color w:val="231F20"/>
          <w:spacing w:val="-3"/>
        </w:rPr>
        <w:t> </w:t>
      </w:r>
      <w:r>
        <w:rPr>
          <w:color w:val="231F20"/>
        </w:rPr>
        <w:t>lease</w:t>
      </w:r>
      <w:r>
        <w:rPr>
          <w:color w:val="231F20"/>
          <w:spacing w:val="-3"/>
        </w:rPr>
        <w:t> </w:t>
      </w:r>
      <w:r>
        <w:rPr>
          <w:color w:val="231F20"/>
        </w:rPr>
        <w:t>terms</w:t>
      </w:r>
      <w:r>
        <w:rPr>
          <w:color w:val="231F20"/>
          <w:spacing w:val="-3"/>
        </w:rPr>
        <w:t> </w:t>
      </w:r>
      <w:r>
        <w:rPr>
          <w:color w:val="231F20"/>
        </w:rPr>
        <w:t>for</w:t>
      </w:r>
      <w:r>
        <w:rPr>
          <w:color w:val="231F20"/>
          <w:spacing w:val="-4"/>
        </w:rPr>
        <w:t> </w:t>
      </w:r>
      <w:r>
        <w:rPr>
          <w:color w:val="231F20"/>
        </w:rPr>
        <w:t>these</w:t>
      </w:r>
      <w:r>
        <w:rPr>
          <w:color w:val="231F20"/>
          <w:spacing w:val="-3"/>
        </w:rPr>
        <w:t> </w:t>
      </w:r>
      <w:r>
        <w:rPr>
          <w:color w:val="231F20"/>
        </w:rPr>
        <w:t>aircraft</w:t>
      </w:r>
      <w:r>
        <w:rPr>
          <w:color w:val="231F20"/>
          <w:spacing w:val="-4"/>
        </w:rPr>
        <w:t> </w:t>
      </w:r>
      <w:r>
        <w:rPr>
          <w:color w:val="231F20"/>
        </w:rPr>
        <w:t>from</w:t>
      </w:r>
      <w:r>
        <w:rPr>
          <w:color w:val="231F20"/>
          <w:spacing w:val="-4"/>
        </w:rPr>
        <w:t> </w:t>
      </w:r>
      <w:r>
        <w:rPr>
          <w:color w:val="231F20"/>
        </w:rPr>
        <w:t>the</w:t>
      </w:r>
      <w:r>
        <w:rPr>
          <w:color w:val="231F20"/>
          <w:spacing w:val="-3"/>
        </w:rPr>
        <w:t> </w:t>
      </w:r>
      <w:r>
        <w:rPr>
          <w:color w:val="231F20"/>
        </w:rPr>
        <w:t>original</w:t>
      </w:r>
      <w:r>
        <w:rPr>
          <w:color w:val="231F20"/>
          <w:spacing w:val="-4"/>
        </w:rPr>
        <w:t> </w:t>
      </w:r>
      <w:r>
        <w:rPr>
          <w:color w:val="231F20"/>
        </w:rPr>
        <w:t>lessor,</w:t>
      </w:r>
      <w:r>
        <w:rPr>
          <w:color w:val="231F20"/>
          <w:spacing w:val="-3"/>
        </w:rPr>
        <w:t> </w:t>
      </w:r>
      <w:r>
        <w:rPr>
          <w:color w:val="231F20"/>
        </w:rPr>
        <w:t>which</w:t>
      </w:r>
      <w:r>
        <w:rPr>
          <w:color w:val="231F20"/>
          <w:spacing w:val="-4"/>
        </w:rPr>
        <w:t> </w:t>
      </w:r>
      <w:r>
        <w:rPr>
          <w:color w:val="231F20"/>
        </w:rPr>
        <w:t>range</w:t>
      </w:r>
      <w:r>
        <w:rPr>
          <w:color w:val="231F20"/>
          <w:spacing w:val="-4"/>
        </w:rPr>
        <w:t> </w:t>
      </w:r>
      <w:r>
        <w:rPr>
          <w:color w:val="231F20"/>
        </w:rPr>
        <w:t>from</w:t>
      </w:r>
      <w:r>
        <w:rPr>
          <w:color w:val="231F20"/>
          <w:spacing w:val="-5"/>
        </w:rPr>
        <w:t> </w:t>
      </w:r>
      <w:r>
        <w:rPr>
          <w:color w:val="231F20"/>
        </w:rPr>
        <w:t>approximately</w:t>
      </w:r>
      <w:r>
        <w:rPr>
          <w:color w:val="231F20"/>
          <w:spacing w:val="-4"/>
        </w:rPr>
        <w:t> </w:t>
      </w:r>
      <w:r>
        <w:rPr>
          <w:color w:val="231F20"/>
        </w:rPr>
        <w:t>two</w:t>
      </w:r>
      <w:r>
        <w:rPr>
          <w:color w:val="231F20"/>
          <w:spacing w:val="-4"/>
        </w:rPr>
        <w:t> </w:t>
      </w:r>
      <w:r>
        <w:rPr>
          <w:color w:val="231F20"/>
        </w:rPr>
        <w:t>to seven</w:t>
      </w:r>
      <w:r>
        <w:rPr>
          <w:color w:val="231F20"/>
          <w:spacing w:val="-10"/>
        </w:rPr>
        <w:t> </w:t>
      </w:r>
      <w:r>
        <w:rPr>
          <w:color w:val="231F20"/>
        </w:rPr>
        <w:t>years.</w:t>
      </w:r>
      <w:r>
        <w:rPr>
          <w:color w:val="231F20"/>
          <w:spacing w:val="-10"/>
        </w:rPr>
        <w:t> </w:t>
      </w:r>
      <w:r>
        <w:rPr>
          <w:color w:val="231F20"/>
        </w:rPr>
        <w:t>The</w:t>
      </w:r>
      <w:r>
        <w:rPr>
          <w:color w:val="231F20"/>
          <w:spacing w:val="-10"/>
        </w:rPr>
        <w:t> </w:t>
      </w:r>
      <w:r>
        <w:rPr>
          <w:color w:val="231F20"/>
        </w:rPr>
        <w:t>leasing</w:t>
      </w:r>
      <w:r>
        <w:rPr>
          <w:color w:val="231F20"/>
          <w:spacing w:val="-10"/>
        </w:rPr>
        <w:t> </w:t>
      </w:r>
      <w:r>
        <w:rPr>
          <w:color w:val="231F20"/>
        </w:rPr>
        <w:t>of</w:t>
      </w:r>
      <w:r>
        <w:rPr>
          <w:color w:val="231F20"/>
          <w:spacing w:val="-12"/>
        </w:rPr>
        <w:t> </w:t>
      </w:r>
      <w:r>
        <w:rPr>
          <w:color w:val="231F20"/>
        </w:rPr>
        <w:t>the</w:t>
      </w:r>
      <w:r>
        <w:rPr>
          <w:color w:val="231F20"/>
          <w:spacing w:val="-11"/>
        </w:rPr>
        <w:t> </w:t>
      </w:r>
      <w:r>
        <w:rPr>
          <w:color w:val="231F20"/>
        </w:rPr>
        <w:t>ten</w:t>
      </w:r>
      <w:r>
        <w:rPr>
          <w:color w:val="231F20"/>
          <w:spacing w:val="-11"/>
        </w:rPr>
        <w:t> </w:t>
      </w:r>
      <w:r>
        <w:rPr>
          <w:color w:val="231F20"/>
        </w:rPr>
        <w:t>B717s</w:t>
      </w:r>
      <w:r>
        <w:rPr>
          <w:color w:val="231F20"/>
          <w:spacing w:val="-11"/>
        </w:rPr>
        <w:t> </w:t>
      </w:r>
      <w:r>
        <w:rPr>
          <w:color w:val="231F20"/>
        </w:rPr>
        <w:t>that</w:t>
      </w:r>
      <w:r>
        <w:rPr>
          <w:color w:val="231F20"/>
          <w:spacing w:val="-12"/>
        </w:rPr>
        <w:t> </w:t>
      </w:r>
      <w:r>
        <w:rPr>
          <w:color w:val="231F20"/>
        </w:rPr>
        <w:t>are</w:t>
      </w:r>
      <w:r>
        <w:rPr>
          <w:color w:val="231F20"/>
          <w:spacing w:val="-11"/>
        </w:rPr>
        <w:t> </w:t>
      </w:r>
      <w:r>
        <w:rPr>
          <w:color w:val="231F20"/>
        </w:rPr>
        <w:t>owned</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is</w:t>
      </w:r>
      <w:r>
        <w:rPr>
          <w:color w:val="231F20"/>
          <w:spacing w:val="-11"/>
        </w:rPr>
        <w:t> </w:t>
      </w:r>
      <w:r>
        <w:rPr>
          <w:color w:val="231F20"/>
        </w:rPr>
        <w:t>subject</w:t>
      </w:r>
      <w:r>
        <w:rPr>
          <w:color w:val="231F20"/>
          <w:spacing w:val="-12"/>
        </w:rPr>
        <w:t> </w:t>
      </w:r>
      <w:r>
        <w:rPr>
          <w:color w:val="231F20"/>
        </w:rPr>
        <w:t>to</w:t>
      </w:r>
      <w:r>
        <w:rPr>
          <w:color w:val="231F20"/>
          <w:spacing w:val="-11"/>
        </w:rPr>
        <w:t> </w:t>
      </w:r>
      <w:r>
        <w:rPr>
          <w:color w:val="231F20"/>
        </w:rPr>
        <w:t>certain</w:t>
      </w:r>
      <w:r>
        <w:rPr>
          <w:color w:val="231F20"/>
          <w:spacing w:val="-11"/>
        </w:rPr>
        <w:t> </w:t>
      </w:r>
      <w:r>
        <w:rPr>
          <w:color w:val="231F20"/>
        </w:rPr>
        <w:t>conditions, and</w:t>
      </w:r>
      <w:r>
        <w:rPr>
          <w:color w:val="231F20"/>
          <w:spacing w:val="-3"/>
        </w:rPr>
        <w:t> </w:t>
      </w:r>
      <w:r>
        <w:rPr>
          <w:color w:val="231F20"/>
        </w:rPr>
        <w:t>the</w:t>
      </w:r>
      <w:r>
        <w:rPr>
          <w:color w:val="231F20"/>
          <w:spacing w:val="-3"/>
        </w:rPr>
        <w:t> </w:t>
      </w:r>
      <w:r>
        <w:rPr>
          <w:color w:val="231F20"/>
        </w:rPr>
        <w:t>lease</w:t>
      </w:r>
      <w:r>
        <w:rPr>
          <w:color w:val="231F20"/>
          <w:spacing w:val="-3"/>
        </w:rPr>
        <w:t> </w:t>
      </w:r>
      <w:r>
        <w:rPr>
          <w:color w:val="231F20"/>
        </w:rPr>
        <w:t>terms</w:t>
      </w:r>
      <w:r>
        <w:rPr>
          <w:color w:val="231F20"/>
          <w:spacing w:val="-3"/>
        </w:rPr>
        <w:t> </w:t>
      </w:r>
      <w:r>
        <w:rPr>
          <w:color w:val="231F20"/>
        </w:rPr>
        <w:t>are</w:t>
      </w:r>
      <w:r>
        <w:rPr>
          <w:color w:val="231F20"/>
          <w:spacing w:val="-3"/>
        </w:rPr>
        <w:t> </w:t>
      </w:r>
      <w:r>
        <w:rPr>
          <w:color w:val="231F20"/>
        </w:rPr>
        <w:t>for</w:t>
      </w:r>
      <w:r>
        <w:rPr>
          <w:color w:val="231F20"/>
          <w:spacing w:val="-4"/>
        </w:rPr>
        <w:t> </w:t>
      </w:r>
      <w:r>
        <w:rPr>
          <w:color w:val="231F20"/>
        </w:rPr>
        <w:t>up</w:t>
      </w:r>
      <w:r>
        <w:rPr>
          <w:color w:val="231F20"/>
          <w:spacing w:val="-3"/>
        </w:rPr>
        <w:t> </w:t>
      </w:r>
      <w:r>
        <w:rPr>
          <w:color w:val="231F20"/>
        </w:rPr>
        <w:t>to</w:t>
      </w:r>
      <w:r>
        <w:rPr>
          <w:color w:val="231F20"/>
          <w:spacing w:val="-3"/>
        </w:rPr>
        <w:t> </w:t>
      </w:r>
      <w:r>
        <w:rPr>
          <w:color w:val="231F20"/>
        </w:rPr>
        <w:t>six</w:t>
      </w:r>
      <w:r>
        <w:rPr>
          <w:color w:val="231F20"/>
          <w:spacing w:val="-3"/>
        </w:rPr>
        <w:t> </w:t>
      </w:r>
      <w:r>
        <w:rPr>
          <w:color w:val="231F20"/>
        </w:rPr>
        <w:t>years,</w:t>
      </w:r>
      <w:r>
        <w:rPr>
          <w:color w:val="231F20"/>
          <w:spacing w:val="-3"/>
        </w:rPr>
        <w:t> </w:t>
      </w:r>
      <w:r>
        <w:rPr>
          <w:color w:val="231F20"/>
        </w:rPr>
        <w:t>after</w:t>
      </w:r>
      <w:r>
        <w:rPr>
          <w:color w:val="231F20"/>
          <w:spacing w:val="-4"/>
        </w:rPr>
        <w:t> </w:t>
      </w:r>
      <w:r>
        <w:rPr>
          <w:color w:val="231F20"/>
        </w:rPr>
        <w:t>which</w:t>
      </w:r>
      <w:r>
        <w:rPr>
          <w:color w:val="231F20"/>
          <w:spacing w:val="-3"/>
        </w:rPr>
        <w:t> </w:t>
      </w:r>
      <w:r>
        <w:rPr>
          <w:color w:val="231F20"/>
        </w:rPr>
        <w:t>Delta</w:t>
      </w:r>
      <w:r>
        <w:rPr>
          <w:color w:val="231F20"/>
          <w:spacing w:val="-3"/>
        </w:rPr>
        <w:t> </w:t>
      </w:r>
      <w:r>
        <w:rPr>
          <w:color w:val="231F20"/>
        </w:rPr>
        <w:t>will</w:t>
      </w:r>
      <w:r>
        <w:rPr>
          <w:color w:val="231F20"/>
          <w:spacing w:val="-4"/>
        </w:rPr>
        <w:t> </w:t>
      </w:r>
      <w:r>
        <w:rPr>
          <w:color w:val="231F20"/>
        </w:rPr>
        <w:t>have</w:t>
      </w:r>
      <w:r>
        <w:rPr>
          <w:color w:val="231F20"/>
          <w:spacing w:val="-3"/>
        </w:rPr>
        <w:t> </w:t>
      </w:r>
      <w:r>
        <w:rPr>
          <w:color w:val="231F20"/>
        </w:rPr>
        <w:t>the</w:t>
      </w:r>
      <w:r>
        <w:rPr>
          <w:color w:val="231F20"/>
          <w:spacing w:val="-3"/>
        </w:rPr>
        <w:t> </w:t>
      </w:r>
      <w:r>
        <w:rPr>
          <w:color w:val="231F20"/>
        </w:rPr>
        <w:t>option</w:t>
      </w:r>
      <w:r>
        <w:rPr>
          <w:color w:val="231F20"/>
          <w:spacing w:val="-3"/>
        </w:rPr>
        <w:t> </w:t>
      </w:r>
      <w:r>
        <w:rPr>
          <w:color w:val="231F20"/>
        </w:rPr>
        <w:t>to</w:t>
      </w:r>
      <w:r>
        <w:rPr>
          <w:color w:val="231F20"/>
          <w:spacing w:val="-3"/>
        </w:rPr>
        <w:t> </w:t>
      </w:r>
      <w:r>
        <w:rPr>
          <w:color w:val="231F20"/>
        </w:rPr>
        <w:t>purchase</w:t>
      </w:r>
      <w:r>
        <w:rPr>
          <w:color w:val="231F20"/>
          <w:spacing w:val="-3"/>
        </w:rPr>
        <w:t> </w:t>
      </w:r>
      <w:r>
        <w:rPr>
          <w:color w:val="231F20"/>
        </w:rPr>
        <w:t>the</w:t>
      </w:r>
      <w:r>
        <w:rPr>
          <w:color w:val="231F20"/>
          <w:spacing w:val="-4"/>
        </w:rPr>
        <w:t> </w:t>
      </w:r>
      <w:r>
        <w:rPr>
          <w:color w:val="231F20"/>
        </w:rPr>
        <w:t>aircraft at</w:t>
      </w:r>
      <w:r>
        <w:rPr>
          <w:color w:val="231F20"/>
          <w:spacing w:val="-5"/>
        </w:rPr>
        <w:t> </w:t>
      </w:r>
      <w:r>
        <w:rPr>
          <w:color w:val="231F20"/>
        </w:rPr>
        <w:t>the</w:t>
      </w:r>
      <w:r>
        <w:rPr>
          <w:color w:val="231F20"/>
          <w:spacing w:val="-4"/>
        </w:rPr>
        <w:t> </w:t>
      </w:r>
      <w:r>
        <w:rPr>
          <w:color w:val="231F20"/>
        </w:rPr>
        <w:t>then-prevailing</w:t>
      </w:r>
      <w:r>
        <w:rPr>
          <w:color w:val="231F20"/>
          <w:spacing w:val="-4"/>
        </w:rPr>
        <w:t> </w:t>
      </w:r>
      <w:r>
        <w:rPr>
          <w:color w:val="231F20"/>
        </w:rPr>
        <w:t>market</w:t>
      </w:r>
      <w:r>
        <w:rPr>
          <w:color w:val="231F20"/>
          <w:spacing w:val="-5"/>
        </w:rPr>
        <w:t> </w:t>
      </w:r>
      <w:r>
        <w:rPr>
          <w:color w:val="231F20"/>
        </w:rPr>
        <w:t>value.</w:t>
      </w:r>
      <w:r>
        <w:rPr>
          <w:color w:val="231F20"/>
          <w:spacing w:val="-4"/>
        </w:rPr>
        <w:t> </w:t>
      </w:r>
      <w:r>
        <w:rPr>
          <w:color w:val="231F20"/>
        </w:rPr>
        <w:t>The</w:t>
      </w:r>
      <w:r>
        <w:rPr>
          <w:color w:val="231F20"/>
          <w:spacing w:val="-5"/>
        </w:rPr>
        <w:t> </w:t>
      </w:r>
      <w:r>
        <w:rPr>
          <w:color w:val="231F20"/>
        </w:rPr>
        <w:t>ten</w:t>
      </w:r>
      <w:r>
        <w:rPr>
          <w:color w:val="231F20"/>
          <w:spacing w:val="-5"/>
        </w:rPr>
        <w:t> </w:t>
      </w:r>
      <w:r>
        <w:rPr>
          <w:color w:val="231F20"/>
        </w:rPr>
        <w:t>owned</w:t>
      </w:r>
      <w:r>
        <w:rPr>
          <w:color w:val="231F20"/>
          <w:spacing w:val="-5"/>
        </w:rPr>
        <w:t> </w:t>
      </w:r>
      <w:r>
        <w:rPr>
          <w:color w:val="231F20"/>
        </w:rPr>
        <w:t>B717s</w:t>
      </w:r>
      <w:r>
        <w:rPr>
          <w:color w:val="231F20"/>
          <w:spacing w:val="-5"/>
        </w:rPr>
        <w:t> </w:t>
      </w:r>
      <w:r>
        <w:rPr>
          <w:color w:val="231F20"/>
        </w:rPr>
        <w:t>are</w:t>
      </w:r>
      <w:r>
        <w:rPr>
          <w:color w:val="231F20"/>
          <w:spacing w:val="-5"/>
        </w:rPr>
        <w:t> </w:t>
      </w:r>
      <w:r>
        <w:rPr>
          <w:color w:val="231F20"/>
        </w:rPr>
        <w:t>accounted</w:t>
      </w:r>
      <w:r>
        <w:rPr>
          <w:color w:val="231F20"/>
          <w:spacing w:val="-5"/>
        </w:rPr>
        <w:t> </w:t>
      </w:r>
      <w:r>
        <w:rPr>
          <w:color w:val="231F20"/>
        </w:rPr>
        <w:t>for</w:t>
      </w:r>
      <w:r>
        <w:rPr>
          <w:color w:val="231F20"/>
          <w:spacing w:val="-6"/>
        </w:rPr>
        <w:t> </w:t>
      </w:r>
      <w:r>
        <w:rPr>
          <w:color w:val="231F20"/>
        </w:rPr>
        <w:t>as</w:t>
      </w:r>
      <w:r>
        <w:rPr>
          <w:color w:val="231F20"/>
          <w:spacing w:val="-5"/>
        </w:rPr>
        <w:t> </w:t>
      </w:r>
      <w:r>
        <w:rPr>
          <w:color w:val="231F20"/>
        </w:rPr>
        <w:t>sales</w:t>
      </w:r>
      <w:r>
        <w:rPr>
          <w:color w:val="231F20"/>
          <w:spacing w:val="-5"/>
        </w:rPr>
        <w:t> </w:t>
      </w:r>
      <w:r>
        <w:rPr>
          <w:color w:val="231F20"/>
        </w:rPr>
        <w:t>type</w:t>
      </w:r>
      <w:r>
        <w:rPr>
          <w:color w:val="231F20"/>
          <w:spacing w:val="-5"/>
        </w:rPr>
        <w:t> </w:t>
      </w:r>
      <w:r>
        <w:rPr>
          <w:color w:val="231F20"/>
        </w:rPr>
        <w:t>leases,</w:t>
      </w:r>
      <w:r>
        <w:rPr>
          <w:color w:val="231F20"/>
          <w:spacing w:val="-5"/>
        </w:rPr>
        <w:t> </w:t>
      </w:r>
      <w:r>
        <w:rPr>
          <w:color w:val="231F20"/>
        </w:rPr>
        <w:t>the</w:t>
      </w:r>
      <w:r>
        <w:rPr>
          <w:color w:val="231F20"/>
          <w:spacing w:val="-5"/>
        </w:rPr>
        <w:t> </w:t>
      </w:r>
      <w:r>
        <w:rPr>
          <w:color w:val="231F20"/>
          <w:spacing w:val="-2"/>
        </w:rPr>
        <w:t>two </w:t>
      </w:r>
      <w:r>
        <w:rPr>
          <w:color w:val="231F20"/>
        </w:rPr>
        <w:t>B717s classified by the Company as capital leases are accounted for as direct financing leases, and </w:t>
      </w:r>
      <w:r>
        <w:rPr>
          <w:color w:val="231F20"/>
          <w:spacing w:val="-2"/>
        </w:rPr>
        <w:t>the </w:t>
      </w:r>
      <w:r>
        <w:rPr>
          <w:color w:val="231F20"/>
        </w:rPr>
        <w:t>remaining 76 subleases are accounted for as operating leases with Delta. There are no contingent payments</w:t>
      </w:r>
      <w:r>
        <w:rPr>
          <w:color w:val="231F20"/>
          <w:spacing w:val="-14"/>
        </w:rPr>
        <w:t> </w:t>
      </w:r>
      <w:r>
        <w:rPr>
          <w:color w:val="231F20"/>
        </w:rPr>
        <w:t>and</w:t>
      </w:r>
      <w:r>
        <w:rPr>
          <w:color w:val="231F20"/>
          <w:spacing w:val="-14"/>
        </w:rPr>
        <w:t> </w:t>
      </w:r>
      <w:r>
        <w:rPr>
          <w:color w:val="231F20"/>
        </w:rPr>
        <w:t>no</w:t>
      </w:r>
      <w:r>
        <w:rPr>
          <w:color w:val="231F20"/>
          <w:spacing w:val="-14"/>
        </w:rPr>
        <w:t> </w:t>
      </w:r>
      <w:r>
        <w:rPr>
          <w:color w:val="231F20"/>
        </w:rPr>
        <w:t>significant</w:t>
      </w:r>
      <w:r>
        <w:rPr>
          <w:color w:val="231F20"/>
          <w:spacing w:val="-15"/>
        </w:rPr>
        <w:t> </w:t>
      </w:r>
      <w:r>
        <w:rPr>
          <w:color w:val="231F20"/>
        </w:rPr>
        <w:t>residual</w:t>
      </w:r>
      <w:r>
        <w:rPr>
          <w:color w:val="231F20"/>
          <w:spacing w:val="-15"/>
        </w:rPr>
        <w:t> </w:t>
      </w:r>
      <w:r>
        <w:rPr>
          <w:color w:val="231F20"/>
        </w:rPr>
        <w:t>value</w:t>
      </w:r>
      <w:r>
        <w:rPr>
          <w:color w:val="231F20"/>
          <w:spacing w:val="-14"/>
        </w:rPr>
        <w:t> </w:t>
      </w:r>
      <w:r>
        <w:rPr>
          <w:color w:val="231F20"/>
        </w:rPr>
        <w:t>conditions</w:t>
      </w:r>
      <w:r>
        <w:rPr>
          <w:color w:val="231F20"/>
          <w:spacing w:val="-14"/>
        </w:rPr>
        <w:t> </w:t>
      </w:r>
      <w:r>
        <w:rPr>
          <w:color w:val="231F20"/>
        </w:rPr>
        <w:t>associated</w:t>
      </w:r>
      <w:r>
        <w:rPr>
          <w:color w:val="231F20"/>
          <w:spacing w:val="-14"/>
        </w:rPr>
        <w:t> </w:t>
      </w:r>
      <w:r>
        <w:rPr>
          <w:color w:val="231F20"/>
        </w:rPr>
        <w:t>with</w:t>
      </w:r>
      <w:r>
        <w:rPr>
          <w:color w:val="231F20"/>
          <w:spacing w:val="-14"/>
        </w:rPr>
        <w:t> </w:t>
      </w:r>
      <w:r>
        <w:rPr>
          <w:color w:val="231F20"/>
        </w:rPr>
        <w:t>the</w:t>
      </w:r>
      <w:r>
        <w:rPr>
          <w:color w:val="231F20"/>
          <w:spacing w:val="-14"/>
        </w:rPr>
        <w:t> </w:t>
      </w:r>
      <w:r>
        <w:rPr>
          <w:color w:val="231F20"/>
          <w:spacing w:val="-3"/>
        </w:rPr>
        <w:t>transaction.</w:t>
      </w:r>
    </w:p>
    <w:p>
      <w:pPr>
        <w:pStyle w:val="BodyText"/>
        <w:spacing w:before="2"/>
        <w:rPr>
          <w:sz w:val="19"/>
        </w:rPr>
      </w:pPr>
    </w:p>
    <w:p>
      <w:pPr>
        <w:pStyle w:val="BodyText"/>
        <w:spacing w:line="247" w:lineRule="auto"/>
        <w:ind w:left="100" w:right="117"/>
        <w:jc w:val="both"/>
      </w:pPr>
      <w:r>
        <w:rPr>
          <w:color w:val="231F20"/>
        </w:rPr>
        <w:t>The accounting for this transaction was based on the guidance provided for lease transactions. The Company recorded an initial charge of approximately $137 million during third quarter 2012, representing the remaining estimated cost, at the scheduled date of delivery of each B717 to Delta (including the conversion, maintenance, and other contractual costs to be incurred), of the Company’s lease of the 76 B717s that are accounted for as operating leases, net of the future sublease income from Delta and the remaining unfavorable aircraft lease liability established as of the acquisition date. During 2014, the Company recorded an additional $22 million in expense for its revised estimate of conversion costs for these B717s, and an additional $9 million associated with the extension of time between when the Company removed the aircraft from revenue service, on December 28, 2014, and when they entered the conversion process. The charges recorded by the Company for this transaction were included as a component of Acquisition and integration costs in the Company’s Consolidated Statement of Income and were included as a component of Other, net in Cash flows from operating activities in the Company’s Consolidated Statement of Cash Flows, and the corresponding liability for this transaction, which was not material as of December 31, 2016 or 2015, is included as a component of Current liabilities and Other noncurrent liabilities in the Company’s Consolidated Balance</w:t>
      </w:r>
      <w:r>
        <w:rPr>
          <w:color w:val="231F20"/>
          <w:spacing w:val="-4"/>
        </w:rPr>
        <w:t> </w:t>
      </w:r>
      <w:r>
        <w:rPr>
          <w:color w:val="231F20"/>
        </w:rPr>
        <w:t>Sheet.</w:t>
      </w:r>
    </w:p>
    <w:p>
      <w:pPr>
        <w:pStyle w:val="BodyText"/>
        <w:spacing w:before="2"/>
        <w:rPr>
          <w:sz w:val="19"/>
        </w:rPr>
      </w:pPr>
    </w:p>
    <w:p>
      <w:pPr>
        <w:pStyle w:val="Heading1"/>
        <w:numPr>
          <w:ilvl w:val="0"/>
          <w:numId w:val="16"/>
        </w:numPr>
        <w:tabs>
          <w:tab w:pos="320" w:val="left" w:leader="none"/>
        </w:tabs>
        <w:spacing w:line="240" w:lineRule="auto" w:before="0" w:after="0"/>
        <w:ind w:left="320" w:right="0" w:hanging="220"/>
        <w:jc w:val="both"/>
      </w:pPr>
      <w:r>
        <w:rPr>
          <w:color w:val="231F20"/>
        </w:rPr>
        <w:t>COMMON STOCK</w:t>
      </w:r>
    </w:p>
    <w:p>
      <w:pPr>
        <w:pStyle w:val="BodyText"/>
        <w:spacing w:before="9"/>
        <w:rPr>
          <w:b/>
          <w:sz w:val="19"/>
        </w:rPr>
      </w:pPr>
    </w:p>
    <w:p>
      <w:pPr>
        <w:pStyle w:val="BodyText"/>
        <w:spacing w:line="247" w:lineRule="auto" w:before="1"/>
        <w:ind w:left="100" w:right="121"/>
        <w:jc w:val="both"/>
      </w:pPr>
      <w:r>
        <w:rPr>
          <w:color w:val="231F20"/>
          <w:spacing w:val="-3"/>
        </w:rPr>
        <w:t>The </w:t>
      </w:r>
      <w:r>
        <w:rPr>
          <w:color w:val="231F20"/>
          <w:spacing w:val="-4"/>
        </w:rPr>
        <w:t>Company </w:t>
      </w:r>
      <w:r>
        <w:rPr>
          <w:color w:val="231F20"/>
          <w:spacing w:val="-3"/>
        </w:rPr>
        <w:t>has one </w:t>
      </w:r>
      <w:r>
        <w:rPr>
          <w:color w:val="231F20"/>
          <w:spacing w:val="-4"/>
        </w:rPr>
        <w:t>class </w:t>
      </w:r>
      <w:r>
        <w:rPr>
          <w:color w:val="231F20"/>
        </w:rPr>
        <w:t>of </w:t>
      </w:r>
      <w:r>
        <w:rPr>
          <w:color w:val="231F20"/>
          <w:spacing w:val="-4"/>
        </w:rPr>
        <w:t>capital stock, </w:t>
      </w:r>
      <w:r>
        <w:rPr>
          <w:color w:val="231F20"/>
          <w:spacing w:val="-3"/>
        </w:rPr>
        <w:t>its </w:t>
      </w:r>
      <w:r>
        <w:rPr>
          <w:color w:val="231F20"/>
          <w:spacing w:val="-4"/>
        </w:rPr>
        <w:t>common stock. Holders </w:t>
      </w:r>
      <w:r>
        <w:rPr>
          <w:color w:val="231F20"/>
        </w:rPr>
        <w:t>of </w:t>
      </w:r>
      <w:r>
        <w:rPr>
          <w:color w:val="231F20"/>
          <w:spacing w:val="-4"/>
        </w:rPr>
        <w:t>shares </w:t>
      </w:r>
      <w:r>
        <w:rPr>
          <w:color w:val="231F20"/>
        </w:rPr>
        <w:t>of </w:t>
      </w:r>
      <w:r>
        <w:rPr>
          <w:color w:val="231F20"/>
          <w:spacing w:val="-4"/>
        </w:rPr>
        <w:t>common stock are entitled </w:t>
      </w:r>
      <w:r>
        <w:rPr>
          <w:color w:val="231F20"/>
          <w:spacing w:val="-3"/>
        </w:rPr>
        <w:t>to </w:t>
      </w:r>
      <w:r>
        <w:rPr>
          <w:color w:val="231F20"/>
          <w:spacing w:val="-4"/>
        </w:rPr>
        <w:t>receive dividends </w:t>
      </w:r>
      <w:r>
        <w:rPr>
          <w:color w:val="231F20"/>
          <w:spacing w:val="-3"/>
        </w:rPr>
        <w:t>when and if </w:t>
      </w:r>
      <w:r>
        <w:rPr>
          <w:color w:val="231F20"/>
          <w:spacing w:val="-4"/>
        </w:rPr>
        <w:t>declared </w:t>
      </w:r>
      <w:r>
        <w:rPr>
          <w:color w:val="231F20"/>
        </w:rPr>
        <w:t>by </w:t>
      </w:r>
      <w:r>
        <w:rPr>
          <w:color w:val="231F20"/>
          <w:spacing w:val="-3"/>
        </w:rPr>
        <w:t>the </w:t>
      </w:r>
      <w:r>
        <w:rPr>
          <w:color w:val="231F20"/>
          <w:spacing w:val="-4"/>
        </w:rPr>
        <w:t>Board </w:t>
      </w:r>
      <w:r>
        <w:rPr>
          <w:color w:val="231F20"/>
        </w:rPr>
        <w:t>of </w:t>
      </w:r>
      <w:r>
        <w:rPr>
          <w:color w:val="231F20"/>
          <w:spacing w:val="-4"/>
        </w:rPr>
        <w:t>Directors </w:t>
      </w:r>
      <w:r>
        <w:rPr>
          <w:color w:val="231F20"/>
          <w:spacing w:val="-3"/>
        </w:rPr>
        <w:t>and are </w:t>
      </w:r>
      <w:r>
        <w:rPr>
          <w:color w:val="231F20"/>
          <w:spacing w:val="-4"/>
        </w:rPr>
        <w:t>entitled </w:t>
      </w:r>
      <w:r>
        <w:rPr>
          <w:color w:val="231F20"/>
          <w:spacing w:val="-3"/>
        </w:rPr>
        <w:t>to one vote </w:t>
      </w:r>
      <w:r>
        <w:rPr>
          <w:color w:val="231F20"/>
          <w:spacing w:val="-4"/>
        </w:rPr>
        <w:t>per share </w:t>
      </w:r>
      <w:r>
        <w:rPr>
          <w:color w:val="231F20"/>
        </w:rPr>
        <w:t>on </w:t>
      </w:r>
      <w:r>
        <w:rPr>
          <w:color w:val="231F20"/>
          <w:spacing w:val="-3"/>
        </w:rPr>
        <w:t>all </w:t>
      </w:r>
      <w:r>
        <w:rPr>
          <w:color w:val="231F20"/>
          <w:spacing w:val="-4"/>
        </w:rPr>
        <w:t>matters submitted </w:t>
      </w:r>
      <w:r>
        <w:rPr>
          <w:color w:val="231F20"/>
          <w:spacing w:val="-3"/>
        </w:rPr>
        <w:t>to </w:t>
      </w:r>
      <w:r>
        <w:rPr>
          <w:color w:val="231F20"/>
        </w:rPr>
        <w:t>a </w:t>
      </w:r>
      <w:r>
        <w:rPr>
          <w:color w:val="231F20"/>
          <w:spacing w:val="-3"/>
        </w:rPr>
        <w:t>vote </w:t>
      </w:r>
      <w:r>
        <w:rPr>
          <w:color w:val="231F20"/>
        </w:rPr>
        <w:t>of </w:t>
      </w:r>
      <w:r>
        <w:rPr>
          <w:color w:val="231F20"/>
          <w:spacing w:val="-3"/>
        </w:rPr>
        <w:t>the </w:t>
      </w:r>
      <w:r>
        <w:rPr>
          <w:color w:val="231F20"/>
          <w:spacing w:val="-4"/>
        </w:rPr>
        <w:t>Shareholders. </w:t>
      </w:r>
      <w:r>
        <w:rPr>
          <w:color w:val="231F20"/>
        </w:rPr>
        <w:t>At </w:t>
      </w:r>
      <w:r>
        <w:rPr>
          <w:color w:val="231F20"/>
          <w:spacing w:val="-4"/>
        </w:rPr>
        <w:t>December </w:t>
      </w:r>
      <w:r>
        <w:rPr>
          <w:color w:val="231F20"/>
          <w:spacing w:val="-3"/>
        </w:rPr>
        <w:t>31, </w:t>
      </w:r>
      <w:r>
        <w:rPr>
          <w:color w:val="231F20"/>
          <w:spacing w:val="-4"/>
        </w:rPr>
        <w:t>2016, </w:t>
      </w:r>
      <w:r>
        <w:rPr>
          <w:color w:val="231F20"/>
          <w:spacing w:val="-3"/>
        </w:rPr>
        <w:t>the </w:t>
      </w:r>
      <w:r>
        <w:rPr>
          <w:color w:val="231F20"/>
          <w:spacing w:val="-4"/>
        </w:rPr>
        <w:t>Company had   </w:t>
      </w:r>
      <w:r>
        <w:rPr>
          <w:color w:val="231F20"/>
          <w:spacing w:val="47"/>
        </w:rPr>
        <w:t> </w:t>
      </w:r>
      <w:r>
        <w:rPr>
          <w:color w:val="231F20"/>
        </w:rPr>
        <w:t>60 </w:t>
      </w:r>
      <w:r>
        <w:rPr>
          <w:color w:val="231F20"/>
          <w:spacing w:val="-4"/>
        </w:rPr>
        <w:t>million  shares  </w:t>
      </w:r>
      <w:r>
        <w:rPr>
          <w:color w:val="231F20"/>
        </w:rPr>
        <w:t>of </w:t>
      </w:r>
      <w:r>
        <w:rPr>
          <w:color w:val="231F20"/>
          <w:spacing w:val="-4"/>
        </w:rPr>
        <w:t>common stock reserved </w:t>
      </w:r>
      <w:r>
        <w:rPr>
          <w:color w:val="231F20"/>
          <w:spacing w:val="-3"/>
        </w:rPr>
        <w:t>for </w:t>
      </w:r>
      <w:r>
        <w:rPr>
          <w:color w:val="231F20"/>
          <w:spacing w:val="-4"/>
        </w:rPr>
        <w:t>issuance pursuant </w:t>
      </w:r>
      <w:r>
        <w:rPr>
          <w:color w:val="231F20"/>
          <w:spacing w:val="-3"/>
        </w:rPr>
        <w:t>to </w:t>
      </w:r>
      <w:r>
        <w:rPr>
          <w:color w:val="231F20"/>
          <w:spacing w:val="-4"/>
        </w:rPr>
        <w:t>Employee equity plans </w:t>
      </w:r>
      <w:r>
        <w:rPr>
          <w:color w:val="231F20"/>
          <w:spacing w:val="-3"/>
        </w:rPr>
        <w:t>(of </w:t>
      </w:r>
      <w:r>
        <w:rPr>
          <w:color w:val="231F20"/>
          <w:spacing w:val="-4"/>
        </w:rPr>
        <w:t>which </w:t>
      </w:r>
      <w:r>
        <w:rPr>
          <w:color w:val="231F20"/>
          <w:spacing w:val="47"/>
        </w:rPr>
        <w:t> </w:t>
      </w:r>
      <w:r>
        <w:rPr>
          <w:color w:val="231F20"/>
        </w:rPr>
        <w:t>31 </w:t>
      </w:r>
      <w:r>
        <w:rPr>
          <w:color w:val="231F20"/>
          <w:spacing w:val="-4"/>
        </w:rPr>
        <w:t>million shares </w:t>
      </w:r>
      <w:r>
        <w:rPr>
          <w:color w:val="231F20"/>
          <w:spacing w:val="-3"/>
        </w:rPr>
        <w:t>had not been </w:t>
      </w:r>
      <w:r>
        <w:rPr>
          <w:color w:val="231F20"/>
          <w:spacing w:val="-4"/>
        </w:rPr>
        <w:t>granted) through various share-based  compensation  arrangements.  See </w:t>
      </w:r>
      <w:r>
        <w:rPr>
          <w:color w:val="231F20"/>
          <w:spacing w:val="-3"/>
        </w:rPr>
        <w:t>Note </w:t>
      </w:r>
      <w:r>
        <w:rPr>
          <w:color w:val="231F20"/>
        </w:rPr>
        <w:t>9 </w:t>
      </w:r>
      <w:r>
        <w:rPr>
          <w:color w:val="231F20"/>
          <w:spacing w:val="-3"/>
        </w:rPr>
        <w:t>to the </w:t>
      </w:r>
      <w:r>
        <w:rPr>
          <w:color w:val="231F20"/>
          <w:spacing w:val="-4"/>
        </w:rPr>
        <w:t>Consolidated Financial Statements </w:t>
      </w:r>
      <w:r>
        <w:rPr>
          <w:color w:val="231F20"/>
          <w:spacing w:val="-3"/>
        </w:rPr>
        <w:t>for </w:t>
      </w:r>
      <w:r>
        <w:rPr>
          <w:color w:val="231F20"/>
          <w:spacing w:val="-4"/>
        </w:rPr>
        <w:t>information regarding </w:t>
      </w:r>
      <w:r>
        <w:rPr>
          <w:color w:val="231F20"/>
          <w:spacing w:val="-3"/>
        </w:rPr>
        <w:t>the </w:t>
      </w:r>
      <w:r>
        <w:rPr>
          <w:color w:val="231F20"/>
          <w:spacing w:val="-4"/>
        </w:rPr>
        <w:t>Company’s equity</w:t>
      </w:r>
      <w:r>
        <w:rPr>
          <w:color w:val="231F20"/>
          <w:spacing w:val="-37"/>
        </w:rPr>
        <w:t> </w:t>
      </w:r>
      <w:r>
        <w:rPr>
          <w:color w:val="231F20"/>
          <w:spacing w:val="-4"/>
        </w:rPr>
        <w:t>plans.</w:t>
      </w:r>
    </w:p>
    <w:p>
      <w:pPr>
        <w:pStyle w:val="BodyText"/>
        <w:spacing w:before="3"/>
        <w:rPr>
          <w:sz w:val="19"/>
        </w:rPr>
      </w:pPr>
    </w:p>
    <w:p>
      <w:pPr>
        <w:pStyle w:val="Heading1"/>
        <w:numPr>
          <w:ilvl w:val="0"/>
          <w:numId w:val="16"/>
        </w:numPr>
        <w:tabs>
          <w:tab w:pos="320" w:val="left" w:leader="none"/>
        </w:tabs>
        <w:spacing w:line="240" w:lineRule="auto" w:before="0" w:after="0"/>
        <w:ind w:left="320" w:right="0" w:hanging="220"/>
        <w:jc w:val="both"/>
      </w:pPr>
      <w:r>
        <w:rPr>
          <w:color w:val="231F20"/>
        </w:rPr>
        <w:t>STOCK</w:t>
      </w:r>
      <w:r>
        <w:rPr>
          <w:color w:val="231F20"/>
          <w:spacing w:val="-1"/>
        </w:rPr>
        <w:t> </w:t>
      </w:r>
      <w:r>
        <w:rPr>
          <w:color w:val="231F20"/>
        </w:rPr>
        <w:t>PLANS</w:t>
      </w:r>
    </w:p>
    <w:p>
      <w:pPr>
        <w:pStyle w:val="BodyText"/>
        <w:spacing w:before="10"/>
        <w:rPr>
          <w:b/>
          <w:sz w:val="19"/>
        </w:rPr>
      </w:pPr>
    </w:p>
    <w:p>
      <w:pPr>
        <w:pStyle w:val="Heading2"/>
        <w:rPr>
          <w:i/>
        </w:rPr>
      </w:pPr>
      <w:r>
        <w:rPr>
          <w:i/>
          <w:color w:val="231F20"/>
        </w:rPr>
        <w:t>Share-based Compensation</w:t>
      </w:r>
    </w:p>
    <w:p>
      <w:pPr>
        <w:pStyle w:val="BodyText"/>
        <w:spacing w:before="10"/>
        <w:rPr>
          <w:b/>
          <w:i/>
          <w:sz w:val="19"/>
        </w:rPr>
      </w:pPr>
    </w:p>
    <w:p>
      <w:pPr>
        <w:pStyle w:val="BodyText"/>
        <w:spacing w:line="247" w:lineRule="auto"/>
        <w:ind w:left="100" w:right="118"/>
        <w:jc w:val="both"/>
      </w:pPr>
      <w:r>
        <w:rPr>
          <w:color w:val="231F20"/>
        </w:rPr>
        <w:t>The Company accounts for share-based compensation utilizing fair value, which is determined on the date  of  grant  for  all  instruments.  The  Consolidated  Statement  of  Income  for  the  years     </w:t>
      </w:r>
      <w:r>
        <w:rPr>
          <w:color w:val="231F20"/>
          <w:spacing w:val="51"/>
        </w:rPr>
        <w:t> </w:t>
      </w:r>
      <w:r>
        <w:rPr>
          <w:color w:val="231F20"/>
        </w:rPr>
        <w:t>ended</w:t>
      </w:r>
    </w:p>
    <w:p>
      <w:pPr>
        <w:spacing w:after="0" w:line="247" w:lineRule="auto"/>
        <w:jc w:val="both"/>
        <w:sectPr>
          <w:pgSz w:w="11880" w:h="15480"/>
          <w:pgMar w:header="0" w:footer="1240" w:top="1240" w:bottom="1420" w:left="1280" w:right="1260"/>
        </w:sectPr>
      </w:pPr>
    </w:p>
    <w:p>
      <w:pPr>
        <w:pStyle w:val="BodyText"/>
        <w:spacing w:before="74"/>
        <w:ind w:left="100"/>
        <w:jc w:val="both"/>
      </w:pPr>
      <w:r>
        <w:rPr>
          <w:color w:val="231F20"/>
        </w:rPr>
        <w:t>December  31,  2016,  2015,  and  2014,  reflects  share-based  compensation  expense  of  $33</w:t>
      </w:r>
      <w:r>
        <w:rPr>
          <w:color w:val="231F20"/>
          <w:spacing w:val="50"/>
        </w:rPr>
        <w:t> </w:t>
      </w:r>
      <w:r>
        <w:rPr>
          <w:color w:val="231F20"/>
        </w:rPr>
        <w:t>million,</w:t>
      </w:r>
    </w:p>
    <w:p>
      <w:pPr>
        <w:pStyle w:val="BodyText"/>
        <w:spacing w:line="247" w:lineRule="auto" w:before="6"/>
        <w:ind w:left="100" w:right="117"/>
        <w:jc w:val="both"/>
      </w:pPr>
      <w:r>
        <w:rPr>
          <w:color w:val="231F20"/>
        </w:rPr>
        <w:t>$29 million, and $21 million, respectively. The total tax benefit recognized in earnings from share- based compensation arrangements for the years ended December 31, 2016, 2015, and 2014, was not material. As of December 31, 2016, there was $36 million of total unrecognized compensation cost related to share-based compensation arrangements, which is expected to be recognized over a weighted-average period of 1.7 years. The Company expects substantially all unvested awards to vest.</w:t>
      </w:r>
    </w:p>
    <w:p>
      <w:pPr>
        <w:pStyle w:val="BodyText"/>
        <w:spacing w:before="9"/>
        <w:rPr>
          <w:sz w:val="20"/>
        </w:rPr>
      </w:pPr>
    </w:p>
    <w:p>
      <w:pPr>
        <w:pStyle w:val="Heading2"/>
        <w:rPr>
          <w:i/>
        </w:rPr>
      </w:pPr>
      <w:r>
        <w:rPr>
          <w:i/>
          <w:color w:val="231F20"/>
        </w:rPr>
        <w:t>Restricted Stock Units and Stock Grants</w:t>
      </w:r>
    </w:p>
    <w:p>
      <w:pPr>
        <w:pStyle w:val="BodyText"/>
        <w:spacing w:before="5"/>
        <w:rPr>
          <w:b/>
          <w:i/>
          <w:sz w:val="21"/>
        </w:rPr>
      </w:pPr>
    </w:p>
    <w:p>
      <w:pPr>
        <w:pStyle w:val="BodyText"/>
        <w:spacing w:line="247" w:lineRule="auto"/>
        <w:ind w:left="100" w:right="117"/>
        <w:jc w:val="both"/>
      </w:pPr>
      <w:r>
        <w:rPr>
          <w:color w:val="231F20"/>
        </w:rPr>
        <w:t>Under the Company’s Amended and Restated 2007 Equity Incentive Plan (“2007 Equity Plan”), it granted restricted stock units (“RSUs”) and performance-based restricted stock units (“PBRSUs”) to certain Employees during 2014, 2015, and 2016. Outstanding RSUs vest over three years, subject generally to the individual’s continued  employment  or  service.  The  PBRSUs  granted  in  </w:t>
      </w:r>
      <w:r>
        <w:rPr>
          <w:color w:val="231F20"/>
          <w:spacing w:val="-2"/>
        </w:rPr>
        <w:t>May</w:t>
      </w:r>
      <w:r>
        <w:rPr>
          <w:color w:val="231F20"/>
          <w:spacing w:val="51"/>
        </w:rPr>
        <w:t> </w:t>
      </w:r>
      <w:r>
        <w:rPr>
          <w:color w:val="231F20"/>
        </w:rPr>
        <w:t>2014,</w:t>
      </w:r>
      <w:r>
        <w:rPr>
          <w:color w:val="231F20"/>
          <w:spacing w:val="-8"/>
        </w:rPr>
        <w:t> </w:t>
      </w:r>
      <w:r>
        <w:rPr>
          <w:color w:val="231F20"/>
        </w:rPr>
        <w:t>January</w:t>
      </w:r>
      <w:r>
        <w:rPr>
          <w:color w:val="231F20"/>
          <w:spacing w:val="-8"/>
        </w:rPr>
        <w:t> </w:t>
      </w:r>
      <w:r>
        <w:rPr>
          <w:color w:val="231F20"/>
        </w:rPr>
        <w:t>2015,</w:t>
      </w:r>
      <w:r>
        <w:rPr>
          <w:color w:val="231F20"/>
          <w:spacing w:val="-8"/>
        </w:rPr>
        <w:t> </w:t>
      </w:r>
      <w:r>
        <w:rPr>
          <w:color w:val="231F20"/>
        </w:rPr>
        <w:t>and</w:t>
      </w:r>
      <w:r>
        <w:rPr>
          <w:color w:val="231F20"/>
          <w:spacing w:val="-9"/>
        </w:rPr>
        <w:t> </w:t>
      </w:r>
      <w:r>
        <w:rPr>
          <w:color w:val="231F20"/>
        </w:rPr>
        <w:t>January</w:t>
      </w:r>
      <w:r>
        <w:rPr>
          <w:color w:val="231F20"/>
          <w:spacing w:val="-9"/>
        </w:rPr>
        <w:t> </w:t>
      </w:r>
      <w:r>
        <w:rPr>
          <w:color w:val="231F20"/>
        </w:rPr>
        <w:t>2016</w:t>
      </w:r>
      <w:r>
        <w:rPr>
          <w:color w:val="231F20"/>
          <w:spacing w:val="-9"/>
        </w:rPr>
        <w:t> </w:t>
      </w:r>
      <w:r>
        <w:rPr>
          <w:color w:val="231F20"/>
        </w:rPr>
        <w:t>are</w:t>
      </w:r>
      <w:r>
        <w:rPr>
          <w:color w:val="231F20"/>
          <w:spacing w:val="-8"/>
        </w:rPr>
        <w:t> </w:t>
      </w:r>
      <w:r>
        <w:rPr>
          <w:color w:val="231F20"/>
        </w:rPr>
        <w:t>subject</w:t>
      </w:r>
      <w:r>
        <w:rPr>
          <w:color w:val="231F20"/>
          <w:spacing w:val="-9"/>
        </w:rPr>
        <w:t> </w:t>
      </w:r>
      <w:r>
        <w:rPr>
          <w:color w:val="231F20"/>
        </w:rPr>
        <w:t>to</w:t>
      </w:r>
      <w:r>
        <w:rPr>
          <w:color w:val="231F20"/>
          <w:spacing w:val="-9"/>
        </w:rPr>
        <w:t> </w:t>
      </w:r>
      <w:r>
        <w:rPr>
          <w:color w:val="231F20"/>
        </w:rPr>
        <w:t>the</w:t>
      </w:r>
      <w:r>
        <w:rPr>
          <w:color w:val="231F20"/>
          <w:spacing w:val="-8"/>
        </w:rPr>
        <w:t> </w:t>
      </w:r>
      <w:r>
        <w:rPr>
          <w:color w:val="231F20"/>
        </w:rPr>
        <w:t>Company’s</w:t>
      </w:r>
      <w:r>
        <w:rPr>
          <w:color w:val="231F20"/>
          <w:spacing w:val="-8"/>
        </w:rPr>
        <w:t> </w:t>
      </w:r>
      <w:r>
        <w:rPr>
          <w:color w:val="231F20"/>
        </w:rPr>
        <w:t>performance</w:t>
      </w:r>
      <w:r>
        <w:rPr>
          <w:color w:val="231F20"/>
          <w:spacing w:val="-8"/>
        </w:rPr>
        <w:t> </w:t>
      </w:r>
      <w:r>
        <w:rPr>
          <w:color w:val="231F20"/>
        </w:rPr>
        <w:t>with</w:t>
      </w:r>
      <w:r>
        <w:rPr>
          <w:color w:val="231F20"/>
          <w:spacing w:val="-9"/>
        </w:rPr>
        <w:t> </w:t>
      </w:r>
      <w:r>
        <w:rPr>
          <w:color w:val="231F20"/>
        </w:rPr>
        <w:t>respect</w:t>
      </w:r>
      <w:r>
        <w:rPr>
          <w:color w:val="231F20"/>
          <w:spacing w:val="-9"/>
        </w:rPr>
        <w:t> </w:t>
      </w:r>
      <w:r>
        <w:rPr>
          <w:color w:val="231F20"/>
        </w:rPr>
        <w:t>to</w:t>
      </w:r>
      <w:r>
        <w:rPr>
          <w:color w:val="231F20"/>
          <w:spacing w:val="-9"/>
        </w:rPr>
        <w:t> </w:t>
      </w:r>
      <w:r>
        <w:rPr>
          <w:color w:val="231F20"/>
        </w:rPr>
        <w:t>a</w:t>
      </w:r>
      <w:r>
        <w:rPr>
          <w:color w:val="231F20"/>
          <w:spacing w:val="-8"/>
        </w:rPr>
        <w:t> </w:t>
      </w:r>
      <w:r>
        <w:rPr>
          <w:color w:val="231F20"/>
          <w:spacing w:val="-3"/>
        </w:rPr>
        <w:t>three- </w:t>
      </w:r>
      <w:r>
        <w:rPr>
          <w:color w:val="231F20"/>
        </w:rPr>
        <w:t>year simple average of Return on Invested Capital, before taxes and excluding special items (“ROIC”), for</w:t>
      </w:r>
      <w:r>
        <w:rPr>
          <w:color w:val="231F20"/>
          <w:spacing w:val="-14"/>
        </w:rPr>
        <w:t> </w:t>
      </w:r>
      <w:r>
        <w:rPr>
          <w:color w:val="231F20"/>
        </w:rPr>
        <w:t>the</w:t>
      </w:r>
      <w:r>
        <w:rPr>
          <w:color w:val="231F20"/>
          <w:spacing w:val="-13"/>
        </w:rPr>
        <w:t> </w:t>
      </w:r>
      <w:r>
        <w:rPr>
          <w:color w:val="231F20"/>
        </w:rPr>
        <w:t>defined</w:t>
      </w:r>
      <w:r>
        <w:rPr>
          <w:color w:val="231F20"/>
          <w:spacing w:val="-13"/>
        </w:rPr>
        <w:t> </w:t>
      </w:r>
      <w:r>
        <w:rPr>
          <w:color w:val="231F20"/>
        </w:rPr>
        <w:t>performance</w:t>
      </w:r>
      <w:r>
        <w:rPr>
          <w:color w:val="231F20"/>
          <w:spacing w:val="-13"/>
        </w:rPr>
        <w:t> </w:t>
      </w:r>
      <w:r>
        <w:rPr>
          <w:color w:val="231F20"/>
        </w:rPr>
        <w:t>period</w:t>
      </w:r>
      <w:r>
        <w:rPr>
          <w:color w:val="231F20"/>
          <w:spacing w:val="-13"/>
        </w:rPr>
        <w:t> </w:t>
      </w:r>
      <w:r>
        <w:rPr>
          <w:color w:val="231F20"/>
        </w:rPr>
        <w:t>and</w:t>
      </w:r>
      <w:r>
        <w:rPr>
          <w:color w:val="231F20"/>
          <w:spacing w:val="-13"/>
        </w:rPr>
        <w:t> </w:t>
      </w:r>
      <w:r>
        <w:rPr>
          <w:color w:val="231F20"/>
        </w:rPr>
        <w:t>the</w:t>
      </w:r>
      <w:r>
        <w:rPr>
          <w:color w:val="231F20"/>
          <w:spacing w:val="-13"/>
        </w:rPr>
        <w:t> </w:t>
      </w:r>
      <w:r>
        <w:rPr>
          <w:color w:val="231F20"/>
        </w:rPr>
        <w:t>individual’s</w:t>
      </w:r>
      <w:r>
        <w:rPr>
          <w:color w:val="231F20"/>
          <w:spacing w:val="-13"/>
        </w:rPr>
        <w:t> </w:t>
      </w:r>
      <w:r>
        <w:rPr>
          <w:color w:val="231F20"/>
        </w:rPr>
        <w:t>continued</w:t>
      </w:r>
      <w:r>
        <w:rPr>
          <w:color w:val="231F20"/>
          <w:spacing w:val="-13"/>
        </w:rPr>
        <w:t> </w:t>
      </w:r>
      <w:r>
        <w:rPr>
          <w:color w:val="231F20"/>
        </w:rPr>
        <w:t>employment</w:t>
      </w:r>
      <w:r>
        <w:rPr>
          <w:color w:val="231F20"/>
          <w:spacing w:val="-14"/>
        </w:rPr>
        <w:t> </w:t>
      </w:r>
      <w:r>
        <w:rPr>
          <w:color w:val="231F20"/>
        </w:rPr>
        <w:t>or</w:t>
      </w:r>
      <w:r>
        <w:rPr>
          <w:color w:val="231F20"/>
          <w:spacing w:val="-14"/>
        </w:rPr>
        <w:t> </w:t>
      </w:r>
      <w:r>
        <w:rPr>
          <w:color w:val="231F20"/>
        </w:rPr>
        <w:t>service.</w:t>
      </w:r>
      <w:r>
        <w:rPr>
          <w:color w:val="231F20"/>
          <w:spacing w:val="-13"/>
        </w:rPr>
        <w:t> </w:t>
      </w:r>
      <w:r>
        <w:rPr>
          <w:color w:val="231F20"/>
        </w:rPr>
        <w:t>The</w:t>
      </w:r>
      <w:r>
        <w:rPr>
          <w:color w:val="231F20"/>
          <w:spacing w:val="-13"/>
        </w:rPr>
        <w:t> </w:t>
      </w:r>
      <w:r>
        <w:rPr>
          <w:color w:val="231F20"/>
        </w:rPr>
        <w:t>number</w:t>
      </w:r>
      <w:r>
        <w:rPr>
          <w:color w:val="231F20"/>
          <w:spacing w:val="-14"/>
        </w:rPr>
        <w:t> </w:t>
      </w:r>
      <w:r>
        <w:rPr>
          <w:color w:val="231F20"/>
        </w:rPr>
        <w:t>of PBRSUs</w:t>
      </w:r>
      <w:r>
        <w:rPr>
          <w:color w:val="231F20"/>
          <w:spacing w:val="-11"/>
        </w:rPr>
        <w:t> </w:t>
      </w:r>
      <w:r>
        <w:rPr>
          <w:color w:val="231F20"/>
        </w:rPr>
        <w:t>vesting</w:t>
      </w:r>
      <w:r>
        <w:rPr>
          <w:color w:val="231F20"/>
          <w:spacing w:val="-11"/>
        </w:rPr>
        <w:t> </w:t>
      </w:r>
      <w:r>
        <w:rPr>
          <w:color w:val="231F20"/>
        </w:rPr>
        <w:t>on</w:t>
      </w:r>
      <w:r>
        <w:rPr>
          <w:color w:val="231F20"/>
          <w:spacing w:val="-12"/>
        </w:rPr>
        <w:t> </w:t>
      </w:r>
      <w:r>
        <w:rPr>
          <w:color w:val="231F20"/>
        </w:rPr>
        <w:t>the</w:t>
      </w:r>
      <w:r>
        <w:rPr>
          <w:color w:val="231F20"/>
          <w:spacing w:val="-12"/>
        </w:rPr>
        <w:t> </w:t>
      </w:r>
      <w:r>
        <w:rPr>
          <w:color w:val="231F20"/>
        </w:rPr>
        <w:t>vesting</w:t>
      </w:r>
      <w:r>
        <w:rPr>
          <w:color w:val="231F20"/>
          <w:spacing w:val="-12"/>
        </w:rPr>
        <w:t> </w:t>
      </w:r>
      <w:r>
        <w:rPr>
          <w:color w:val="231F20"/>
        </w:rPr>
        <w:t>date</w:t>
      </w:r>
      <w:r>
        <w:rPr>
          <w:color w:val="231F20"/>
          <w:spacing w:val="-12"/>
        </w:rPr>
        <w:t> </w:t>
      </w:r>
      <w:r>
        <w:rPr>
          <w:color w:val="231F20"/>
        </w:rPr>
        <w:t>will</w:t>
      </w:r>
      <w:r>
        <w:rPr>
          <w:color w:val="231F20"/>
          <w:spacing w:val="-13"/>
        </w:rPr>
        <w:t> </w:t>
      </w:r>
      <w:r>
        <w:rPr>
          <w:color w:val="231F20"/>
        </w:rPr>
        <w:t>be</w:t>
      </w:r>
      <w:r>
        <w:rPr>
          <w:color w:val="231F20"/>
          <w:spacing w:val="-12"/>
        </w:rPr>
        <w:t> </w:t>
      </w:r>
      <w:r>
        <w:rPr>
          <w:color w:val="231F20"/>
        </w:rPr>
        <w:t>interpolated</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ROIC</w:t>
      </w:r>
      <w:r>
        <w:rPr>
          <w:color w:val="231F20"/>
          <w:spacing w:val="-12"/>
        </w:rPr>
        <w:t> </w:t>
      </w:r>
      <w:r>
        <w:rPr>
          <w:color w:val="231F20"/>
        </w:rPr>
        <w:t>performance</w:t>
      </w:r>
      <w:r>
        <w:rPr>
          <w:color w:val="231F20"/>
          <w:spacing w:val="-12"/>
        </w:rPr>
        <w:t> </w:t>
      </w:r>
      <w:r>
        <w:rPr>
          <w:color w:val="231F20"/>
          <w:spacing w:val="-2"/>
        </w:rPr>
        <w:t>and </w:t>
      </w:r>
      <w:r>
        <w:rPr>
          <w:color w:val="231F20"/>
        </w:rPr>
        <w:t>ranges from zero PBRSUs to 200 percent of granted PBRSUs. Forfeiture rates are estimated at the time of</w:t>
      </w:r>
      <w:r>
        <w:rPr>
          <w:color w:val="231F20"/>
          <w:spacing w:val="-6"/>
        </w:rPr>
        <w:t> </w:t>
      </w:r>
      <w:r>
        <w:rPr>
          <w:color w:val="231F20"/>
        </w:rPr>
        <w:t>grant</w:t>
      </w:r>
      <w:r>
        <w:rPr>
          <w:color w:val="231F20"/>
          <w:spacing w:val="-6"/>
        </w:rPr>
        <w:t> </w:t>
      </w:r>
      <w:r>
        <w:rPr>
          <w:color w:val="231F20"/>
        </w:rPr>
        <w:t>based</w:t>
      </w:r>
      <w:r>
        <w:rPr>
          <w:color w:val="231F20"/>
          <w:spacing w:val="-5"/>
        </w:rPr>
        <w:t> </w:t>
      </w:r>
      <w:r>
        <w:rPr>
          <w:color w:val="231F20"/>
        </w:rPr>
        <w:t>on</w:t>
      </w:r>
      <w:r>
        <w:rPr>
          <w:color w:val="231F20"/>
          <w:spacing w:val="-5"/>
        </w:rPr>
        <w:t> </w:t>
      </w:r>
      <w:r>
        <w:rPr>
          <w:color w:val="231F20"/>
        </w:rPr>
        <w:t>historical</w:t>
      </w:r>
      <w:r>
        <w:rPr>
          <w:color w:val="231F20"/>
          <w:spacing w:val="-6"/>
        </w:rPr>
        <w:t> </w:t>
      </w:r>
      <w:r>
        <w:rPr>
          <w:color w:val="231F20"/>
        </w:rPr>
        <w:t>actuals</w:t>
      </w:r>
      <w:r>
        <w:rPr>
          <w:color w:val="231F20"/>
          <w:spacing w:val="-5"/>
        </w:rPr>
        <w:t> </w:t>
      </w:r>
      <w:r>
        <w:rPr>
          <w:color w:val="231F20"/>
        </w:rPr>
        <w:t>for</w:t>
      </w:r>
      <w:r>
        <w:rPr>
          <w:color w:val="231F20"/>
          <w:spacing w:val="-7"/>
        </w:rPr>
        <w:t> </w:t>
      </w:r>
      <w:r>
        <w:rPr>
          <w:color w:val="231F20"/>
        </w:rPr>
        <w:t>similar</w:t>
      </w:r>
      <w:r>
        <w:rPr>
          <w:color w:val="231F20"/>
          <w:spacing w:val="-7"/>
        </w:rPr>
        <w:t> </w:t>
      </w:r>
      <w:r>
        <w:rPr>
          <w:color w:val="231F20"/>
        </w:rPr>
        <w:t>grants,</w:t>
      </w:r>
      <w:r>
        <w:rPr>
          <w:color w:val="231F20"/>
          <w:spacing w:val="-6"/>
        </w:rPr>
        <w:t> </w:t>
      </w:r>
      <w:r>
        <w:rPr>
          <w:color w:val="231F20"/>
        </w:rPr>
        <w:t>and</w:t>
      </w:r>
      <w:r>
        <w:rPr>
          <w:color w:val="231F20"/>
          <w:spacing w:val="-6"/>
        </w:rPr>
        <w:t> </w:t>
      </w:r>
      <w:r>
        <w:rPr>
          <w:color w:val="231F20"/>
        </w:rPr>
        <w:t>are</w:t>
      </w:r>
      <w:r>
        <w:rPr>
          <w:color w:val="231F20"/>
          <w:spacing w:val="-6"/>
        </w:rPr>
        <w:t> </w:t>
      </w:r>
      <w:r>
        <w:rPr>
          <w:color w:val="231F20"/>
        </w:rPr>
        <w:t>trued-up</w:t>
      </w:r>
      <w:r>
        <w:rPr>
          <w:color w:val="231F20"/>
          <w:spacing w:val="-6"/>
        </w:rPr>
        <w:t> </w:t>
      </w:r>
      <w:r>
        <w:rPr>
          <w:color w:val="231F20"/>
        </w:rPr>
        <w:t>to</w:t>
      </w:r>
      <w:r>
        <w:rPr>
          <w:color w:val="231F20"/>
          <w:spacing w:val="-6"/>
        </w:rPr>
        <w:t> </w:t>
      </w:r>
      <w:r>
        <w:rPr>
          <w:color w:val="231F20"/>
        </w:rPr>
        <w:t>actuals</w:t>
      </w:r>
      <w:r>
        <w:rPr>
          <w:color w:val="231F20"/>
          <w:spacing w:val="-6"/>
        </w:rPr>
        <w:t> </w:t>
      </w:r>
      <w:r>
        <w:rPr>
          <w:color w:val="231F20"/>
        </w:rPr>
        <w:t>over</w:t>
      </w:r>
      <w:r>
        <w:rPr>
          <w:color w:val="231F20"/>
          <w:spacing w:val="-7"/>
        </w:rPr>
        <w:t> </w:t>
      </w:r>
      <w:r>
        <w:rPr>
          <w:color w:val="231F20"/>
        </w:rPr>
        <w:t>the</w:t>
      </w:r>
      <w:r>
        <w:rPr>
          <w:color w:val="231F20"/>
          <w:spacing w:val="-6"/>
        </w:rPr>
        <w:t> </w:t>
      </w:r>
      <w:r>
        <w:rPr>
          <w:color w:val="231F20"/>
        </w:rPr>
        <w:t>vesting</w:t>
      </w:r>
      <w:r>
        <w:rPr>
          <w:color w:val="231F20"/>
          <w:spacing w:val="-6"/>
        </w:rPr>
        <w:t> </w:t>
      </w:r>
      <w:r>
        <w:rPr>
          <w:color w:val="231F20"/>
        </w:rPr>
        <w:t>period. The</w:t>
      </w:r>
      <w:r>
        <w:rPr>
          <w:color w:val="231F20"/>
          <w:spacing w:val="-9"/>
        </w:rPr>
        <w:t> </w:t>
      </w:r>
      <w:r>
        <w:rPr>
          <w:color w:val="231F20"/>
        </w:rPr>
        <w:t>Company</w:t>
      </w:r>
      <w:r>
        <w:rPr>
          <w:color w:val="231F20"/>
          <w:spacing w:val="-9"/>
        </w:rPr>
        <w:t> </w:t>
      </w:r>
      <w:r>
        <w:rPr>
          <w:color w:val="231F20"/>
        </w:rPr>
        <w:t>recognizes</w:t>
      </w:r>
      <w:r>
        <w:rPr>
          <w:color w:val="231F20"/>
          <w:spacing w:val="-9"/>
        </w:rPr>
        <w:t> </w:t>
      </w:r>
      <w:r>
        <w:rPr>
          <w:color w:val="231F20"/>
        </w:rPr>
        <w:t>all</w:t>
      </w:r>
      <w:r>
        <w:rPr>
          <w:color w:val="231F20"/>
          <w:spacing w:val="-11"/>
        </w:rPr>
        <w:t> </w:t>
      </w:r>
      <w:r>
        <w:rPr>
          <w:color w:val="231F20"/>
        </w:rPr>
        <w:t>expense</w:t>
      </w:r>
      <w:r>
        <w:rPr>
          <w:color w:val="231F20"/>
          <w:spacing w:val="-10"/>
        </w:rPr>
        <w:t> </w:t>
      </w:r>
      <w:r>
        <w:rPr>
          <w:color w:val="231F20"/>
        </w:rPr>
        <w:t>on</w:t>
      </w:r>
      <w:r>
        <w:rPr>
          <w:color w:val="231F20"/>
          <w:spacing w:val="-10"/>
        </w:rPr>
        <w:t> </w:t>
      </w:r>
      <w:r>
        <w:rPr>
          <w:color w:val="231F20"/>
        </w:rPr>
        <w:t>a</w:t>
      </w:r>
      <w:r>
        <w:rPr>
          <w:color w:val="231F20"/>
          <w:spacing w:val="-10"/>
        </w:rPr>
        <w:t> </w:t>
      </w:r>
      <w:r>
        <w:rPr>
          <w:color w:val="231F20"/>
        </w:rPr>
        <w:t>straight-line</w:t>
      </w:r>
      <w:r>
        <w:rPr>
          <w:color w:val="231F20"/>
          <w:spacing w:val="-10"/>
        </w:rPr>
        <w:t> </w:t>
      </w:r>
      <w:r>
        <w:rPr>
          <w:color w:val="231F20"/>
        </w:rPr>
        <w:t>basis</w:t>
      </w:r>
      <w:r>
        <w:rPr>
          <w:color w:val="231F20"/>
          <w:spacing w:val="-10"/>
        </w:rPr>
        <w:t> </w:t>
      </w:r>
      <w:r>
        <w:rPr>
          <w:color w:val="231F20"/>
        </w:rPr>
        <w:t>over</w:t>
      </w:r>
      <w:r>
        <w:rPr>
          <w:color w:val="231F20"/>
          <w:spacing w:val="-11"/>
        </w:rPr>
        <w:t> </w:t>
      </w:r>
      <w:r>
        <w:rPr>
          <w:color w:val="231F20"/>
        </w:rPr>
        <w:t>the</w:t>
      </w:r>
      <w:r>
        <w:rPr>
          <w:color w:val="231F20"/>
          <w:spacing w:val="-10"/>
        </w:rPr>
        <w:t> </w:t>
      </w:r>
      <w:r>
        <w:rPr>
          <w:color w:val="231F20"/>
        </w:rPr>
        <w:t>vesting</w:t>
      </w:r>
      <w:r>
        <w:rPr>
          <w:color w:val="231F20"/>
          <w:spacing w:val="-10"/>
        </w:rPr>
        <w:t> </w:t>
      </w:r>
      <w:r>
        <w:rPr>
          <w:color w:val="231F20"/>
        </w:rPr>
        <w:t>period,</w:t>
      </w:r>
      <w:r>
        <w:rPr>
          <w:color w:val="231F20"/>
          <w:spacing w:val="-10"/>
        </w:rPr>
        <w:t> </w:t>
      </w:r>
      <w:r>
        <w:rPr>
          <w:color w:val="231F20"/>
        </w:rPr>
        <w:t>with</w:t>
      </w:r>
      <w:r>
        <w:rPr>
          <w:color w:val="231F20"/>
          <w:spacing w:val="-10"/>
        </w:rPr>
        <w:t> </w:t>
      </w:r>
      <w:r>
        <w:rPr>
          <w:color w:val="231F20"/>
        </w:rPr>
        <w:t>any</w:t>
      </w:r>
      <w:r>
        <w:rPr>
          <w:color w:val="231F20"/>
          <w:spacing w:val="-10"/>
        </w:rPr>
        <w:t> </w:t>
      </w:r>
      <w:r>
        <w:rPr>
          <w:color w:val="231F20"/>
        </w:rPr>
        <w:t>changes</w:t>
      </w:r>
      <w:r>
        <w:rPr>
          <w:color w:val="231F20"/>
          <w:spacing w:val="-10"/>
        </w:rPr>
        <w:t> </w:t>
      </w:r>
      <w:r>
        <w:rPr>
          <w:color w:val="231F20"/>
        </w:rPr>
        <w:t>in expense</w:t>
      </w:r>
      <w:r>
        <w:rPr>
          <w:color w:val="231F20"/>
          <w:spacing w:val="-12"/>
        </w:rPr>
        <w:t> </w:t>
      </w:r>
      <w:r>
        <w:rPr>
          <w:color w:val="231F20"/>
        </w:rPr>
        <w:t>due</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number</w:t>
      </w:r>
      <w:r>
        <w:rPr>
          <w:color w:val="231F20"/>
          <w:spacing w:val="-13"/>
        </w:rPr>
        <w:t> </w:t>
      </w:r>
      <w:r>
        <w:rPr>
          <w:color w:val="231F20"/>
        </w:rPr>
        <w:t>of</w:t>
      </w:r>
      <w:r>
        <w:rPr>
          <w:color w:val="231F20"/>
          <w:spacing w:val="-13"/>
        </w:rPr>
        <w:t> </w:t>
      </w:r>
      <w:r>
        <w:rPr>
          <w:color w:val="231F20"/>
        </w:rPr>
        <w:t>PBRSUs</w:t>
      </w:r>
      <w:r>
        <w:rPr>
          <w:color w:val="231F20"/>
          <w:spacing w:val="-12"/>
        </w:rPr>
        <w:t> </w:t>
      </w:r>
      <w:r>
        <w:rPr>
          <w:color w:val="231F20"/>
        </w:rPr>
        <w:t>expected</w:t>
      </w:r>
      <w:r>
        <w:rPr>
          <w:color w:val="231F20"/>
          <w:spacing w:val="-12"/>
        </w:rPr>
        <w:t> </w:t>
      </w:r>
      <w:r>
        <w:rPr>
          <w:color w:val="231F20"/>
        </w:rPr>
        <w:t>to</w:t>
      </w:r>
      <w:r>
        <w:rPr>
          <w:color w:val="231F20"/>
          <w:spacing w:val="-12"/>
        </w:rPr>
        <w:t> </w:t>
      </w:r>
      <w:r>
        <w:rPr>
          <w:color w:val="231F20"/>
        </w:rPr>
        <w:t>vest</w:t>
      </w:r>
      <w:r>
        <w:rPr>
          <w:color w:val="231F20"/>
          <w:spacing w:val="-13"/>
        </w:rPr>
        <w:t> </w:t>
      </w:r>
      <w:r>
        <w:rPr>
          <w:color w:val="231F20"/>
        </w:rPr>
        <w:t>being</w:t>
      </w:r>
      <w:r>
        <w:rPr>
          <w:color w:val="231F20"/>
          <w:spacing w:val="-12"/>
        </w:rPr>
        <w:t> </w:t>
      </w:r>
      <w:r>
        <w:rPr>
          <w:color w:val="231F20"/>
        </w:rPr>
        <w:t>modified</w:t>
      </w:r>
      <w:r>
        <w:rPr>
          <w:color w:val="231F20"/>
          <w:spacing w:val="-12"/>
        </w:rPr>
        <w:t> </w:t>
      </w:r>
      <w:r>
        <w:rPr>
          <w:color w:val="231F20"/>
        </w:rPr>
        <w:t>on</w:t>
      </w:r>
      <w:r>
        <w:rPr>
          <w:color w:val="231F20"/>
          <w:spacing w:val="-12"/>
        </w:rPr>
        <w:t> </w:t>
      </w:r>
      <w:r>
        <w:rPr>
          <w:color w:val="231F20"/>
        </w:rPr>
        <w:t>a</w:t>
      </w:r>
      <w:r>
        <w:rPr>
          <w:color w:val="231F20"/>
          <w:spacing w:val="-12"/>
        </w:rPr>
        <w:t> </w:t>
      </w:r>
      <w:r>
        <w:rPr>
          <w:color w:val="231F20"/>
        </w:rPr>
        <w:t>prospective</w:t>
      </w:r>
      <w:r>
        <w:rPr>
          <w:color w:val="231F20"/>
          <w:spacing w:val="-12"/>
        </w:rPr>
        <w:t> </w:t>
      </w:r>
      <w:r>
        <w:rPr>
          <w:color w:val="231F20"/>
          <w:spacing w:val="-2"/>
        </w:rPr>
        <w:t>basis.</w:t>
      </w:r>
    </w:p>
    <w:p>
      <w:pPr>
        <w:pStyle w:val="BodyText"/>
        <w:spacing w:before="9"/>
        <w:rPr>
          <w:sz w:val="20"/>
        </w:rPr>
      </w:pPr>
    </w:p>
    <w:p>
      <w:pPr>
        <w:pStyle w:val="BodyText"/>
        <w:ind w:left="100"/>
        <w:jc w:val="both"/>
      </w:pPr>
      <w:r>
        <w:rPr>
          <w:color w:val="231F20"/>
        </w:rPr>
        <w:t>Aggregated information regarding the Company’s RSUs and PBRSUs is summarized below:</w:t>
      </w:r>
    </w:p>
    <w:p>
      <w:pPr>
        <w:spacing w:before="205" w:after="16"/>
        <w:ind w:left="0" w:right="749" w:firstLine="0"/>
        <w:jc w:val="right"/>
        <w:rPr>
          <w:b/>
          <w:sz w:val="20"/>
        </w:rPr>
      </w:pPr>
      <w:r>
        <w:rPr>
          <w:b/>
          <w:color w:val="231F20"/>
          <w:sz w:val="20"/>
        </w:rPr>
        <w:t>All Restricted Stock Units</w:t>
      </w:r>
    </w:p>
    <w:p>
      <w:pPr>
        <w:pStyle w:val="BodyText"/>
        <w:spacing w:line="20" w:lineRule="exact"/>
        <w:ind w:left="5730"/>
        <w:rPr>
          <w:sz w:val="2"/>
        </w:rPr>
      </w:pPr>
      <w:r>
        <w:rPr>
          <w:sz w:val="2"/>
        </w:rPr>
        <w:pict>
          <v:group style="width:175pt;height:1pt;mso-position-horizontal-relative:char;mso-position-vertical-relative:line" coordorigin="0,0" coordsize="3500,20">
            <v:line style="position:absolute" from="10,10" to="3490,10" stroked="true" strokeweight="1pt" strokecolor="#231f20">
              <v:stroke dashstyle="solid"/>
            </v:line>
          </v:group>
        </w:pict>
      </w:r>
      <w:r>
        <w:rPr>
          <w:sz w:val="2"/>
        </w:rPr>
      </w:r>
    </w:p>
    <w:p>
      <w:pPr>
        <w:spacing w:line="200" w:lineRule="exact" w:before="40"/>
        <w:ind w:left="7961" w:right="306" w:hanging="136"/>
        <w:jc w:val="left"/>
        <w:rPr>
          <w:b/>
          <w:sz w:val="20"/>
        </w:rPr>
      </w:pPr>
      <w:r>
        <w:rPr/>
        <w:pict>
          <v:shape style="position:absolute;margin-left:69pt;margin-top:20.700001pt;width:456pt;height:264.5pt;mso-position-horizontal-relative:page;mso-position-vertical-relative:paragraph;z-index:44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40"/>
                    <w:gridCol w:w="1880"/>
                    <w:gridCol w:w="1600"/>
                  </w:tblGrid>
                  <w:tr>
                    <w:trPr>
                      <w:trHeight w:val="256" w:hRule="exact"/>
                    </w:trPr>
                    <w:tc>
                      <w:tcPr>
                        <w:tcW w:w="5640" w:type="dxa"/>
                      </w:tcPr>
                      <w:p>
                        <w:pPr/>
                      </w:p>
                    </w:tc>
                    <w:tc>
                      <w:tcPr>
                        <w:tcW w:w="1880" w:type="dxa"/>
                      </w:tcPr>
                      <w:p>
                        <w:pPr>
                          <w:pStyle w:val="TableParagraph"/>
                          <w:spacing w:line="229" w:lineRule="exact" w:before="0"/>
                          <w:ind w:left="370"/>
                          <w:rPr>
                            <w:b/>
                            <w:sz w:val="20"/>
                          </w:rPr>
                        </w:pPr>
                        <w:r>
                          <w:rPr>
                            <w:b/>
                            <w:color w:val="231F20"/>
                            <w:sz w:val="20"/>
                          </w:rPr>
                          <w:t>Units (000)</w:t>
                        </w:r>
                      </w:p>
                    </w:tc>
                    <w:tc>
                      <w:tcPr>
                        <w:tcW w:w="1600" w:type="dxa"/>
                        <w:tcBorders>
                          <w:bottom w:val="single" w:sz="8" w:space="0" w:color="231F20"/>
                        </w:tcBorders>
                      </w:tcPr>
                      <w:p>
                        <w:pPr>
                          <w:pStyle w:val="TableParagraph"/>
                          <w:spacing w:line="229" w:lineRule="exact" w:before="0"/>
                          <w:ind w:left="329"/>
                          <w:rPr>
                            <w:b/>
                            <w:sz w:val="20"/>
                          </w:rPr>
                        </w:pPr>
                        <w:r>
                          <w:rPr>
                            <w:b/>
                            <w:color w:val="231F20"/>
                            <w:sz w:val="20"/>
                          </w:rPr>
                          <w:t>(per share)</w:t>
                        </w:r>
                      </w:p>
                    </w:tc>
                  </w:tr>
                  <w:tr>
                    <w:trPr>
                      <w:trHeight w:val="310" w:hRule="exact"/>
                    </w:trPr>
                    <w:tc>
                      <w:tcPr>
                        <w:tcW w:w="5640" w:type="dxa"/>
                        <w:shd w:val="clear" w:color="auto" w:fill="D1D3D4"/>
                      </w:tcPr>
                      <w:p>
                        <w:pPr>
                          <w:pStyle w:val="TableParagraph"/>
                          <w:rPr>
                            <w:sz w:val="20"/>
                          </w:rPr>
                        </w:pPr>
                        <w:r>
                          <w:rPr>
                            <w:color w:val="231F20"/>
                            <w:sz w:val="20"/>
                          </w:rPr>
                          <w:t>Outstanding December 31, 2013, Unvested</w:t>
                        </w:r>
                      </w:p>
                    </w:tc>
                    <w:tc>
                      <w:tcPr>
                        <w:tcW w:w="1880" w:type="dxa"/>
                        <w:shd w:val="clear" w:color="auto" w:fill="D1D3D4"/>
                      </w:tcPr>
                      <w:p>
                        <w:pPr>
                          <w:pStyle w:val="TableParagraph"/>
                          <w:spacing w:before="63"/>
                          <w:ind w:left="1163"/>
                          <w:rPr>
                            <w:sz w:val="20"/>
                          </w:rPr>
                        </w:pPr>
                        <w:r>
                          <w:rPr>
                            <w:color w:val="231F20"/>
                            <w:sz w:val="20"/>
                          </w:rPr>
                          <w:t>2,584</w:t>
                        </w:r>
                      </w:p>
                    </w:tc>
                    <w:tc>
                      <w:tcPr>
                        <w:tcW w:w="1600" w:type="dxa"/>
                        <w:tcBorders>
                          <w:top w:val="single" w:sz="8" w:space="0" w:color="231F20"/>
                        </w:tcBorders>
                        <w:shd w:val="clear" w:color="auto" w:fill="D1D3D4"/>
                      </w:tcPr>
                      <w:p>
                        <w:pPr>
                          <w:pStyle w:val="TableParagraph"/>
                          <w:tabs>
                            <w:tab w:pos="1082" w:val="left" w:leader="none"/>
                          </w:tabs>
                          <w:ind w:right="64"/>
                          <w:jc w:val="right"/>
                          <w:rPr>
                            <w:sz w:val="20"/>
                          </w:rPr>
                        </w:pPr>
                        <w:r>
                          <w:rPr>
                            <w:color w:val="231F20"/>
                            <w:sz w:val="20"/>
                          </w:rPr>
                          <w:t>$</w:t>
                          <w:tab/>
                          <w:t>11.38</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22"/>
                          <w:jc w:val="right"/>
                          <w:rPr>
                            <w:sz w:val="20"/>
                          </w:rPr>
                        </w:pPr>
                        <w:r>
                          <w:rPr>
                            <w:color w:val="231F20"/>
                            <w:sz w:val="20"/>
                          </w:rPr>
                          <w:t>834 (a)</w:t>
                        </w:r>
                      </w:p>
                    </w:tc>
                    <w:tc>
                      <w:tcPr>
                        <w:tcW w:w="1600" w:type="dxa"/>
                      </w:tcPr>
                      <w:p>
                        <w:pPr>
                          <w:pStyle w:val="TableParagraph"/>
                          <w:ind w:right="66"/>
                          <w:jc w:val="right"/>
                          <w:rPr>
                            <w:sz w:val="20"/>
                          </w:rPr>
                        </w:pPr>
                        <w:r>
                          <w:rPr>
                            <w:color w:val="231F20"/>
                            <w:sz w:val="20"/>
                          </w:rPr>
                          <w:t>24.93</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(1,239)</w:t>
                        </w:r>
                      </w:p>
                    </w:tc>
                    <w:tc>
                      <w:tcPr>
                        <w:tcW w:w="1600" w:type="dxa"/>
                        <w:shd w:val="clear" w:color="auto" w:fill="D1D3D4"/>
                      </w:tcPr>
                      <w:p>
                        <w:pPr>
                          <w:pStyle w:val="TableParagraph"/>
                          <w:ind w:right="66"/>
                          <w:jc w:val="right"/>
                          <w:rPr>
                            <w:sz w:val="20"/>
                          </w:rPr>
                        </w:pPr>
                        <w:r>
                          <w:rPr>
                            <w:color w:val="231F20"/>
                            <w:sz w:val="20"/>
                          </w:rPr>
                          <w:t>11.05</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left="1246"/>
                          <w:rPr>
                            <w:sz w:val="20"/>
                          </w:rPr>
                        </w:pPr>
                        <w:r>
                          <w:rPr>
                            <w:color w:val="231F20"/>
                            <w:sz w:val="20"/>
                          </w:rPr>
                          <w:t>(102)</w:t>
                        </w:r>
                      </w:p>
                    </w:tc>
                    <w:tc>
                      <w:tcPr>
                        <w:tcW w:w="1600" w:type="dxa"/>
                      </w:tcPr>
                      <w:p>
                        <w:pPr>
                          <w:pStyle w:val="TableParagraph"/>
                          <w:ind w:right="64"/>
                          <w:jc w:val="right"/>
                          <w:rPr>
                            <w:sz w:val="20"/>
                          </w:rPr>
                        </w:pPr>
                        <w:r>
                          <w:rPr>
                            <w:color w:val="231F20"/>
                            <w:sz w:val="20"/>
                          </w:rPr>
                          <w:t>13.18</w:t>
                        </w:r>
                      </w:p>
                    </w:tc>
                  </w:tr>
                  <w:tr>
                    <w:trPr>
                      <w:trHeight w:val="305" w:hRule="exact"/>
                    </w:trPr>
                    <w:tc>
                      <w:tcPr>
                        <w:tcW w:w="5640" w:type="dxa"/>
                        <w:shd w:val="clear" w:color="auto" w:fill="D1D3D4"/>
                      </w:tcPr>
                      <w:p>
                        <w:pPr>
                          <w:pStyle w:val="TableParagraph"/>
                          <w:rPr>
                            <w:sz w:val="20"/>
                          </w:rPr>
                        </w:pPr>
                        <w:r>
                          <w:rPr>
                            <w:color w:val="231F20"/>
                            <w:sz w:val="20"/>
                          </w:rPr>
                          <w:t>Outstanding December 31, 2014</w:t>
                        </w:r>
                      </w:p>
                    </w:tc>
                    <w:tc>
                      <w:tcPr>
                        <w:tcW w:w="1880" w:type="dxa"/>
                        <w:tcBorders>
                          <w:top w:val="single" w:sz="4" w:space="0" w:color="231F20"/>
                        </w:tcBorders>
                        <w:shd w:val="clear" w:color="auto" w:fill="D1D3D4"/>
                      </w:tcPr>
                      <w:p>
                        <w:pPr>
                          <w:pStyle w:val="TableParagraph"/>
                          <w:ind w:left="1163"/>
                          <w:rPr>
                            <w:sz w:val="20"/>
                          </w:rPr>
                        </w:pPr>
                        <w:r>
                          <w:rPr>
                            <w:color w:val="231F20"/>
                            <w:sz w:val="20"/>
                          </w:rPr>
                          <w:t>2,077</w:t>
                        </w:r>
                      </w:p>
                    </w:tc>
                    <w:tc>
                      <w:tcPr>
                        <w:tcW w:w="1600" w:type="dxa"/>
                        <w:shd w:val="clear" w:color="auto" w:fill="D1D3D4"/>
                      </w:tcPr>
                      <w:p>
                        <w:pPr>
                          <w:pStyle w:val="TableParagraph"/>
                          <w:ind w:right="64"/>
                          <w:jc w:val="right"/>
                          <w:rPr>
                            <w:sz w:val="20"/>
                          </w:rPr>
                        </w:pPr>
                        <w:r>
                          <w:rPr>
                            <w:color w:val="231F20"/>
                            <w:sz w:val="20"/>
                          </w:rPr>
                          <w:t>16.92</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34"/>
                          <w:jc w:val="right"/>
                          <w:rPr>
                            <w:sz w:val="20"/>
                          </w:rPr>
                        </w:pPr>
                        <w:r>
                          <w:rPr>
                            <w:color w:val="231F20"/>
                            <w:sz w:val="20"/>
                          </w:rPr>
                          <w:t>561 (b)</w:t>
                        </w:r>
                      </w:p>
                    </w:tc>
                    <w:tc>
                      <w:tcPr>
                        <w:tcW w:w="1600" w:type="dxa"/>
                      </w:tcPr>
                      <w:p>
                        <w:pPr>
                          <w:pStyle w:val="TableParagraph"/>
                          <w:ind w:right="66"/>
                          <w:jc w:val="right"/>
                          <w:rPr>
                            <w:sz w:val="20"/>
                          </w:rPr>
                        </w:pPr>
                        <w:r>
                          <w:rPr>
                            <w:color w:val="231F20"/>
                            <w:sz w:val="20"/>
                          </w:rPr>
                          <w:t>45.80</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096"/>
                          <w:rPr>
                            <w:sz w:val="20"/>
                          </w:rPr>
                        </w:pPr>
                        <w:r>
                          <w:rPr>
                            <w:color w:val="231F20"/>
                            <w:sz w:val="20"/>
                          </w:rPr>
                          <w:t>(1,095)</w:t>
                        </w:r>
                      </w:p>
                    </w:tc>
                    <w:tc>
                      <w:tcPr>
                        <w:tcW w:w="1600" w:type="dxa"/>
                        <w:shd w:val="clear" w:color="auto" w:fill="D1D3D4"/>
                      </w:tcPr>
                      <w:p>
                        <w:pPr>
                          <w:pStyle w:val="TableParagraph"/>
                          <w:ind w:right="66"/>
                          <w:jc w:val="right"/>
                          <w:rPr>
                            <w:sz w:val="20"/>
                          </w:rPr>
                        </w:pPr>
                        <w:r>
                          <w:rPr>
                            <w:color w:val="231F20"/>
                            <w:sz w:val="20"/>
                          </w:rPr>
                          <w:t>13.33</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right="198"/>
                          <w:jc w:val="right"/>
                          <w:rPr>
                            <w:sz w:val="20"/>
                          </w:rPr>
                        </w:pPr>
                        <w:r>
                          <w:rPr>
                            <w:color w:val="231F20"/>
                            <w:sz w:val="20"/>
                          </w:rPr>
                          <w:t>(58)</w:t>
                        </w:r>
                      </w:p>
                    </w:tc>
                    <w:tc>
                      <w:tcPr>
                        <w:tcW w:w="1600" w:type="dxa"/>
                      </w:tcPr>
                      <w:p>
                        <w:pPr>
                          <w:pStyle w:val="TableParagraph"/>
                          <w:ind w:right="64"/>
                          <w:jc w:val="right"/>
                          <w:rPr>
                            <w:sz w:val="20"/>
                          </w:rPr>
                        </w:pPr>
                        <w:r>
                          <w:rPr>
                            <w:color w:val="231F20"/>
                            <w:sz w:val="20"/>
                          </w:rPr>
                          <w:t>25.49</w:t>
                        </w:r>
                      </w:p>
                    </w:tc>
                  </w:tr>
                  <w:tr>
                    <w:trPr>
                      <w:trHeight w:val="305" w:hRule="exact"/>
                    </w:trPr>
                    <w:tc>
                      <w:tcPr>
                        <w:tcW w:w="5640" w:type="dxa"/>
                        <w:shd w:val="clear" w:color="auto" w:fill="D1D3D4"/>
                      </w:tcPr>
                      <w:p>
                        <w:pPr>
                          <w:pStyle w:val="TableParagraph"/>
                          <w:rPr>
                            <w:sz w:val="20"/>
                          </w:rPr>
                        </w:pPr>
                        <w:r>
                          <w:rPr>
                            <w:color w:val="231F20"/>
                            <w:sz w:val="20"/>
                          </w:rPr>
                          <w:t>Outstanding December 31, 2015</w:t>
                        </w:r>
                      </w:p>
                    </w:tc>
                    <w:tc>
                      <w:tcPr>
                        <w:tcW w:w="1880" w:type="dxa"/>
                        <w:tcBorders>
                          <w:top w:val="single" w:sz="4" w:space="0" w:color="231F20"/>
                        </w:tcBorders>
                        <w:shd w:val="clear" w:color="auto" w:fill="D1D3D4"/>
                      </w:tcPr>
                      <w:p>
                        <w:pPr>
                          <w:pStyle w:val="TableParagraph"/>
                          <w:ind w:left="1163"/>
                          <w:rPr>
                            <w:sz w:val="20"/>
                          </w:rPr>
                        </w:pPr>
                        <w:r>
                          <w:rPr>
                            <w:color w:val="231F20"/>
                            <w:sz w:val="20"/>
                          </w:rPr>
                          <w:t>1,485</w:t>
                        </w:r>
                      </w:p>
                    </w:tc>
                    <w:tc>
                      <w:tcPr>
                        <w:tcW w:w="1600" w:type="dxa"/>
                        <w:shd w:val="clear" w:color="auto" w:fill="D1D3D4"/>
                      </w:tcPr>
                      <w:p>
                        <w:pPr>
                          <w:pStyle w:val="TableParagraph"/>
                          <w:ind w:right="64"/>
                          <w:jc w:val="right"/>
                          <w:rPr>
                            <w:sz w:val="20"/>
                          </w:rPr>
                        </w:pPr>
                        <w:r>
                          <w:rPr>
                            <w:color w:val="231F20"/>
                            <w:sz w:val="20"/>
                          </w:rPr>
                          <w:t>30.17</w:t>
                        </w:r>
                      </w:p>
                    </w:tc>
                  </w:tr>
                  <w:tr>
                    <w:trPr>
                      <w:trHeight w:val="300" w:hRule="exact"/>
                    </w:trPr>
                    <w:tc>
                      <w:tcPr>
                        <w:tcW w:w="5640" w:type="dxa"/>
                      </w:tcPr>
                      <w:p>
                        <w:pPr>
                          <w:pStyle w:val="TableParagraph"/>
                          <w:rPr>
                            <w:sz w:val="20"/>
                          </w:rPr>
                        </w:pPr>
                        <w:r>
                          <w:rPr>
                            <w:color w:val="231F20"/>
                            <w:sz w:val="20"/>
                          </w:rPr>
                          <w:t>Granted</w:t>
                        </w:r>
                      </w:p>
                    </w:tc>
                    <w:tc>
                      <w:tcPr>
                        <w:tcW w:w="1880" w:type="dxa"/>
                      </w:tcPr>
                      <w:p>
                        <w:pPr>
                          <w:pStyle w:val="TableParagraph"/>
                          <w:ind w:right="-22"/>
                          <w:jc w:val="right"/>
                          <w:rPr>
                            <w:sz w:val="20"/>
                          </w:rPr>
                        </w:pPr>
                        <w:r>
                          <w:rPr>
                            <w:color w:val="231F20"/>
                            <w:sz w:val="20"/>
                          </w:rPr>
                          <w:t>675 (c)</w:t>
                        </w:r>
                      </w:p>
                    </w:tc>
                    <w:tc>
                      <w:tcPr>
                        <w:tcW w:w="1600" w:type="dxa"/>
                      </w:tcPr>
                      <w:p>
                        <w:pPr>
                          <w:pStyle w:val="TableParagraph"/>
                          <w:ind w:right="66"/>
                          <w:jc w:val="right"/>
                          <w:rPr>
                            <w:sz w:val="20"/>
                          </w:rPr>
                        </w:pPr>
                        <w:r>
                          <w:rPr>
                            <w:color w:val="231F20"/>
                            <w:sz w:val="20"/>
                          </w:rPr>
                          <w:t>37.29</w:t>
                        </w:r>
                      </w:p>
                    </w:tc>
                  </w:tr>
                  <w:tr>
                    <w:trPr>
                      <w:trHeight w:val="300" w:hRule="exact"/>
                    </w:trPr>
                    <w:tc>
                      <w:tcPr>
                        <w:tcW w:w="5640" w:type="dxa"/>
                        <w:shd w:val="clear" w:color="auto" w:fill="D1D3D4"/>
                      </w:tcPr>
                      <w:p>
                        <w:pPr>
                          <w:pStyle w:val="TableParagraph"/>
                          <w:rPr>
                            <w:sz w:val="20"/>
                          </w:rPr>
                        </w:pPr>
                        <w:r>
                          <w:rPr>
                            <w:color w:val="231F20"/>
                            <w:sz w:val="20"/>
                          </w:rPr>
                          <w:t>Vested</w:t>
                        </w:r>
                      </w:p>
                    </w:tc>
                    <w:tc>
                      <w:tcPr>
                        <w:tcW w:w="1880" w:type="dxa"/>
                        <w:shd w:val="clear" w:color="auto" w:fill="D1D3D4"/>
                      </w:tcPr>
                      <w:p>
                        <w:pPr>
                          <w:pStyle w:val="TableParagraph"/>
                          <w:ind w:left="1246"/>
                          <w:rPr>
                            <w:sz w:val="20"/>
                          </w:rPr>
                        </w:pPr>
                        <w:r>
                          <w:rPr>
                            <w:color w:val="231F20"/>
                            <w:sz w:val="20"/>
                          </w:rPr>
                          <w:t>(665)</w:t>
                        </w:r>
                      </w:p>
                    </w:tc>
                    <w:tc>
                      <w:tcPr>
                        <w:tcW w:w="1600" w:type="dxa"/>
                        <w:shd w:val="clear" w:color="auto" w:fill="D1D3D4"/>
                      </w:tcPr>
                      <w:p>
                        <w:pPr>
                          <w:pStyle w:val="TableParagraph"/>
                          <w:ind w:right="66"/>
                          <w:jc w:val="right"/>
                          <w:rPr>
                            <w:sz w:val="20"/>
                          </w:rPr>
                        </w:pPr>
                        <w:r>
                          <w:rPr>
                            <w:color w:val="231F20"/>
                            <w:sz w:val="20"/>
                          </w:rPr>
                          <w:t>23.29</w:t>
                        </w:r>
                      </w:p>
                    </w:tc>
                  </w:tr>
                  <w:tr>
                    <w:trPr>
                      <w:trHeight w:val="375" w:hRule="exact"/>
                    </w:trPr>
                    <w:tc>
                      <w:tcPr>
                        <w:tcW w:w="5640" w:type="dxa"/>
                      </w:tcPr>
                      <w:p>
                        <w:pPr>
                          <w:pStyle w:val="TableParagraph"/>
                          <w:rPr>
                            <w:sz w:val="20"/>
                          </w:rPr>
                        </w:pPr>
                        <w:r>
                          <w:rPr>
                            <w:color w:val="231F20"/>
                            <w:sz w:val="20"/>
                          </w:rPr>
                          <w:t>Surrendered</w:t>
                        </w:r>
                      </w:p>
                    </w:tc>
                    <w:tc>
                      <w:tcPr>
                        <w:tcW w:w="1880" w:type="dxa"/>
                        <w:tcBorders>
                          <w:bottom w:val="single" w:sz="4" w:space="0" w:color="231F20"/>
                        </w:tcBorders>
                      </w:tcPr>
                      <w:p>
                        <w:pPr>
                          <w:pStyle w:val="TableParagraph"/>
                          <w:ind w:right="198"/>
                          <w:jc w:val="right"/>
                          <w:rPr>
                            <w:sz w:val="20"/>
                          </w:rPr>
                        </w:pPr>
                        <w:r>
                          <w:rPr>
                            <w:color w:val="231F20"/>
                            <w:sz w:val="20"/>
                          </w:rPr>
                          <w:t>(56)</w:t>
                        </w:r>
                      </w:p>
                    </w:tc>
                    <w:tc>
                      <w:tcPr>
                        <w:tcW w:w="1600" w:type="dxa"/>
                      </w:tcPr>
                      <w:p>
                        <w:pPr>
                          <w:pStyle w:val="TableParagraph"/>
                          <w:ind w:right="64"/>
                          <w:jc w:val="right"/>
                          <w:rPr>
                            <w:sz w:val="20"/>
                          </w:rPr>
                        </w:pPr>
                        <w:r>
                          <w:rPr>
                            <w:color w:val="231F20"/>
                            <w:sz w:val="20"/>
                          </w:rPr>
                          <w:t>36.29</w:t>
                        </w:r>
                      </w:p>
                    </w:tc>
                  </w:tr>
                  <w:tr>
                    <w:trPr>
                      <w:trHeight w:val="400" w:hRule="exact"/>
                    </w:trPr>
                    <w:tc>
                      <w:tcPr>
                        <w:tcW w:w="5640" w:type="dxa"/>
                        <w:shd w:val="clear" w:color="auto" w:fill="D1D3D4"/>
                      </w:tcPr>
                      <w:p>
                        <w:pPr>
                          <w:pStyle w:val="TableParagraph"/>
                          <w:rPr>
                            <w:sz w:val="20"/>
                          </w:rPr>
                        </w:pPr>
                        <w:r>
                          <w:rPr>
                            <w:color w:val="231F20"/>
                            <w:sz w:val="20"/>
                          </w:rPr>
                          <w:t>Outstanding December 31, 2016, Unvested</w:t>
                        </w:r>
                      </w:p>
                    </w:tc>
                    <w:tc>
                      <w:tcPr>
                        <w:tcW w:w="1880" w:type="dxa"/>
                        <w:tcBorders>
                          <w:top w:val="single" w:sz="4" w:space="0" w:color="231F20"/>
                          <w:bottom w:val="double" w:sz="7" w:space="0" w:color="231F20"/>
                        </w:tcBorders>
                        <w:shd w:val="clear" w:color="auto" w:fill="D1D3D4"/>
                      </w:tcPr>
                      <w:p>
                        <w:pPr>
                          <w:pStyle w:val="TableParagraph"/>
                          <w:ind w:left="1163"/>
                          <w:rPr>
                            <w:sz w:val="20"/>
                          </w:rPr>
                        </w:pPr>
                        <w:r>
                          <w:rPr>
                            <w:color w:val="231F20"/>
                            <w:sz w:val="20"/>
                          </w:rPr>
                          <w:t>1,439</w:t>
                        </w:r>
                      </w:p>
                    </w:tc>
                    <w:tc>
                      <w:tcPr>
                        <w:tcW w:w="1600" w:type="dxa"/>
                        <w:shd w:val="clear" w:color="auto" w:fill="D1D3D4"/>
                      </w:tcPr>
                      <w:p>
                        <w:pPr>
                          <w:pStyle w:val="TableParagraph"/>
                          <w:tabs>
                            <w:tab w:pos="1082" w:val="left" w:leader="none"/>
                          </w:tabs>
                          <w:ind w:right="64"/>
                          <w:jc w:val="right"/>
                          <w:rPr>
                            <w:sz w:val="20"/>
                          </w:rPr>
                        </w:pPr>
                        <w:r>
                          <w:rPr>
                            <w:color w:val="231F20"/>
                            <w:sz w:val="20"/>
                          </w:rPr>
                          <w:t>$</w:t>
                          <w:tab/>
                          <w:t>36.52</w:t>
                        </w:r>
                      </w:p>
                    </w:tc>
                  </w:tr>
                  <w:tr>
                    <w:trPr>
                      <w:trHeight w:val="789" w:hRule="exact"/>
                    </w:trPr>
                    <w:tc>
                      <w:tcPr>
                        <w:tcW w:w="5640" w:type="dxa"/>
                      </w:tcPr>
                      <w:p>
                        <w:pPr>
                          <w:pStyle w:val="TableParagraph"/>
                          <w:numPr>
                            <w:ilvl w:val="0"/>
                            <w:numId w:val="18"/>
                          </w:numPr>
                          <w:tabs>
                            <w:tab w:pos="273" w:val="left" w:leader="none"/>
                          </w:tabs>
                          <w:spacing w:line="240" w:lineRule="auto" w:before="173" w:after="0"/>
                          <w:ind w:left="273" w:right="0" w:hanging="273"/>
                          <w:jc w:val="left"/>
                          <w:rPr>
                            <w:sz w:val="20"/>
                          </w:rPr>
                        </w:pPr>
                        <w:r>
                          <w:rPr>
                            <w:color w:val="231F20"/>
                            <w:sz w:val="20"/>
                          </w:rPr>
                          <w:t>Includes 198 thousand PBRSUs</w:t>
                        </w:r>
                      </w:p>
                      <w:p>
                        <w:pPr>
                          <w:pStyle w:val="TableParagraph"/>
                          <w:numPr>
                            <w:ilvl w:val="0"/>
                            <w:numId w:val="18"/>
                          </w:numPr>
                          <w:tabs>
                            <w:tab w:pos="284" w:val="left" w:leader="none"/>
                          </w:tabs>
                          <w:spacing w:line="240" w:lineRule="auto" w:before="9" w:after="0"/>
                          <w:ind w:left="284" w:right="0" w:hanging="284"/>
                          <w:jc w:val="left"/>
                          <w:rPr>
                            <w:sz w:val="20"/>
                          </w:rPr>
                        </w:pPr>
                        <w:r>
                          <w:rPr>
                            <w:color w:val="231F20"/>
                            <w:sz w:val="20"/>
                          </w:rPr>
                          <w:t>Includes 183 thousand</w:t>
                        </w:r>
                        <w:r>
                          <w:rPr>
                            <w:color w:val="231F20"/>
                            <w:spacing w:val="1"/>
                            <w:sz w:val="20"/>
                          </w:rPr>
                          <w:t> </w:t>
                        </w:r>
                        <w:r>
                          <w:rPr>
                            <w:color w:val="231F20"/>
                            <w:sz w:val="20"/>
                          </w:rPr>
                          <w:t>PBRSUs</w:t>
                        </w:r>
                      </w:p>
                      <w:p>
                        <w:pPr>
                          <w:pStyle w:val="TableParagraph"/>
                          <w:numPr>
                            <w:ilvl w:val="0"/>
                            <w:numId w:val="18"/>
                          </w:numPr>
                          <w:tabs>
                            <w:tab w:pos="273" w:val="left" w:leader="none"/>
                          </w:tabs>
                          <w:spacing w:line="240" w:lineRule="auto" w:before="9" w:after="0"/>
                          <w:ind w:left="273" w:right="0" w:hanging="273"/>
                          <w:jc w:val="left"/>
                          <w:rPr>
                            <w:sz w:val="20"/>
                          </w:rPr>
                        </w:pPr>
                        <w:r>
                          <w:rPr>
                            <w:color w:val="231F20"/>
                            <w:sz w:val="20"/>
                          </w:rPr>
                          <w:t>Includes 247 thousand PBRSUs</w:t>
                        </w:r>
                      </w:p>
                    </w:tc>
                    <w:tc>
                      <w:tcPr>
                        <w:tcW w:w="1880" w:type="dxa"/>
                        <w:tcBorders>
                          <w:top w:val="double" w:sz="7" w:space="0" w:color="231F20"/>
                        </w:tcBorders>
                      </w:tcPr>
                      <w:p>
                        <w:pPr/>
                      </w:p>
                    </w:tc>
                    <w:tc>
                      <w:tcPr>
                        <w:tcW w:w="1600" w:type="dxa"/>
                      </w:tcPr>
                      <w:p>
                        <w:pPr/>
                      </w:p>
                    </w:tc>
                  </w:tr>
                </w:tbl>
                <w:p>
                  <w:pPr>
                    <w:pStyle w:val="BodyText"/>
                  </w:pPr>
                </w:p>
              </w:txbxContent>
            </v:textbox>
            <w10:wrap type="none"/>
          </v:shape>
        </w:pict>
      </w:r>
      <w:r>
        <w:rPr>
          <w:b/>
          <w:color w:val="231F20"/>
          <w:sz w:val="20"/>
        </w:rPr>
        <w:t>Wtd. Average Fair Value</w:t>
      </w:r>
    </w:p>
    <w:p>
      <w:pPr>
        <w:pStyle w:val="BodyText"/>
        <w:spacing w:before="8"/>
        <w:rPr>
          <w:b/>
          <w:sz w:val="15"/>
        </w:rPr>
      </w:pPr>
      <w:r>
        <w:rPr/>
        <w:pict>
          <v:line style="position:absolute;mso-position-horizontal-relative:page;mso-position-vertical-relative:paragraph;z-index:4456;mso-wrap-distance-left:0;mso-wrap-distance-right:0" from="351pt,11.5pt" to="435pt,11.5pt" stroked="true" strokeweight="1pt" strokecolor="#231f20">
            <v:stroke dashstyle="solid"/>
            <w10:wrap type="topAndBottom"/>
          </v:line>
        </w:pict>
      </w:r>
    </w:p>
    <w:p>
      <w:pPr>
        <w:spacing w:after="0"/>
        <w:rPr>
          <w:sz w:val="15"/>
        </w:rPr>
        <w:sectPr>
          <w:pgSz w:w="11880" w:h="15480"/>
          <w:pgMar w:header="0" w:footer="1240" w:top="1240" w:bottom="1420" w:left="1280" w:right="1260"/>
        </w:sectPr>
      </w:pPr>
    </w:p>
    <w:p>
      <w:pPr>
        <w:pStyle w:val="BodyText"/>
        <w:spacing w:line="247" w:lineRule="auto" w:before="74"/>
        <w:ind w:left="100" w:right="117"/>
        <w:jc w:val="both"/>
      </w:pPr>
      <w:bookmarkStart w:name="10. FINANCIAL DERIVATIVE INSTRUMENTS" w:id="34"/>
      <w:bookmarkEnd w:id="34"/>
      <w:r>
        <w:rPr/>
      </w:r>
      <w:r>
        <w:rPr>
          <w:color w:val="231F20"/>
        </w:rPr>
        <w:t>In addition, the Company granted approximately 27 thousand shares of unrestricted stock at a weighted average grant price of $42.90 in 2016, approximately 28 thousand shares at a weighted average grant price of $41.27 in 2015, and approximately 36 thousand shares at a weighted average grant price of</w:t>
      </w:r>
    </w:p>
    <w:p>
      <w:pPr>
        <w:pStyle w:val="BodyText"/>
        <w:spacing w:line="253" w:lineRule="exact"/>
        <w:ind w:left="100"/>
        <w:jc w:val="both"/>
      </w:pPr>
      <w:r>
        <w:rPr>
          <w:color w:val="231F20"/>
        </w:rPr>
        <w:t>$24.91 in 2014, to members of its Board of Directors.</w:t>
      </w:r>
    </w:p>
    <w:p>
      <w:pPr>
        <w:pStyle w:val="BodyText"/>
        <w:spacing w:before="4"/>
        <w:rPr>
          <w:sz w:val="20"/>
        </w:rPr>
      </w:pPr>
    </w:p>
    <w:p>
      <w:pPr>
        <w:pStyle w:val="BodyText"/>
        <w:spacing w:line="247" w:lineRule="auto"/>
        <w:ind w:left="100" w:right="120"/>
        <w:jc w:val="both"/>
      </w:pPr>
      <w:r>
        <w:rPr>
          <w:color w:val="231F20"/>
        </w:rPr>
        <w:t>A remaining balance of up to 22 million shares of the Company’s common stock may be issued pursuant to grants under the 2007 Equity Plan.</w:t>
      </w:r>
    </w:p>
    <w:p>
      <w:pPr>
        <w:pStyle w:val="BodyText"/>
        <w:spacing w:before="7"/>
        <w:rPr>
          <w:sz w:val="19"/>
        </w:rPr>
      </w:pPr>
    </w:p>
    <w:p>
      <w:pPr>
        <w:pStyle w:val="Heading2"/>
        <w:rPr>
          <w:i/>
        </w:rPr>
      </w:pPr>
      <w:r>
        <w:rPr>
          <w:i/>
          <w:color w:val="231F20"/>
        </w:rPr>
        <w:t>Employee Stock Purchase Plan</w:t>
      </w:r>
    </w:p>
    <w:p>
      <w:pPr>
        <w:pStyle w:val="BodyText"/>
        <w:spacing w:before="3"/>
        <w:rPr>
          <w:b/>
          <w:i/>
          <w:sz w:val="20"/>
        </w:rPr>
      </w:pPr>
    </w:p>
    <w:p>
      <w:pPr>
        <w:pStyle w:val="BodyText"/>
        <w:spacing w:line="247" w:lineRule="auto"/>
        <w:ind w:left="100" w:right="119"/>
        <w:jc w:val="both"/>
      </w:pPr>
      <w:r>
        <w:rPr>
          <w:color w:val="231F20"/>
        </w:rPr>
        <w:t>Under the amended 1991 Employee Stock Purchase Plan (“ESPP”), which has been approved by Shareholders, the Company is authorized to issue up to a remaining balance of 9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2016, 2015, and 2014, participants under the plan purchased 622 thousand shares, 597 thousand shares, and 792 thousand shares at average prices of $36.57, $36.40, and $23.17, respectively. The weighted- average fair value of each purchase right under the ESPP granted for the years ended December 31, 2016, 2015, and 2014, which is equal to the ten percent discount from the market value of the Common Stock at the end of each monthly purchase period, was $4.06, $4.04, and $2.68, respectively.</w:t>
      </w:r>
    </w:p>
    <w:p>
      <w:pPr>
        <w:pStyle w:val="BodyText"/>
        <w:spacing w:before="7"/>
        <w:rPr>
          <w:sz w:val="19"/>
        </w:rPr>
      </w:pPr>
    </w:p>
    <w:p>
      <w:pPr>
        <w:pStyle w:val="Heading2"/>
        <w:rPr>
          <w:i/>
        </w:rPr>
      </w:pPr>
      <w:r>
        <w:rPr>
          <w:i/>
          <w:color w:val="231F20"/>
        </w:rPr>
        <w:t>Taxes</w:t>
      </w:r>
    </w:p>
    <w:p>
      <w:pPr>
        <w:pStyle w:val="BodyText"/>
        <w:spacing w:before="3"/>
        <w:rPr>
          <w:b/>
          <w:i/>
          <w:sz w:val="20"/>
        </w:rPr>
      </w:pPr>
    </w:p>
    <w:p>
      <w:pPr>
        <w:pStyle w:val="BodyText"/>
        <w:spacing w:line="247" w:lineRule="auto"/>
        <w:ind w:left="100" w:right="117"/>
        <w:jc w:val="both"/>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and  RSUs result in the creation of a deferred tax asset, which is a temporary difference, until the time that the option is exercised or the RSU vests. With the issuance of ASU 2016-09, Improvements to Employee Share-Based Payment Accounting, all excess tax benefits and tax deficiencies are recorded through the income statement. Due to the treatment of incentive stock options, non-qualified stock options, and RSUs for tax purposes, the Company’s effective tax rate from year to year is subject to variability.</w:t>
      </w:r>
    </w:p>
    <w:p>
      <w:pPr>
        <w:pStyle w:val="BodyText"/>
        <w:spacing w:before="7"/>
        <w:rPr>
          <w:sz w:val="19"/>
        </w:rPr>
      </w:pPr>
    </w:p>
    <w:p>
      <w:pPr>
        <w:pStyle w:val="Heading1"/>
        <w:numPr>
          <w:ilvl w:val="0"/>
          <w:numId w:val="16"/>
        </w:numPr>
        <w:tabs>
          <w:tab w:pos="430" w:val="left" w:leader="none"/>
        </w:tabs>
        <w:spacing w:line="240" w:lineRule="auto" w:before="1" w:after="0"/>
        <w:ind w:left="430" w:right="0" w:hanging="330"/>
        <w:jc w:val="both"/>
      </w:pPr>
      <w:r>
        <w:rPr>
          <w:color w:val="231F20"/>
        </w:rPr>
        <w:t>FINANCIAL DERIVATIVE</w:t>
      </w:r>
      <w:r>
        <w:rPr>
          <w:color w:val="231F20"/>
          <w:spacing w:val="2"/>
        </w:rPr>
        <w:t> </w:t>
      </w:r>
      <w:r>
        <w:rPr>
          <w:color w:val="231F20"/>
        </w:rPr>
        <w:t>INSTRUMENTS</w:t>
      </w:r>
    </w:p>
    <w:p>
      <w:pPr>
        <w:pStyle w:val="BodyText"/>
        <w:spacing w:before="4"/>
        <w:rPr>
          <w:b/>
          <w:sz w:val="20"/>
        </w:rPr>
      </w:pPr>
    </w:p>
    <w:p>
      <w:pPr>
        <w:pStyle w:val="Heading2"/>
        <w:ind w:left="100"/>
        <w:jc w:val="both"/>
        <w:rPr>
          <w:i/>
        </w:rPr>
      </w:pPr>
      <w:r>
        <w:rPr>
          <w:i/>
          <w:color w:val="231F20"/>
        </w:rPr>
        <w:t>Fuel Contracts</w:t>
      </w:r>
    </w:p>
    <w:p>
      <w:pPr>
        <w:pStyle w:val="BodyText"/>
        <w:spacing w:before="3"/>
        <w:rPr>
          <w:b/>
          <w:i/>
          <w:sz w:val="20"/>
        </w:rPr>
      </w:pPr>
    </w:p>
    <w:p>
      <w:pPr>
        <w:pStyle w:val="BodyText"/>
        <w:spacing w:line="247" w:lineRule="auto" w:before="1"/>
        <w:ind w:left="100" w:right="117"/>
        <w:jc w:val="both"/>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Although the Company may periodically enter into jet fuel derivatives for short-term timeframes, because jet fuel is not widely traded on an organized futures exchange, there are limited opportunities to hedge directly in jet fuel for time horizons longer than approximately 24 months into the future.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or speculative</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put spreads (which include a purchased put option and a sold put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does not have coverage once market prices fall below the strike price of the purchased call</w:t>
      </w:r>
      <w:r>
        <w:rPr>
          <w:color w:val="231F20"/>
          <w:spacing w:val="1"/>
        </w:rPr>
        <w:t> </w:t>
      </w:r>
      <w:r>
        <w:rPr>
          <w:color w:val="231F20"/>
        </w:rPr>
        <w:t>option.</w:t>
      </w:r>
    </w:p>
    <w:p>
      <w:pPr>
        <w:pStyle w:val="BodyText"/>
        <w:spacing w:before="9"/>
        <w:rPr>
          <w:sz w:val="20"/>
        </w:rPr>
      </w:pPr>
    </w:p>
    <w:p>
      <w:pPr>
        <w:pStyle w:val="BodyText"/>
        <w:spacing w:line="247" w:lineRule="auto"/>
        <w:ind w:left="100" w:right="117"/>
        <w:jc w:val="both"/>
      </w:pPr>
      <w:r>
        <w:rPr>
          <w:color w:val="231F20"/>
        </w:rPr>
        <w:t>For the purpose of evaluating its net cash spend for jet fuel and for forecasting its future estimated jet fuel expense, 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economically hedged for a particular period is also dependent on current market prices for that period, as well as the types of derivative instruments held and the strike prices of those instruments. For example, the Company may enter into “out-of-the-money”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at settlement and may even produce hedging losses depending on market prices, the types of instruments held, and the strike prices of those instruments.</w:t>
      </w:r>
    </w:p>
    <w:p>
      <w:pPr>
        <w:pStyle w:val="BodyText"/>
        <w:spacing w:before="9"/>
        <w:rPr>
          <w:sz w:val="20"/>
        </w:rPr>
      </w:pPr>
    </w:p>
    <w:p>
      <w:pPr>
        <w:pStyle w:val="BodyText"/>
        <w:spacing w:line="247" w:lineRule="auto"/>
        <w:ind w:left="100" w:right="117"/>
        <w:jc w:val="both"/>
      </w:pPr>
      <w:r>
        <w:rPr>
          <w:color w:val="231F20"/>
        </w:rPr>
        <w:t>For 2016, the Company had fuel derivative instruments in place for up to 46 percent of its fuel consumption. As of December 31, 2016, the Company also had fuel derivative instruments in place to provide coverage for up to 63 percent of its 2017 estimated fuel consumption, depending on where market prices settle. The following table provides information about the Company’s volume of fuel hedging for the years 2017 through 2019 on an “economic” basis considering current market prices:</w:t>
      </w:r>
    </w:p>
    <w:p>
      <w:pPr>
        <w:pStyle w:val="BodyText"/>
        <w:spacing w:before="8"/>
        <w:rPr>
          <w:sz w:val="20"/>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90"/>
        <w:gridCol w:w="1187"/>
        <w:gridCol w:w="2100"/>
        <w:gridCol w:w="200"/>
        <w:gridCol w:w="4143"/>
      </w:tblGrid>
      <w:tr>
        <w:trPr>
          <w:trHeight w:val="736" w:hRule="exact"/>
        </w:trPr>
        <w:tc>
          <w:tcPr>
            <w:tcW w:w="1490" w:type="dxa"/>
            <w:tcBorders>
              <w:bottom w:val="single" w:sz="8" w:space="0" w:color="231F20"/>
            </w:tcBorders>
          </w:tcPr>
          <w:p>
            <w:pPr>
              <w:pStyle w:val="TableParagraph"/>
              <w:spacing w:before="0"/>
              <w:rPr>
                <w:sz w:val="22"/>
              </w:rPr>
            </w:pPr>
          </w:p>
          <w:p>
            <w:pPr>
              <w:pStyle w:val="TableParagraph"/>
              <w:spacing w:before="7"/>
              <w:rPr>
                <w:sz w:val="19"/>
              </w:rPr>
            </w:pPr>
          </w:p>
          <w:p>
            <w:pPr>
              <w:pStyle w:val="TableParagraph"/>
              <w:spacing w:before="1"/>
              <w:ind w:left="100"/>
              <w:rPr>
                <w:b/>
                <w:sz w:val="20"/>
              </w:rPr>
            </w:pPr>
            <w:r>
              <w:rPr>
                <w:b/>
                <w:color w:val="231F20"/>
                <w:sz w:val="20"/>
              </w:rPr>
              <w:t>Period (by year)</w:t>
            </w:r>
          </w:p>
        </w:tc>
        <w:tc>
          <w:tcPr>
            <w:tcW w:w="1187" w:type="dxa"/>
          </w:tcPr>
          <w:p>
            <w:pPr/>
          </w:p>
        </w:tc>
        <w:tc>
          <w:tcPr>
            <w:tcW w:w="2100" w:type="dxa"/>
            <w:tcBorders>
              <w:bottom w:val="single" w:sz="8" w:space="0" w:color="231F20"/>
            </w:tcBorders>
          </w:tcPr>
          <w:p>
            <w:pPr>
              <w:pStyle w:val="TableParagraph"/>
              <w:spacing w:line="249" w:lineRule="auto" w:before="0"/>
              <w:ind w:left="117" w:right="15" w:hanging="100"/>
              <w:jc w:val="center"/>
              <w:rPr>
                <w:b/>
                <w:sz w:val="20"/>
              </w:rPr>
            </w:pPr>
            <w:r>
              <w:rPr>
                <w:b/>
                <w:color w:val="231F20"/>
                <w:sz w:val="20"/>
              </w:rPr>
              <w:t>Fuel hedged as of December 31, 2016 (gallons in millions) (a)</w:t>
            </w:r>
          </w:p>
        </w:tc>
        <w:tc>
          <w:tcPr>
            <w:tcW w:w="200" w:type="dxa"/>
          </w:tcPr>
          <w:p>
            <w:pPr/>
          </w:p>
        </w:tc>
        <w:tc>
          <w:tcPr>
            <w:tcW w:w="4143" w:type="dxa"/>
            <w:tcBorders>
              <w:bottom w:val="single" w:sz="8" w:space="0" w:color="231F20"/>
            </w:tcBorders>
          </w:tcPr>
          <w:p>
            <w:pPr>
              <w:pStyle w:val="TableParagraph"/>
              <w:spacing w:before="9"/>
              <w:rPr>
                <w:sz w:val="20"/>
              </w:rPr>
            </w:pPr>
          </w:p>
          <w:p>
            <w:pPr>
              <w:pStyle w:val="TableParagraph"/>
              <w:spacing w:line="249" w:lineRule="auto" w:before="0"/>
              <w:ind w:left="1262" w:right="185" w:hanging="1063"/>
              <w:rPr>
                <w:b/>
                <w:sz w:val="20"/>
              </w:rPr>
            </w:pPr>
            <w:r>
              <w:rPr>
                <w:b/>
                <w:color w:val="231F20"/>
                <w:sz w:val="20"/>
              </w:rPr>
              <w:t>Derivative underlying commodity type as of December 31, 2016</w:t>
            </w:r>
          </w:p>
        </w:tc>
      </w:tr>
      <w:tr>
        <w:trPr>
          <w:trHeight w:val="310" w:hRule="exact"/>
        </w:trPr>
        <w:tc>
          <w:tcPr>
            <w:tcW w:w="1490" w:type="dxa"/>
            <w:tcBorders>
              <w:top w:val="single" w:sz="8" w:space="0" w:color="231F20"/>
            </w:tcBorders>
          </w:tcPr>
          <w:p>
            <w:pPr>
              <w:pStyle w:val="TableParagraph"/>
              <w:ind w:left="100"/>
              <w:rPr>
                <w:sz w:val="20"/>
              </w:rPr>
            </w:pPr>
            <w:r>
              <w:rPr>
                <w:color w:val="231F20"/>
                <w:sz w:val="20"/>
              </w:rPr>
              <w:t>2017</w:t>
            </w:r>
          </w:p>
        </w:tc>
        <w:tc>
          <w:tcPr>
            <w:tcW w:w="1187" w:type="dxa"/>
          </w:tcPr>
          <w:p>
            <w:pPr/>
          </w:p>
        </w:tc>
        <w:tc>
          <w:tcPr>
            <w:tcW w:w="2100" w:type="dxa"/>
            <w:tcBorders>
              <w:top w:val="single" w:sz="8" w:space="0" w:color="231F20"/>
            </w:tcBorders>
          </w:tcPr>
          <w:p>
            <w:pPr>
              <w:pStyle w:val="TableParagraph"/>
              <w:jc w:val="right"/>
              <w:rPr>
                <w:sz w:val="20"/>
              </w:rPr>
            </w:pPr>
            <w:r>
              <w:rPr>
                <w:color w:val="231F20"/>
                <w:sz w:val="20"/>
              </w:rPr>
              <w:t>1,281</w:t>
            </w:r>
          </w:p>
        </w:tc>
        <w:tc>
          <w:tcPr>
            <w:tcW w:w="200" w:type="dxa"/>
          </w:tcPr>
          <w:p>
            <w:pPr/>
          </w:p>
        </w:tc>
        <w:tc>
          <w:tcPr>
            <w:tcW w:w="4143" w:type="dxa"/>
            <w:tcBorders>
              <w:top w:val="single" w:sz="8" w:space="0" w:color="231F20"/>
            </w:tcBorders>
          </w:tcPr>
          <w:p>
            <w:pPr>
              <w:pStyle w:val="TableParagraph"/>
              <w:ind w:left="820" w:right="821"/>
              <w:jc w:val="center"/>
              <w:rPr>
                <w:sz w:val="20"/>
              </w:rPr>
            </w:pPr>
            <w:r>
              <w:rPr>
                <w:color w:val="231F20"/>
                <w:sz w:val="20"/>
              </w:rPr>
              <w:t>WTI crude and Brent crude oil</w:t>
            </w:r>
          </w:p>
        </w:tc>
      </w:tr>
      <w:tr>
        <w:trPr>
          <w:trHeight w:val="300" w:hRule="exact"/>
        </w:trPr>
        <w:tc>
          <w:tcPr>
            <w:tcW w:w="1490" w:type="dxa"/>
            <w:shd w:val="clear" w:color="auto" w:fill="D1D3D4"/>
          </w:tcPr>
          <w:p>
            <w:pPr>
              <w:pStyle w:val="TableParagraph"/>
              <w:ind w:left="100"/>
              <w:rPr>
                <w:sz w:val="20"/>
              </w:rPr>
            </w:pPr>
            <w:r>
              <w:rPr>
                <w:color w:val="231F20"/>
                <w:sz w:val="20"/>
              </w:rPr>
              <w:t>2018</w:t>
            </w:r>
          </w:p>
        </w:tc>
        <w:tc>
          <w:tcPr>
            <w:tcW w:w="1187" w:type="dxa"/>
            <w:shd w:val="clear" w:color="auto" w:fill="D1D3D4"/>
          </w:tcPr>
          <w:p>
            <w:pPr/>
          </w:p>
        </w:tc>
        <w:tc>
          <w:tcPr>
            <w:tcW w:w="2100" w:type="dxa"/>
            <w:shd w:val="clear" w:color="auto" w:fill="D1D3D4"/>
          </w:tcPr>
          <w:p>
            <w:pPr>
              <w:pStyle w:val="TableParagraph"/>
              <w:jc w:val="right"/>
              <w:rPr>
                <w:sz w:val="20"/>
              </w:rPr>
            </w:pPr>
            <w:r>
              <w:rPr>
                <w:color w:val="231F20"/>
                <w:sz w:val="20"/>
              </w:rPr>
              <w:t>1,185</w:t>
            </w:r>
          </w:p>
        </w:tc>
        <w:tc>
          <w:tcPr>
            <w:tcW w:w="200" w:type="dxa"/>
            <w:shd w:val="clear" w:color="auto" w:fill="D1D3D4"/>
          </w:tcPr>
          <w:p>
            <w:pPr/>
          </w:p>
        </w:tc>
        <w:tc>
          <w:tcPr>
            <w:tcW w:w="4143" w:type="dxa"/>
            <w:shd w:val="clear" w:color="auto" w:fill="D1D3D4"/>
          </w:tcPr>
          <w:p>
            <w:pPr>
              <w:pStyle w:val="TableParagraph"/>
              <w:ind w:left="820" w:right="821"/>
              <w:jc w:val="center"/>
              <w:rPr>
                <w:sz w:val="20"/>
              </w:rPr>
            </w:pPr>
            <w:r>
              <w:rPr>
                <w:color w:val="231F20"/>
                <w:sz w:val="20"/>
              </w:rPr>
              <w:t>Brent crude oil</w:t>
            </w:r>
          </w:p>
        </w:tc>
      </w:tr>
      <w:tr>
        <w:trPr>
          <w:trHeight w:val="284" w:hRule="exact"/>
        </w:trPr>
        <w:tc>
          <w:tcPr>
            <w:tcW w:w="1490" w:type="dxa"/>
          </w:tcPr>
          <w:p>
            <w:pPr>
              <w:pStyle w:val="TableParagraph"/>
              <w:ind w:left="100"/>
              <w:rPr>
                <w:sz w:val="20"/>
              </w:rPr>
            </w:pPr>
            <w:r>
              <w:rPr>
                <w:color w:val="231F20"/>
                <w:sz w:val="20"/>
              </w:rPr>
              <w:t>2019</w:t>
            </w:r>
          </w:p>
        </w:tc>
        <w:tc>
          <w:tcPr>
            <w:tcW w:w="1187" w:type="dxa"/>
          </w:tcPr>
          <w:p>
            <w:pPr/>
          </w:p>
        </w:tc>
        <w:tc>
          <w:tcPr>
            <w:tcW w:w="2100" w:type="dxa"/>
          </w:tcPr>
          <w:p>
            <w:pPr>
              <w:pStyle w:val="TableParagraph"/>
              <w:jc w:val="right"/>
              <w:rPr>
                <w:sz w:val="20"/>
              </w:rPr>
            </w:pPr>
            <w:r>
              <w:rPr>
                <w:color w:val="231F20"/>
                <w:sz w:val="20"/>
              </w:rPr>
              <w:t>305</w:t>
            </w:r>
          </w:p>
        </w:tc>
        <w:tc>
          <w:tcPr>
            <w:tcW w:w="200" w:type="dxa"/>
          </w:tcPr>
          <w:p>
            <w:pPr/>
          </w:p>
        </w:tc>
        <w:tc>
          <w:tcPr>
            <w:tcW w:w="4143" w:type="dxa"/>
          </w:tcPr>
          <w:p>
            <w:pPr>
              <w:pStyle w:val="TableParagraph"/>
              <w:ind w:left="820" w:right="821"/>
              <w:jc w:val="center"/>
              <w:rPr>
                <w:sz w:val="20"/>
              </w:rPr>
            </w:pPr>
            <w:r>
              <w:rPr>
                <w:color w:val="231F20"/>
                <w:sz w:val="20"/>
              </w:rPr>
              <w:t>Brent crude oil</w:t>
            </w:r>
          </w:p>
        </w:tc>
      </w:tr>
    </w:tbl>
    <w:p>
      <w:pPr>
        <w:pStyle w:val="BodyText"/>
        <w:spacing w:before="10"/>
        <w:rPr>
          <w:sz w:val="26"/>
        </w:rPr>
      </w:pPr>
    </w:p>
    <w:p>
      <w:pPr>
        <w:spacing w:line="249" w:lineRule="auto" w:before="0"/>
        <w:ind w:left="100" w:right="117" w:firstLine="0"/>
        <w:jc w:val="both"/>
        <w:rPr>
          <w:sz w:val="20"/>
        </w:rPr>
      </w:pPr>
      <w:r>
        <w:rPr>
          <w:color w:val="231F20"/>
          <w:sz w:val="20"/>
        </w:rPr>
        <w:t>(a) Due to the types of derivatives utilized by the Company and different price levels of those contracts, these volumes represent the maximum economic hedge in place and may vary significantly as market prices fluctuate.</w:t>
      </w:r>
    </w:p>
    <w:p>
      <w:pPr>
        <w:pStyle w:val="BodyText"/>
        <w:rPr>
          <w:sz w:val="21"/>
        </w:rPr>
      </w:pPr>
    </w:p>
    <w:p>
      <w:pPr>
        <w:pStyle w:val="BodyText"/>
        <w:spacing w:line="247" w:lineRule="auto"/>
        <w:ind w:left="100" w:right="117"/>
        <w:jc w:val="both"/>
      </w:pPr>
      <w:r>
        <w:rPr>
          <w:color w:val="231F20"/>
        </w:rPr>
        <w:t>Upon proper qualification, the Company accounts for its fuel derivative instruments as cash flow hedges. Generally, utilizing hedge accounting, all periodic changes in fair value of the derivatives designated as hedges that are considered to be effective are recorded in Accumulated other comprehensive income (loss) (“AOCI”) until the underlying jet fuel is consumed. See Note 12.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w:t>
      </w:r>
    </w:p>
    <w:p>
      <w:pPr>
        <w:spacing w:after="0" w:line="247" w:lineRule="auto"/>
        <w:jc w:val="both"/>
        <w:sectPr>
          <w:pgSz w:w="11880" w:h="15480"/>
          <w:pgMar w:header="0" w:footer="1240" w:top="1240" w:bottom="1420" w:left="1280" w:right="1260"/>
        </w:sectPr>
      </w:pPr>
    </w:p>
    <w:p>
      <w:pPr>
        <w:pStyle w:val="BodyText"/>
        <w:spacing w:line="247" w:lineRule="auto" w:before="74"/>
        <w:ind w:left="100" w:right="117"/>
        <w:jc w:val="both"/>
      </w:pPr>
      <w:r>
        <w:rPr>
          <w:color w:val="231F20"/>
        </w:rPr>
        <w:t>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and were de-designated as hedges  are concurrently marked to market through earnings. However, any changes in value related to hedges that were deferred as part of AOCI while designated as a hedge would remain until the originally forecasted transaction occurs. In a situation where it becomes probable that a fuel hedged forecasted transaction will not occur, any gains and/or losses that have been recorded to AOCI would be required to be immediately reclassified into earnings. The Company did not have any such situations occur during 2014, 2015, or</w:t>
      </w:r>
      <w:r>
        <w:rPr>
          <w:color w:val="231F20"/>
          <w:spacing w:val="-2"/>
        </w:rPr>
        <w:t> </w:t>
      </w:r>
      <w:r>
        <w:rPr>
          <w:color w:val="231F20"/>
        </w:rPr>
        <w:t>2016.</w:t>
      </w:r>
    </w:p>
    <w:p>
      <w:pPr>
        <w:pStyle w:val="BodyText"/>
        <w:spacing w:before="9"/>
        <w:rPr>
          <w:sz w:val="20"/>
        </w:rPr>
      </w:pPr>
    </w:p>
    <w:p>
      <w:pPr>
        <w:pStyle w:val="BodyText"/>
        <w:spacing w:line="247" w:lineRule="auto"/>
        <w:ind w:left="100" w:right="117"/>
        <w:jc w:val="both"/>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3"/>
        </w:rPr>
        <w:t> </w:t>
      </w:r>
      <w:r>
        <w:rPr>
          <w:color w:val="231F20"/>
        </w:rPr>
        <w:t>costs.</w:t>
      </w:r>
    </w:p>
    <w:p>
      <w:pPr>
        <w:pStyle w:val="BodyText"/>
        <w:spacing w:before="9"/>
        <w:rPr>
          <w:sz w:val="20"/>
        </w:rPr>
      </w:pPr>
    </w:p>
    <w:p>
      <w:pPr>
        <w:pStyle w:val="BodyText"/>
        <w:spacing w:line="247" w:lineRule="auto"/>
        <w:ind w:left="100" w:right="117"/>
        <w:jc w:val="both"/>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w:t>
      </w:r>
      <w:r>
        <w:rPr>
          <w:color w:val="231F20"/>
          <w:spacing w:val="-2"/>
        </w:rPr>
        <w:t> </w:t>
      </w:r>
      <w:r>
        <w:rPr>
          <w:color w:val="231F20"/>
        </w:rPr>
        <w:t>purposes.</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BodyText"/>
        <w:rPr>
          <w:sz w:val="12"/>
        </w:rPr>
      </w:pPr>
    </w:p>
    <w:p>
      <w:pPr>
        <w:tabs>
          <w:tab w:pos="7139" w:val="left" w:leader="none"/>
        </w:tabs>
        <w:spacing w:before="99"/>
        <w:ind w:left="4719" w:right="0" w:firstLine="0"/>
        <w:jc w:val="left"/>
        <w:rPr>
          <w:b/>
          <w:sz w:val="20"/>
        </w:rPr>
      </w:pPr>
      <w:r>
        <w:rPr/>
        <w:pict>
          <v:group style="position:absolute;margin-left:272.5pt;margin-top:17.285938pt;width:253pt;height:1pt;mso-position-horizontal-relative:page;mso-position-vertical-relative:paragraph;z-index:4696" coordorigin="5450,346" coordsize="5060,20">
            <v:line style="position:absolute" from="5460,356" to="7940,356" stroked="true" strokeweight="1pt" strokecolor="#231f20">
              <v:stroke dashstyle="solid"/>
            </v:line>
            <v:line style="position:absolute" from="8020,356" to="10500,356" stroked="true" strokeweight="1pt" strokecolor="#231f20">
              <v:stroke dashstyle="solid"/>
            </v:line>
            <w10:wrap type="none"/>
          </v:group>
        </w:pict>
      </w:r>
      <w:r>
        <w:rPr>
          <w:b/>
          <w:color w:val="231F20"/>
          <w:sz w:val="20"/>
        </w:rPr>
        <w:t>Asset derivatives</w:t>
        <w:tab/>
        <w:t>Liability</w:t>
      </w:r>
      <w:r>
        <w:rPr>
          <w:b/>
          <w:color w:val="231F20"/>
          <w:spacing w:val="1"/>
          <w:sz w:val="20"/>
        </w:rPr>
        <w:t> </w:t>
      </w:r>
      <w:r>
        <w:rPr>
          <w:b/>
          <w:color w:val="231F20"/>
          <w:sz w:val="20"/>
        </w:rPr>
        <w:t>derivatives</w:t>
      </w:r>
    </w:p>
    <w:p>
      <w:pPr>
        <w:spacing w:after="0"/>
        <w:jc w:val="left"/>
        <w:rPr>
          <w:sz w:val="20"/>
        </w:rPr>
        <w:sectPr>
          <w:pgSz w:w="11880" w:h="15480"/>
          <w:pgMar w:header="0" w:footer="1240" w:top="1240" w:bottom="1420" w:left="1260" w:right="1260"/>
        </w:sectPr>
      </w:pPr>
    </w:p>
    <w:p>
      <w:pPr>
        <w:pStyle w:val="BodyText"/>
        <w:rPr>
          <w:b/>
        </w:rPr>
      </w:pPr>
    </w:p>
    <w:p>
      <w:pPr>
        <w:pStyle w:val="BodyText"/>
        <w:spacing w:before="5"/>
        <w:rPr>
          <w:b/>
          <w:sz w:val="27"/>
        </w:rPr>
      </w:pPr>
    </w:p>
    <w:p>
      <w:pPr>
        <w:spacing w:before="0"/>
        <w:ind w:left="120" w:right="0" w:firstLine="0"/>
        <w:jc w:val="left"/>
        <w:rPr>
          <w:b/>
          <w:sz w:val="20"/>
        </w:rPr>
      </w:pPr>
      <w:r>
        <w:rPr>
          <w:b/>
          <w:color w:val="231F20"/>
          <w:sz w:val="20"/>
        </w:rPr>
        <w:t>(in millions)</w:t>
      </w:r>
    </w:p>
    <w:p>
      <w:pPr>
        <w:pStyle w:val="BodyText"/>
        <w:spacing w:before="7"/>
        <w:rPr>
          <w:b/>
          <w:sz w:val="28"/>
        </w:rPr>
      </w:pPr>
      <w:r>
        <w:rPr/>
        <w:br w:type="column"/>
      </w:r>
      <w:r>
        <w:rPr>
          <w:b/>
          <w:sz w:val="28"/>
        </w:rPr>
      </w:r>
    </w:p>
    <w:p>
      <w:pPr>
        <w:spacing w:line="249" w:lineRule="auto" w:before="0"/>
        <w:ind w:left="378" w:right="-20" w:hanging="258"/>
        <w:jc w:val="left"/>
        <w:rPr>
          <w:b/>
          <w:sz w:val="20"/>
        </w:rPr>
      </w:pPr>
      <w:r>
        <w:rPr>
          <w:b/>
          <w:color w:val="231F20"/>
          <w:sz w:val="20"/>
        </w:rPr>
        <w:t>Balance Sheet</w:t>
      </w:r>
      <w:r>
        <w:rPr>
          <w:b/>
          <w:color w:val="231F20"/>
          <w:w w:val="100"/>
          <w:sz w:val="20"/>
        </w:rPr>
        <w:t> </w:t>
      </w:r>
      <w:r>
        <w:rPr>
          <w:b/>
          <w:color w:val="231F20"/>
          <w:sz w:val="20"/>
        </w:rPr>
        <w:t>location</w:t>
      </w:r>
    </w:p>
    <w:p>
      <w:pPr>
        <w:spacing w:line="249" w:lineRule="auto" w:before="89"/>
        <w:ind w:left="120" w:right="0" w:hanging="1"/>
        <w:jc w:val="center"/>
        <w:rPr>
          <w:b/>
          <w:sz w:val="20"/>
        </w:rPr>
      </w:pPr>
      <w:r>
        <w:rPr/>
        <w:br w:type="column"/>
      </w:r>
      <w:r>
        <w:rPr>
          <w:b/>
          <w:color w:val="231F20"/>
          <w:sz w:val="20"/>
        </w:rPr>
        <w:t>Fair value at     12/31/2016</w:t>
      </w:r>
    </w:p>
    <w:p>
      <w:pPr>
        <w:spacing w:line="249" w:lineRule="auto" w:before="89"/>
        <w:ind w:left="120" w:right="0" w:hanging="1"/>
        <w:jc w:val="center"/>
        <w:rPr>
          <w:b/>
          <w:sz w:val="20"/>
        </w:rPr>
      </w:pPr>
      <w:r>
        <w:rPr/>
        <w:br w:type="column"/>
      </w:r>
      <w:r>
        <w:rPr>
          <w:b/>
          <w:color w:val="231F20"/>
          <w:sz w:val="20"/>
        </w:rPr>
        <w:t>Fair value at     12/31/2015</w:t>
      </w:r>
    </w:p>
    <w:p>
      <w:pPr>
        <w:spacing w:line="249" w:lineRule="auto" w:before="89"/>
        <w:ind w:left="120" w:right="0" w:hanging="1"/>
        <w:jc w:val="center"/>
        <w:rPr>
          <w:b/>
          <w:sz w:val="20"/>
        </w:rPr>
      </w:pPr>
      <w:r>
        <w:rPr/>
        <w:br w:type="column"/>
      </w:r>
      <w:r>
        <w:rPr>
          <w:b/>
          <w:color w:val="231F20"/>
          <w:sz w:val="20"/>
        </w:rPr>
        <w:t>Fair value at     12/31/2016</w:t>
      </w:r>
    </w:p>
    <w:p>
      <w:pPr>
        <w:spacing w:line="249" w:lineRule="auto" w:before="89"/>
        <w:ind w:left="120" w:right="262" w:hanging="1"/>
        <w:jc w:val="center"/>
        <w:rPr>
          <w:b/>
          <w:sz w:val="20"/>
        </w:rPr>
      </w:pPr>
      <w:r>
        <w:rPr/>
        <w:br w:type="column"/>
      </w:r>
      <w:r>
        <w:rPr>
          <w:b/>
          <w:color w:val="231F20"/>
          <w:sz w:val="20"/>
        </w:rPr>
        <w:t>Fair value at     12/31/2015</w:t>
      </w:r>
    </w:p>
    <w:p>
      <w:pPr>
        <w:spacing w:after="0" w:line="249" w:lineRule="auto"/>
        <w:jc w:val="center"/>
        <w:rPr>
          <w:sz w:val="20"/>
        </w:rPr>
        <w:sectPr>
          <w:type w:val="continuous"/>
          <w:pgSz w:w="11880" w:h="15480"/>
          <w:pgMar w:top="1260" w:bottom="280" w:left="1260" w:right="1260"/>
          <w:cols w:num="6" w:equalWidth="0">
            <w:col w:w="1149" w:space="1343"/>
            <w:col w:w="1315" w:space="417"/>
            <w:col w:w="1032" w:space="248"/>
            <w:col w:w="1032" w:space="248"/>
            <w:col w:w="1032" w:space="248"/>
            <w:col w:w="1296"/>
          </w:cols>
        </w:sectPr>
      </w:pPr>
    </w:p>
    <w:p>
      <w:pPr>
        <w:tabs>
          <w:tab w:pos="2290" w:val="left" w:leader="none"/>
        </w:tabs>
        <w:spacing w:line="20" w:lineRule="exact"/>
        <w:ind w:left="110" w:right="0" w:firstLine="0"/>
        <w:rPr>
          <w:sz w:val="2"/>
        </w:rPr>
      </w:pPr>
      <w:r>
        <w:rPr>
          <w:sz w:val="2"/>
        </w:rPr>
        <w:pict>
          <v:group style="width:52.55pt;height:1pt;mso-position-horizontal-relative:char;mso-position-vertical-relative:line" coordorigin="0,0" coordsize="1051,20">
            <v:line style="position:absolute" from="10,10" to="1041,10" stroked="true" strokeweight="1pt" strokecolor="#231f20">
              <v:stroke dashstyle="solid"/>
            </v:line>
          </v:group>
        </w:pict>
      </w:r>
      <w:r>
        <w:rPr>
          <w:sz w:val="2"/>
        </w:rPr>
      </w:r>
      <w:r>
        <w:rPr>
          <w:sz w:val="2"/>
        </w:rPr>
        <w:tab/>
      </w:r>
      <w:r>
        <w:rPr>
          <w:sz w:val="2"/>
        </w:rPr>
        <w:pict>
          <v:group style="width:348pt;height:1pt;mso-position-horizontal-relative:char;mso-position-vertical-relative:line" coordorigin="0,0" coordsize="6960,20">
            <v:line style="position:absolute" from="10,10" to="1830,10" stroked="true" strokeweight="1pt" strokecolor="#231f20">
              <v:stroke dashstyle="solid"/>
            </v:line>
            <v:line style="position:absolute" from="1910,10" to="3110,10" stroked="true" strokeweight="1pt" strokecolor="#231f20">
              <v:stroke dashstyle="solid"/>
            </v:line>
            <v:line style="position:absolute" from="3190,10" to="4390,10" stroked="true" strokeweight="1pt" strokecolor="#231f20">
              <v:stroke dashstyle="solid"/>
            </v:line>
            <v:line style="position:absolute" from="4470,10" to="5670,10" stroked="true" strokeweight="1pt" strokecolor="#231f20">
              <v:stroke dashstyle="solid"/>
            </v:line>
            <v:line style="position:absolute" from="5750,10" to="6950,10" stroked="true" strokeweight="1pt" strokecolor="#231f20">
              <v:stroke dashstyle="solid"/>
            </v:line>
          </v:group>
        </w:pict>
      </w:r>
      <w:r>
        <w:rPr>
          <w:sz w:val="2"/>
        </w:rPr>
      </w:r>
    </w:p>
    <w:p>
      <w:pPr>
        <w:spacing w:before="61" w:after="17"/>
        <w:ind w:left="120" w:right="0" w:firstLine="0"/>
        <w:jc w:val="left"/>
        <w:rPr>
          <w:b/>
          <w:sz w:val="20"/>
        </w:rPr>
      </w:pPr>
      <w:r>
        <w:rPr>
          <w:b/>
          <w:color w:val="231F20"/>
          <w:sz w:val="20"/>
        </w:rPr>
        <w:t>Derivatives designated as hedges*</w:t>
      </w:r>
    </w:p>
    <w:p>
      <w:pPr>
        <w:pStyle w:val="BodyText"/>
        <w:ind w:left="120"/>
        <w:rPr>
          <w:sz w:val="20"/>
        </w:rPr>
      </w:pPr>
      <w:r>
        <w:rPr>
          <w:sz w:val="20"/>
        </w:rPr>
        <w:pict>
          <v:group style="width:456pt;height:27pt;mso-position-horizontal-relative:char;mso-position-vertical-relative:line" coordorigin="0,0" coordsize="9120,540">
            <v:rect style="position:absolute;left:0;top:0;width:9120;height:540" filled="true" fillcolor="#d1d3d4" stroked="false">
              <v:fill type="solid"/>
            </v:rect>
            <v:shape style="position:absolute;left:0;top:60;width:4200;height:464" type="#_x0000_t202" filled="false" stroked="false">
              <v:textbox inset="0,0,0,0">
                <w:txbxContent>
                  <w:p>
                    <w:pPr>
                      <w:tabs>
                        <w:tab w:pos="2179" w:val="left" w:leader="none"/>
                        <w:tab w:pos="4079" w:val="left" w:leader="none"/>
                      </w:tabs>
                      <w:spacing w:line="249" w:lineRule="auto" w:before="0"/>
                      <w:ind w:left="200" w:right="18" w:hanging="200"/>
                      <w:jc w:val="left"/>
                      <w:rPr>
                        <w:sz w:val="20"/>
                      </w:rPr>
                    </w:pPr>
                    <w:r>
                      <w:rPr>
                        <w:color w:val="231F20"/>
                        <w:sz w:val="20"/>
                      </w:rPr>
                      <w:t>Fuel derivative contracts Prepaid expenses and (gross)</w:t>
                      <w:tab/>
                      <w:t>other</w:t>
                    </w:r>
                    <w:r>
                      <w:rPr>
                        <w:color w:val="231F20"/>
                        <w:spacing w:val="1"/>
                        <w:sz w:val="20"/>
                      </w:rPr>
                      <w:t> </w:t>
                    </w:r>
                    <w:r>
                      <w:rPr>
                        <w:color w:val="231F20"/>
                        <w:sz w:val="20"/>
                      </w:rPr>
                      <w:t>current</w:t>
                    </w:r>
                    <w:r>
                      <w:rPr>
                        <w:color w:val="231F20"/>
                        <w:spacing w:val="1"/>
                        <w:sz w:val="20"/>
                      </w:rPr>
                      <w:t> </w:t>
                    </w:r>
                    <w:r>
                      <w:rPr>
                        <w:color w:val="231F20"/>
                        <w:sz w:val="20"/>
                      </w:rPr>
                      <w:t>assets</w:t>
                      <w:tab/>
                      <w:t>$</w:t>
                    </w:r>
                  </w:p>
                </w:txbxContent>
              </v:textbox>
              <w10:wrap type="none"/>
            </v:shape>
            <v:shape style="position:absolute;left:5113;top:300;width:367;height:224" type="#_x0000_t202" filled="false" stroked="false">
              <v:textbox inset="0,0,0,0">
                <w:txbxContent>
                  <w:p>
                    <w:pPr>
                      <w:spacing w:line="223" w:lineRule="exact" w:before="0"/>
                      <w:ind w:left="0" w:right="0" w:firstLine="0"/>
                      <w:jc w:val="left"/>
                      <w:rPr>
                        <w:sz w:val="20"/>
                      </w:rPr>
                    </w:pPr>
                    <w:r>
                      <w:rPr>
                        <w:color w:val="231F20"/>
                        <w:sz w:val="20"/>
                      </w:rPr>
                      <w:t>7  $</w:t>
                    </w:r>
                  </w:p>
                </w:txbxContent>
              </v:textbox>
              <w10:wrap type="none"/>
            </v:shape>
            <v:shape style="position:absolute;left:6393;top:300;width:367;height:224" type="#_x0000_t202" filled="false" stroked="false">
              <v:textbox inset="0,0,0,0">
                <w:txbxContent>
                  <w:p>
                    <w:pPr>
                      <w:spacing w:line="223" w:lineRule="exact" w:before="0"/>
                      <w:ind w:left="0" w:right="0" w:firstLine="0"/>
                      <w:jc w:val="left"/>
                      <w:rPr>
                        <w:sz w:val="20"/>
                      </w:rPr>
                    </w:pPr>
                    <w:r>
                      <w:rPr>
                        <w:color w:val="231F20"/>
                        <w:sz w:val="20"/>
                      </w:rPr>
                      <w:t>2  $</w:t>
                    </w:r>
                  </w:p>
                </w:txbxContent>
              </v:textbox>
              <w10:wrap type="none"/>
            </v:shape>
            <v:shape style="position:absolute;left:7573;top:300;width:467;height:224" type="#_x0000_t202" filled="false" stroked="false">
              <v:textbox inset="0,0,0,0">
                <w:txbxContent>
                  <w:p>
                    <w:pPr>
                      <w:spacing w:line="223" w:lineRule="exact" w:before="0"/>
                      <w:ind w:left="0" w:right="0" w:firstLine="0"/>
                      <w:jc w:val="left"/>
                      <w:rPr>
                        <w:sz w:val="20"/>
                      </w:rPr>
                    </w:pPr>
                    <w:r>
                      <w:rPr>
                        <w:color w:val="231F20"/>
                        <w:sz w:val="20"/>
                      </w:rPr>
                      <w:t>44  $</w:t>
                    </w:r>
                  </w:p>
                </w:txbxContent>
              </v:textbox>
              <w10:wrap type="none"/>
            </v:shape>
            <v:shape style="position:absolute;left:8853;top:300;width:220;height:224" type="#_x0000_t202" filled="false" stroked="false">
              <v:textbox inset="0,0,0,0">
                <w:txbxContent>
                  <w:p>
                    <w:pPr>
                      <w:spacing w:line="223" w:lineRule="exact" w:before="0"/>
                      <w:ind w:left="0" w:right="0" w:firstLine="0"/>
                      <w:jc w:val="left"/>
                      <w:rPr>
                        <w:sz w:val="20"/>
                      </w:rPr>
                    </w:pPr>
                    <w:r>
                      <w:rPr>
                        <w:color w:val="231F20"/>
                        <w:sz w:val="20"/>
                      </w:rPr>
                      <w:t>—</w:t>
                    </w:r>
                  </w:p>
                </w:txbxContent>
              </v:textbox>
              <w10:wrap type="none"/>
            </v:shape>
          </v:group>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after="1"/>
        <w:rPr>
          <w:b/>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0"/>
        <w:gridCol w:w="1200"/>
        <w:gridCol w:w="1280"/>
        <w:gridCol w:w="1280"/>
        <w:gridCol w:w="1280"/>
      </w:tblGrid>
      <w:tr>
        <w:trPr>
          <w:trHeight w:val="315" w:hRule="exact"/>
        </w:trPr>
        <w:tc>
          <w:tcPr>
            <w:tcW w:w="4080" w:type="dxa"/>
            <w:shd w:val="clear" w:color="auto" w:fill="D1D3D4"/>
          </w:tcPr>
          <w:p>
            <w:pPr>
              <w:pStyle w:val="TableParagraph"/>
              <w:rPr>
                <w:b/>
                <w:sz w:val="20"/>
              </w:rPr>
            </w:pPr>
            <w:r>
              <w:rPr>
                <w:b/>
                <w:color w:val="231F20"/>
                <w:sz w:val="20"/>
              </w:rPr>
              <w:t>Total derivatives not designated as hedges</w:t>
            </w:r>
          </w:p>
        </w:tc>
        <w:tc>
          <w:tcPr>
            <w:tcW w:w="1200" w:type="dxa"/>
            <w:tcBorders>
              <w:bottom w:val="single" w:sz="4" w:space="0" w:color="231F20"/>
            </w:tcBorders>
            <w:shd w:val="clear" w:color="auto" w:fill="D1D3D4"/>
          </w:tcPr>
          <w:p>
            <w:pPr>
              <w:pStyle w:val="TableParagraph"/>
              <w:tabs>
                <w:tab w:pos="832" w:val="left" w:leader="none"/>
              </w:tabs>
              <w:rPr>
                <w:sz w:val="20"/>
              </w:rPr>
            </w:pPr>
            <w:r>
              <w:rPr>
                <w:color w:val="231F20"/>
                <w:sz w:val="20"/>
              </w:rPr>
              <w:t>$</w:t>
              <w:tab/>
              <w:t>307</w:t>
            </w:r>
          </w:p>
        </w:tc>
        <w:tc>
          <w:tcPr>
            <w:tcW w:w="1280" w:type="dxa"/>
            <w:tcBorders>
              <w:bottom w:val="single" w:sz="4" w:space="0" w:color="231F20"/>
            </w:tcBorders>
            <w:shd w:val="clear" w:color="auto" w:fill="D1D3D4"/>
          </w:tcPr>
          <w:p>
            <w:pPr>
              <w:pStyle w:val="TableParagraph"/>
              <w:tabs>
                <w:tab w:pos="695" w:val="left" w:leader="none"/>
              </w:tabs>
              <w:ind w:left="13"/>
              <w:jc w:val="center"/>
              <w:rPr>
                <w:sz w:val="20"/>
              </w:rPr>
            </w:pPr>
            <w:r>
              <w:rPr>
                <w:color w:val="231F20"/>
                <w:sz w:val="20"/>
              </w:rPr>
              <w:t>$</w:t>
              <w:tab/>
              <w:t>1,769</w:t>
            </w:r>
          </w:p>
        </w:tc>
        <w:tc>
          <w:tcPr>
            <w:tcW w:w="1280" w:type="dxa"/>
            <w:tcBorders>
              <w:bottom w:val="single" w:sz="4" w:space="0" w:color="231F20"/>
            </w:tcBorders>
            <w:shd w:val="clear" w:color="auto" w:fill="D1D3D4"/>
          </w:tcPr>
          <w:p>
            <w:pPr>
              <w:pStyle w:val="TableParagraph"/>
              <w:tabs>
                <w:tab w:pos="845" w:val="left" w:leader="none"/>
              </w:tabs>
              <w:ind w:left="13"/>
              <w:jc w:val="center"/>
              <w:rPr>
                <w:sz w:val="20"/>
              </w:rPr>
            </w:pPr>
            <w:r>
              <w:rPr>
                <w:color w:val="231F20"/>
                <w:sz w:val="20"/>
              </w:rPr>
              <w:t>$</w:t>
              <w:tab/>
              <w:t>314</w:t>
            </w:r>
          </w:p>
        </w:tc>
        <w:tc>
          <w:tcPr>
            <w:tcW w:w="1280" w:type="dxa"/>
            <w:tcBorders>
              <w:top w:val="single" w:sz="4" w:space="0" w:color="231F20"/>
              <w:bottom w:val="single" w:sz="4" w:space="0" w:color="231F20"/>
            </w:tcBorders>
            <w:shd w:val="clear" w:color="auto" w:fill="D1D3D4"/>
          </w:tcPr>
          <w:p>
            <w:pPr>
              <w:pStyle w:val="TableParagraph"/>
              <w:tabs>
                <w:tab w:pos="695" w:val="left" w:leader="none"/>
              </w:tabs>
              <w:spacing w:before="48"/>
              <w:ind w:left="13"/>
              <w:jc w:val="center"/>
              <w:rPr>
                <w:sz w:val="20"/>
              </w:rPr>
            </w:pPr>
            <w:r>
              <w:rPr>
                <w:color w:val="231F20"/>
                <w:sz w:val="20"/>
              </w:rPr>
              <w:t>$</w:t>
              <w:tab/>
              <w:t>2,232</w:t>
            </w:r>
          </w:p>
        </w:tc>
      </w:tr>
      <w:tr>
        <w:trPr>
          <w:trHeight w:val="420" w:hRule="exact"/>
        </w:trPr>
        <w:tc>
          <w:tcPr>
            <w:tcW w:w="4080" w:type="dxa"/>
          </w:tcPr>
          <w:p>
            <w:pPr>
              <w:pStyle w:val="TableParagraph"/>
              <w:spacing w:before="73"/>
              <w:rPr>
                <w:b/>
                <w:sz w:val="20"/>
              </w:rPr>
            </w:pPr>
            <w:r>
              <w:rPr>
                <w:b/>
                <w:color w:val="231F20"/>
                <w:sz w:val="20"/>
              </w:rPr>
              <w:t>Total derivatives</w:t>
            </w:r>
          </w:p>
        </w:tc>
        <w:tc>
          <w:tcPr>
            <w:tcW w:w="1200" w:type="dxa"/>
            <w:tcBorders>
              <w:top w:val="single" w:sz="4" w:space="0" w:color="231F20"/>
              <w:bottom w:val="single" w:sz="4" w:space="0" w:color="231F20"/>
            </w:tcBorders>
          </w:tcPr>
          <w:p>
            <w:pPr>
              <w:pStyle w:val="TableParagraph"/>
              <w:tabs>
                <w:tab w:pos="832" w:val="left" w:leader="none"/>
              </w:tabs>
              <w:rPr>
                <w:sz w:val="20"/>
              </w:rPr>
            </w:pPr>
            <w:r>
              <w:rPr>
                <w:color w:val="231F20"/>
                <w:sz w:val="20"/>
              </w:rPr>
              <w:t>$</w:t>
              <w:tab/>
              <w:t>444</w:t>
            </w:r>
          </w:p>
        </w:tc>
        <w:tc>
          <w:tcPr>
            <w:tcW w:w="1280" w:type="dxa"/>
            <w:tcBorders>
              <w:top w:val="single" w:sz="4" w:space="0" w:color="231F20"/>
              <w:bottom w:val="single" w:sz="4" w:space="0" w:color="231F20"/>
            </w:tcBorders>
          </w:tcPr>
          <w:p>
            <w:pPr>
              <w:pStyle w:val="TableParagraph"/>
              <w:tabs>
                <w:tab w:pos="695" w:val="left" w:leader="none"/>
              </w:tabs>
              <w:ind w:left="13"/>
              <w:jc w:val="center"/>
              <w:rPr>
                <w:sz w:val="20"/>
              </w:rPr>
            </w:pPr>
            <w:r>
              <w:rPr>
                <w:color w:val="231F20"/>
                <w:sz w:val="20"/>
              </w:rPr>
              <w:t>$</w:t>
              <w:tab/>
              <w:t>1,937</w:t>
            </w:r>
          </w:p>
        </w:tc>
        <w:tc>
          <w:tcPr>
            <w:tcW w:w="1280" w:type="dxa"/>
            <w:tcBorders>
              <w:top w:val="single" w:sz="4" w:space="0" w:color="231F20"/>
              <w:bottom w:val="single" w:sz="4" w:space="0" w:color="231F20"/>
            </w:tcBorders>
          </w:tcPr>
          <w:p>
            <w:pPr>
              <w:pStyle w:val="TableParagraph"/>
              <w:tabs>
                <w:tab w:pos="845" w:val="left" w:leader="none"/>
              </w:tabs>
              <w:ind w:left="13"/>
              <w:jc w:val="center"/>
              <w:rPr>
                <w:sz w:val="20"/>
              </w:rPr>
            </w:pPr>
            <w:r>
              <w:rPr>
                <w:color w:val="231F20"/>
                <w:sz w:val="20"/>
              </w:rPr>
              <w:t>$</w:t>
              <w:tab/>
              <w:t>805</w:t>
            </w:r>
          </w:p>
        </w:tc>
        <w:tc>
          <w:tcPr>
            <w:tcW w:w="1280" w:type="dxa"/>
            <w:tcBorders>
              <w:top w:val="single" w:sz="4" w:space="0" w:color="231F20"/>
              <w:bottom w:val="single" w:sz="4" w:space="0" w:color="231F20"/>
            </w:tcBorders>
          </w:tcPr>
          <w:p>
            <w:pPr>
              <w:pStyle w:val="TableParagraph"/>
              <w:tabs>
                <w:tab w:pos="695" w:val="left" w:leader="none"/>
              </w:tabs>
              <w:spacing w:before="68"/>
              <w:ind w:left="13"/>
              <w:jc w:val="center"/>
              <w:rPr>
                <w:sz w:val="20"/>
              </w:rPr>
            </w:pPr>
            <w:r>
              <w:rPr>
                <w:color w:val="231F20"/>
                <w:sz w:val="20"/>
              </w:rPr>
              <w:t>$</w:t>
              <w:tab/>
              <w:t>3,465</w:t>
            </w:r>
          </w:p>
        </w:tc>
      </w:tr>
    </w:tbl>
    <w:p>
      <w:pPr>
        <w:pStyle w:val="BodyText"/>
        <w:spacing w:before="11"/>
        <w:rPr>
          <w:b/>
          <w:sz w:val="16"/>
        </w:rPr>
      </w:pPr>
    </w:p>
    <w:p>
      <w:pPr>
        <w:spacing w:line="249" w:lineRule="auto" w:before="93"/>
        <w:ind w:left="120" w:right="258" w:firstLine="0"/>
        <w:jc w:val="left"/>
        <w:rPr>
          <w:sz w:val="20"/>
        </w:rPr>
      </w:pPr>
      <w:r>
        <w:rPr/>
        <w:pict>
          <v:line style="position:absolute;mso-position-horizontal-relative:page;mso-position-vertical-relative:paragraph;z-index:-374368" from="273pt,-12.264063pt" to="333pt,-12.264063pt" stroked="true" strokeweight=".5pt" strokecolor="#231f20">
            <v:stroke dashstyle="solid"/>
            <w10:wrap type="none"/>
          </v:line>
        </w:pict>
      </w:r>
      <w:r>
        <w:rPr/>
        <w:pict>
          <v:line style="position:absolute;mso-position-horizontal-relative:page;mso-position-vertical-relative:paragraph;z-index:-374344" from="337pt,-12.264063pt" to="397pt,-12.264063pt" stroked="true" strokeweight=".5pt" strokecolor="#231f20">
            <v:stroke dashstyle="solid"/>
            <w10:wrap type="none"/>
          </v:line>
        </w:pict>
      </w:r>
      <w:r>
        <w:rPr/>
        <w:pict>
          <v:line style="position:absolute;mso-position-horizontal-relative:page;mso-position-vertical-relative:paragraph;z-index:-374320" from="401pt,-12.264063pt" to="461pt,-12.264063pt" stroked="true" strokeweight=".5pt" strokecolor="#231f20">
            <v:stroke dashstyle="solid"/>
            <w10:wrap type="none"/>
          </v:line>
        </w:pict>
      </w:r>
      <w:r>
        <w:rPr/>
        <w:pict>
          <v:line style="position:absolute;mso-position-horizontal-relative:page;mso-position-vertical-relative:paragraph;z-index:-374296" from="465pt,-12.264063pt" to="525pt,-12.264063pt" stroked="true" strokeweight=".5pt" strokecolor="#231f20">
            <v:stroke dashstyle="solid"/>
            <w10:wrap type="none"/>
          </v:line>
        </w:pict>
      </w:r>
      <w:r>
        <w:rPr>
          <w:color w:val="231F20"/>
          <w:sz w:val="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jc w:val="left"/>
        <w:rPr>
          <w:sz w:val="20"/>
        </w:rPr>
        <w:sectPr>
          <w:type w:val="continuous"/>
          <w:pgSz w:w="11880" w:h="15480"/>
          <w:pgMar w:top="1260" w:bottom="280" w:left="1260" w:right="1260"/>
        </w:sectPr>
      </w:pPr>
    </w:p>
    <w:p>
      <w:pPr>
        <w:pStyle w:val="BodyText"/>
        <w:spacing w:line="247" w:lineRule="auto" w:before="74"/>
        <w:ind w:left="100" w:right="171"/>
      </w:pPr>
      <w:r>
        <w:rPr>
          <w:color w:val="231F20"/>
        </w:rPr>
        <w:t>In addition, the Company also had the following amounts associated with fuel derivative instruments and hedging activities in its Consolidated Balance Sheet:</w:t>
      </w:r>
    </w:p>
    <w:p>
      <w:pPr>
        <w:pStyle w:val="BodyText"/>
        <w:rPr>
          <w:sz w:val="12"/>
        </w:rPr>
      </w:pPr>
    </w:p>
    <w:p>
      <w:pPr>
        <w:spacing w:after="0"/>
        <w:rPr>
          <w:sz w:val="12"/>
        </w:rPr>
        <w:sectPr>
          <w:pgSz w:w="11880" w:h="15480"/>
          <w:pgMar w:header="0" w:footer="1240" w:top="1240" w:bottom="1420" w:left="1280" w:right="1260"/>
        </w:sectPr>
      </w:pPr>
    </w:p>
    <w:p>
      <w:pPr>
        <w:pStyle w:val="BodyText"/>
        <w:spacing w:before="6"/>
        <w:rPr>
          <w:sz w:val="29"/>
        </w:rPr>
      </w:pPr>
    </w:p>
    <w:p>
      <w:pPr>
        <w:spacing w:before="0"/>
        <w:ind w:left="100" w:right="0" w:firstLine="0"/>
        <w:jc w:val="left"/>
        <w:rPr>
          <w:b/>
          <w:sz w:val="20"/>
        </w:rPr>
      </w:pPr>
      <w:r>
        <w:rPr>
          <w:b/>
          <w:color w:val="231F20"/>
          <w:sz w:val="20"/>
        </w:rPr>
        <w:t>(in millions)</w:t>
      </w:r>
    </w:p>
    <w:p>
      <w:pPr>
        <w:spacing w:line="249" w:lineRule="auto" w:before="99"/>
        <w:ind w:left="357" w:right="-19" w:hanging="258"/>
        <w:jc w:val="left"/>
        <w:rPr>
          <w:b/>
          <w:sz w:val="20"/>
        </w:rPr>
      </w:pPr>
      <w:r>
        <w:rPr/>
        <w:br w:type="column"/>
      </w:r>
      <w:r>
        <w:rPr>
          <w:b/>
          <w:color w:val="231F20"/>
          <w:sz w:val="20"/>
        </w:rPr>
        <w:t>Balance Sheet</w:t>
      </w:r>
      <w:r>
        <w:rPr>
          <w:b/>
          <w:color w:val="231F20"/>
          <w:w w:val="100"/>
          <w:sz w:val="20"/>
        </w:rPr>
        <w:t> </w:t>
      </w:r>
      <w:r>
        <w:rPr>
          <w:b/>
          <w:color w:val="231F20"/>
          <w:sz w:val="20"/>
        </w:rPr>
        <w:t>location</w:t>
      </w:r>
    </w:p>
    <w:p>
      <w:pPr>
        <w:spacing w:before="99"/>
        <w:ind w:left="100" w:right="0" w:firstLine="0"/>
        <w:jc w:val="center"/>
        <w:rPr>
          <w:b/>
          <w:sz w:val="20"/>
        </w:rPr>
      </w:pPr>
      <w:r>
        <w:rPr/>
        <w:br w:type="column"/>
      </w:r>
      <w:r>
        <w:rPr>
          <w:b/>
          <w:color w:val="231F20"/>
          <w:sz w:val="20"/>
        </w:rPr>
        <w:t>December 31,</w:t>
      </w:r>
    </w:p>
    <w:p>
      <w:pPr>
        <w:spacing w:before="9"/>
        <w:ind w:left="98" w:right="0" w:firstLine="0"/>
        <w:jc w:val="center"/>
        <w:rPr>
          <w:b/>
          <w:sz w:val="20"/>
        </w:rPr>
      </w:pPr>
      <w:r>
        <w:rPr>
          <w:b/>
          <w:color w:val="231F20"/>
          <w:sz w:val="20"/>
        </w:rPr>
        <w:t>2016</w:t>
      </w:r>
    </w:p>
    <w:p>
      <w:pPr>
        <w:spacing w:before="99"/>
        <w:ind w:left="81" w:right="198" w:firstLine="0"/>
        <w:jc w:val="center"/>
        <w:rPr>
          <w:b/>
          <w:sz w:val="20"/>
        </w:rPr>
      </w:pPr>
      <w:r>
        <w:rPr/>
        <w:br w:type="column"/>
      </w:r>
      <w:r>
        <w:rPr>
          <w:b/>
          <w:color w:val="231F20"/>
          <w:sz w:val="20"/>
        </w:rPr>
        <w:t>December 31,</w:t>
      </w:r>
    </w:p>
    <w:p>
      <w:pPr>
        <w:spacing w:before="9"/>
        <w:ind w:left="78" w:right="198" w:firstLine="0"/>
        <w:jc w:val="center"/>
        <w:rPr>
          <w:b/>
          <w:sz w:val="20"/>
        </w:rPr>
      </w:pPr>
      <w:r>
        <w:rPr>
          <w:b/>
          <w:color w:val="231F20"/>
          <w:sz w:val="20"/>
        </w:rPr>
        <w:t>2015</w:t>
      </w:r>
    </w:p>
    <w:p>
      <w:pPr>
        <w:spacing w:after="0"/>
        <w:jc w:val="center"/>
        <w:rPr>
          <w:sz w:val="20"/>
        </w:rPr>
        <w:sectPr>
          <w:type w:val="continuous"/>
          <w:pgSz w:w="11880" w:h="15480"/>
          <w:pgMar w:top="1260" w:bottom="280" w:left="1280" w:right="1260"/>
          <w:cols w:num="4" w:equalWidth="0">
            <w:col w:w="1129" w:space="3359"/>
            <w:col w:w="1295" w:space="503"/>
            <w:col w:w="1268" w:space="299"/>
            <w:col w:w="1487"/>
          </w:cols>
        </w:sect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86"/>
        <w:gridCol w:w="1800"/>
        <w:gridCol w:w="200"/>
        <w:gridCol w:w="1367"/>
        <w:gridCol w:w="200"/>
        <w:gridCol w:w="1367"/>
      </w:tblGrid>
      <w:tr>
        <w:trPr>
          <w:trHeight w:val="790" w:hRule="exact"/>
        </w:trPr>
        <w:tc>
          <w:tcPr>
            <w:tcW w:w="4186" w:type="dxa"/>
            <w:tcBorders>
              <w:top w:val="single" w:sz="8" w:space="0" w:color="231F20"/>
            </w:tcBorders>
          </w:tcPr>
          <w:p>
            <w:pPr>
              <w:pStyle w:val="TableParagraph"/>
              <w:spacing w:line="249" w:lineRule="auto"/>
              <w:ind w:left="200" w:right="250" w:hanging="200"/>
              <w:rPr>
                <w:sz w:val="20"/>
              </w:rPr>
            </w:pPr>
            <w:r>
              <w:rPr>
                <w:color w:val="231F20"/>
                <w:sz w:val="20"/>
              </w:rPr>
              <w:t>Cash collateral deposits held from counterparties for fuel contracts - current</w:t>
            </w:r>
          </w:p>
        </w:tc>
        <w:tc>
          <w:tcPr>
            <w:tcW w:w="1800" w:type="dxa"/>
            <w:tcBorders>
              <w:top w:val="single" w:sz="8" w:space="0" w:color="231F20"/>
            </w:tcBorders>
          </w:tcPr>
          <w:p>
            <w:pPr>
              <w:pStyle w:val="TableParagraph"/>
              <w:spacing w:line="249" w:lineRule="auto"/>
              <w:ind w:right="2"/>
              <w:rPr>
                <w:sz w:val="20"/>
              </w:rPr>
            </w:pPr>
            <w:r>
              <w:rPr>
                <w:color w:val="231F20"/>
                <w:sz w:val="20"/>
              </w:rPr>
              <w:t>Offset against Prepaid</w:t>
            </w:r>
            <w:r>
              <w:rPr>
                <w:color w:val="231F20"/>
                <w:w w:val="100"/>
                <w:sz w:val="20"/>
              </w:rPr>
              <w:t> </w:t>
            </w:r>
            <w:r>
              <w:rPr>
                <w:color w:val="231F20"/>
                <w:sz w:val="20"/>
              </w:rPr>
              <w:t>expenses and other current assets</w:t>
            </w:r>
          </w:p>
        </w:tc>
        <w:tc>
          <w:tcPr>
            <w:tcW w:w="200" w:type="dxa"/>
          </w:tcPr>
          <w:p>
            <w:pPr/>
          </w:p>
        </w:tc>
        <w:tc>
          <w:tcPr>
            <w:tcW w:w="1367" w:type="dxa"/>
            <w:tcBorders>
              <w:top w:val="single" w:sz="8" w:space="0" w:color="231F20"/>
            </w:tcBorders>
          </w:tcPr>
          <w:p>
            <w:pPr>
              <w:pStyle w:val="TableParagraph"/>
              <w:tabs>
                <w:tab w:pos="1199" w:val="left" w:leader="none"/>
              </w:tabs>
              <w:ind w:right="66"/>
              <w:jc w:val="right"/>
              <w:rPr>
                <w:sz w:val="20"/>
              </w:rPr>
            </w:pPr>
            <w:r>
              <w:rPr>
                <w:color w:val="231F20"/>
                <w:sz w:val="20"/>
              </w:rPr>
              <w:t>$</w:t>
              <w:tab/>
              <w:t>4</w:t>
            </w:r>
          </w:p>
        </w:tc>
        <w:tc>
          <w:tcPr>
            <w:tcW w:w="200" w:type="dxa"/>
          </w:tcPr>
          <w:p>
            <w:pPr/>
          </w:p>
        </w:tc>
        <w:tc>
          <w:tcPr>
            <w:tcW w:w="1367" w:type="dxa"/>
            <w:tcBorders>
              <w:top w:val="single" w:sz="8" w:space="0" w:color="231F20"/>
            </w:tcBorders>
          </w:tcPr>
          <w:p>
            <w:pPr>
              <w:pStyle w:val="TableParagraph"/>
              <w:tabs>
                <w:tab w:pos="1099" w:val="left" w:leader="none"/>
              </w:tabs>
              <w:ind w:right="66"/>
              <w:jc w:val="right"/>
              <w:rPr>
                <w:sz w:val="20"/>
              </w:rPr>
            </w:pPr>
            <w:r>
              <w:rPr>
                <w:color w:val="231F20"/>
                <w:sz w:val="20"/>
              </w:rPr>
              <w:t>$</w:t>
              <w:tab/>
              <w:t>—</w:t>
            </w:r>
          </w:p>
        </w:tc>
      </w:tr>
      <w:tr>
        <w:trPr>
          <w:trHeight w:val="540" w:hRule="exact"/>
        </w:trPr>
        <w:tc>
          <w:tcPr>
            <w:tcW w:w="4186" w:type="dxa"/>
            <w:shd w:val="clear" w:color="auto" w:fill="D1D3D4"/>
          </w:tcPr>
          <w:p>
            <w:pPr>
              <w:pStyle w:val="TableParagraph"/>
              <w:spacing w:line="249" w:lineRule="auto"/>
              <w:ind w:left="200" w:right="250" w:hanging="200"/>
              <w:rPr>
                <w:sz w:val="20"/>
              </w:rPr>
            </w:pPr>
            <w:r>
              <w:rPr>
                <w:color w:val="231F20"/>
                <w:sz w:val="20"/>
              </w:rPr>
              <w:t>Cash collateral deposits held from counterparties for fuel contracts - noncurrent</w:t>
            </w:r>
          </w:p>
        </w:tc>
        <w:tc>
          <w:tcPr>
            <w:tcW w:w="1800" w:type="dxa"/>
            <w:shd w:val="clear" w:color="auto" w:fill="D1D3D4"/>
          </w:tcPr>
          <w:p>
            <w:pPr>
              <w:pStyle w:val="TableParagraph"/>
              <w:spacing w:line="249" w:lineRule="auto"/>
              <w:ind w:right="158"/>
              <w:rPr>
                <w:sz w:val="20"/>
              </w:rPr>
            </w:pPr>
            <w:r>
              <w:rPr>
                <w:color w:val="231F20"/>
                <w:sz w:val="20"/>
              </w:rPr>
              <w:t>Offset against Other assets</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6</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w:t>
            </w:r>
          </w:p>
        </w:tc>
      </w:tr>
      <w:tr>
        <w:trPr>
          <w:trHeight w:val="540" w:hRule="exact"/>
        </w:trPr>
        <w:tc>
          <w:tcPr>
            <w:tcW w:w="4186" w:type="dxa"/>
          </w:tcPr>
          <w:p>
            <w:pPr>
              <w:pStyle w:val="TableParagraph"/>
              <w:spacing w:line="249" w:lineRule="auto"/>
              <w:ind w:left="200" w:right="684" w:hanging="200"/>
              <w:rPr>
                <w:sz w:val="20"/>
              </w:rPr>
            </w:pPr>
            <w:r>
              <w:rPr>
                <w:color w:val="231F20"/>
                <w:sz w:val="20"/>
              </w:rPr>
              <w:t>Cash collateral deposits provided to counterparties for fuel contracts - current</w:t>
            </w:r>
          </w:p>
        </w:tc>
        <w:tc>
          <w:tcPr>
            <w:tcW w:w="1800" w:type="dxa"/>
          </w:tcPr>
          <w:p>
            <w:pPr>
              <w:pStyle w:val="TableParagraph"/>
              <w:spacing w:line="249" w:lineRule="auto"/>
              <w:ind w:right="308"/>
              <w:rPr>
                <w:sz w:val="20"/>
              </w:rPr>
            </w:pPr>
            <w:r>
              <w:rPr>
                <w:color w:val="231F20"/>
                <w:sz w:val="20"/>
              </w:rPr>
              <w:t>Offset against Accrued liabilities</w:t>
            </w:r>
          </w:p>
        </w:tc>
        <w:tc>
          <w:tcPr>
            <w:tcW w:w="200" w:type="dxa"/>
          </w:tcPr>
          <w:p>
            <w:pPr/>
          </w:p>
        </w:tc>
        <w:tc>
          <w:tcPr>
            <w:tcW w:w="1367" w:type="dxa"/>
          </w:tcPr>
          <w:p>
            <w:pPr>
              <w:pStyle w:val="TableParagraph"/>
              <w:ind w:right="66"/>
              <w:jc w:val="right"/>
              <w:rPr>
                <w:sz w:val="20"/>
              </w:rPr>
            </w:pPr>
            <w:r>
              <w:rPr>
                <w:color w:val="231F20"/>
                <w:sz w:val="20"/>
              </w:rPr>
              <w:t>311</w:t>
            </w:r>
          </w:p>
        </w:tc>
        <w:tc>
          <w:tcPr>
            <w:tcW w:w="200" w:type="dxa"/>
          </w:tcPr>
          <w:p>
            <w:pPr/>
          </w:p>
        </w:tc>
        <w:tc>
          <w:tcPr>
            <w:tcW w:w="1367" w:type="dxa"/>
          </w:tcPr>
          <w:p>
            <w:pPr>
              <w:pStyle w:val="TableParagraph"/>
              <w:ind w:right="66"/>
              <w:jc w:val="right"/>
              <w:rPr>
                <w:sz w:val="20"/>
              </w:rPr>
            </w:pPr>
            <w:r>
              <w:rPr>
                <w:color w:val="231F20"/>
                <w:sz w:val="20"/>
              </w:rPr>
              <w:t>235</w:t>
            </w:r>
          </w:p>
        </w:tc>
      </w:tr>
      <w:tr>
        <w:trPr>
          <w:trHeight w:val="540" w:hRule="exact"/>
        </w:trPr>
        <w:tc>
          <w:tcPr>
            <w:tcW w:w="4186" w:type="dxa"/>
            <w:shd w:val="clear" w:color="auto" w:fill="D1D3D4"/>
          </w:tcPr>
          <w:p>
            <w:pPr>
              <w:pStyle w:val="TableParagraph"/>
              <w:spacing w:line="249" w:lineRule="auto"/>
              <w:ind w:left="200" w:right="384" w:hanging="200"/>
              <w:rPr>
                <w:sz w:val="20"/>
              </w:rPr>
            </w:pPr>
            <w:r>
              <w:rPr>
                <w:color w:val="231F20"/>
                <w:sz w:val="20"/>
              </w:rPr>
              <w:t>Cash collateral deposits provided to counterparties for fuel contracts - noncurrent</w:t>
            </w:r>
          </w:p>
        </w:tc>
        <w:tc>
          <w:tcPr>
            <w:tcW w:w="1800" w:type="dxa"/>
            <w:shd w:val="clear" w:color="auto" w:fill="D1D3D4"/>
          </w:tcPr>
          <w:p>
            <w:pPr>
              <w:pStyle w:val="TableParagraph"/>
              <w:spacing w:line="249" w:lineRule="auto"/>
              <w:ind w:right="119"/>
              <w:rPr>
                <w:sz w:val="20"/>
              </w:rPr>
            </w:pPr>
            <w:r>
              <w:rPr>
                <w:color w:val="231F20"/>
                <w:sz w:val="20"/>
              </w:rPr>
              <w:t>Offset against Other noncurrent liabilities</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w:t>
            </w:r>
          </w:p>
        </w:tc>
        <w:tc>
          <w:tcPr>
            <w:tcW w:w="200" w:type="dxa"/>
            <w:shd w:val="clear" w:color="auto" w:fill="D1D3D4"/>
          </w:tcPr>
          <w:p>
            <w:pPr/>
          </w:p>
        </w:tc>
        <w:tc>
          <w:tcPr>
            <w:tcW w:w="1367" w:type="dxa"/>
            <w:shd w:val="clear" w:color="auto" w:fill="D1D3D4"/>
          </w:tcPr>
          <w:p>
            <w:pPr>
              <w:pStyle w:val="TableParagraph"/>
              <w:ind w:right="66"/>
              <w:jc w:val="right"/>
              <w:rPr>
                <w:sz w:val="20"/>
              </w:rPr>
            </w:pPr>
            <w:r>
              <w:rPr>
                <w:color w:val="231F20"/>
                <w:sz w:val="20"/>
              </w:rPr>
              <w:t>600</w:t>
            </w:r>
          </w:p>
        </w:tc>
      </w:tr>
      <w:tr>
        <w:trPr>
          <w:trHeight w:val="284" w:hRule="exact"/>
        </w:trPr>
        <w:tc>
          <w:tcPr>
            <w:tcW w:w="4186" w:type="dxa"/>
          </w:tcPr>
          <w:p>
            <w:pPr>
              <w:pStyle w:val="TableParagraph"/>
              <w:rPr>
                <w:sz w:val="20"/>
              </w:rPr>
            </w:pPr>
            <w:r>
              <w:rPr>
                <w:color w:val="231F20"/>
                <w:sz w:val="20"/>
              </w:rPr>
              <w:t>Due to third parties for fuel contracts</w:t>
            </w:r>
          </w:p>
        </w:tc>
        <w:tc>
          <w:tcPr>
            <w:tcW w:w="1800" w:type="dxa"/>
          </w:tcPr>
          <w:p>
            <w:pPr>
              <w:pStyle w:val="TableParagraph"/>
              <w:rPr>
                <w:sz w:val="20"/>
              </w:rPr>
            </w:pPr>
            <w:r>
              <w:rPr>
                <w:color w:val="231F20"/>
                <w:sz w:val="20"/>
              </w:rPr>
              <w:t>Accounts payable</w:t>
            </w:r>
          </w:p>
        </w:tc>
        <w:tc>
          <w:tcPr>
            <w:tcW w:w="200" w:type="dxa"/>
          </w:tcPr>
          <w:p>
            <w:pPr/>
          </w:p>
        </w:tc>
        <w:tc>
          <w:tcPr>
            <w:tcW w:w="1367" w:type="dxa"/>
          </w:tcPr>
          <w:p>
            <w:pPr>
              <w:pStyle w:val="TableParagraph"/>
              <w:ind w:right="64"/>
              <w:jc w:val="right"/>
              <w:rPr>
                <w:sz w:val="20"/>
              </w:rPr>
            </w:pPr>
            <w:r>
              <w:rPr>
                <w:color w:val="231F20"/>
                <w:sz w:val="20"/>
              </w:rPr>
              <w:t>75</w:t>
            </w:r>
          </w:p>
        </w:tc>
        <w:tc>
          <w:tcPr>
            <w:tcW w:w="200" w:type="dxa"/>
          </w:tcPr>
          <w:p>
            <w:pPr/>
          </w:p>
        </w:tc>
        <w:tc>
          <w:tcPr>
            <w:tcW w:w="1367" w:type="dxa"/>
          </w:tcPr>
          <w:p>
            <w:pPr>
              <w:pStyle w:val="TableParagraph"/>
              <w:ind w:right="64"/>
              <w:jc w:val="right"/>
              <w:rPr>
                <w:sz w:val="20"/>
              </w:rPr>
            </w:pPr>
            <w:r>
              <w:rPr>
                <w:color w:val="231F20"/>
                <w:sz w:val="20"/>
              </w:rPr>
              <w:t>46</w:t>
            </w:r>
          </w:p>
        </w:tc>
      </w:tr>
    </w:tbl>
    <w:p>
      <w:pPr>
        <w:pStyle w:val="BodyText"/>
        <w:spacing w:before="5"/>
        <w:rPr>
          <w:b/>
          <w:sz w:val="20"/>
        </w:rPr>
      </w:pPr>
    </w:p>
    <w:p>
      <w:pPr>
        <w:pStyle w:val="BodyText"/>
        <w:spacing w:line="247" w:lineRule="auto" w:before="93"/>
        <w:ind w:left="100" w:right="117"/>
        <w:jc w:val="both"/>
      </w:pPr>
      <w:r>
        <w:rPr>
          <w:color w:val="231F20"/>
        </w:rPr>
        <w:t>All of the Company’s fuel derivative instruments and interest rate swaps are subject to agreements that follow the netting guidance in the applicable accounting for derivatives and hedging. The types of derivative instruments the Company has determined are subject to netting requirements in the accompanying Consolidated Balance Sheet are those in which the Company pays or receives cash for transactions with the same counterparty and in the same currency via one net payment or receipt. For cash collateral held by the Company or provided to counterparties, the Company nets such amounts against the fair value of the Company’s derivative portfolio by each counterparty. The Company has elected to utilize netting for both its fuel derivative instruments and interest rate swap agreements and also classifies such amounts as either current or noncurrent, based on the net fair value position with each of the Company’s counterparties in the Consolidated Balance Sheet.</w:t>
      </w:r>
    </w:p>
    <w:p>
      <w:pPr>
        <w:pStyle w:val="BodyText"/>
        <w:spacing w:before="9"/>
        <w:rPr>
          <w:sz w:val="20"/>
        </w:rPr>
      </w:pPr>
    </w:p>
    <w:p>
      <w:pPr>
        <w:pStyle w:val="BodyText"/>
        <w:spacing w:line="247" w:lineRule="auto"/>
        <w:ind w:left="100" w:right="117"/>
        <w:jc w:val="both"/>
      </w:pPr>
      <w:r>
        <w:rPr>
          <w:color w:val="231F20"/>
        </w:rPr>
        <w:t>The Company’s application of its netting policy associated with cash collateral differs depending on whether its derivative instruments are in a net asset position or a net liability position. If its fuel derivative instruments are in a net asset position with a counterparty, cash collateral amounts held are first netted against current outstanding derivative amounts associated with that counterparty until that balance is zero, and then any remainder is applied against the fair value of noncurrent outstanding derivative instruments. If the Company’s fuel derivative instruments are in a net liability position with the counterparty, cash collateral amounts provided are first netted against noncurrent outstanding derivative amounts associated with that counterparty until that balance is zero, and then any remainder is applied against the fair value of current outstanding derivative instruments.</w:t>
      </w:r>
    </w:p>
    <w:p>
      <w:pPr>
        <w:spacing w:after="0" w:line="247" w:lineRule="auto"/>
        <w:jc w:val="both"/>
        <w:sectPr>
          <w:type w:val="continuous"/>
          <w:pgSz w:w="11880" w:h="15480"/>
          <w:pgMar w:top="1260" w:bottom="280" w:left="1280" w:right="1260"/>
        </w:sectPr>
      </w:pPr>
    </w:p>
    <w:p>
      <w:pPr>
        <w:pStyle w:val="BodyText"/>
        <w:spacing w:line="247" w:lineRule="auto" w:before="74"/>
        <w:ind w:left="120" w:right="137"/>
        <w:jc w:val="both"/>
      </w:pPr>
      <w:r>
        <w:rPr>
          <w:color w:val="231F20"/>
        </w:rPr>
        <w:t>The Company has the following recognized financial assets and financial liabilities resulting from those transactions that meet the scope of the disclosure requirements as necessitated by applicable accounting guidance for balance sheet offsetting:</w:t>
      </w:r>
    </w:p>
    <w:p>
      <w:pPr>
        <w:spacing w:before="189"/>
        <w:ind w:left="120" w:right="0" w:firstLine="0"/>
        <w:jc w:val="both"/>
        <w:rPr>
          <w:b/>
          <w:sz w:val="20"/>
        </w:rPr>
      </w:pPr>
      <w:r>
        <w:rPr>
          <w:b/>
          <w:color w:val="231F20"/>
          <w:sz w:val="20"/>
        </w:rPr>
        <w:t>Offsetting of derivative assets</w:t>
      </w:r>
    </w:p>
    <w:p>
      <w:pPr>
        <w:spacing w:before="57" w:after="17"/>
        <w:ind w:left="160" w:right="0" w:firstLine="0"/>
        <w:jc w:val="both"/>
        <w:rPr>
          <w:sz w:val="20"/>
        </w:rPr>
      </w:pPr>
      <w:r>
        <w:rPr>
          <w:color w:val="231F20"/>
          <w:sz w:val="20"/>
        </w:rPr>
        <w:t>(in millions)</w:t>
      </w:r>
    </w:p>
    <w:p>
      <w:pPr>
        <w:pStyle w:val="BodyText"/>
        <w:spacing w:line="20" w:lineRule="exact"/>
        <w:ind w:left="150"/>
        <w:rPr>
          <w:sz w:val="2"/>
        </w:rPr>
      </w:pPr>
      <w:r>
        <w:rPr>
          <w:sz w:val="2"/>
        </w:rPr>
        <w:pict>
          <v:group style="width:455pt;height:1pt;mso-position-horizontal-relative:char;mso-position-vertical-relative:line" coordorigin="0,0" coordsize="9100,20">
            <v:line style="position:absolute" from="10,10" to="9090,10" stroked="true" strokeweight="1pt" strokecolor="#231f20">
              <v:stroke dashstyle="solid"/>
            </v:line>
          </v:group>
        </w:pict>
      </w:r>
      <w:r>
        <w:rPr>
          <w:sz w:val="2"/>
        </w:rPr>
      </w:r>
    </w:p>
    <w:p>
      <w:pPr>
        <w:tabs>
          <w:tab w:pos="3802" w:val="left" w:leader="none"/>
          <w:tab w:pos="4624" w:val="left" w:leader="none"/>
          <w:tab w:pos="6264" w:val="left" w:leader="none"/>
          <w:tab w:pos="7382" w:val="left" w:leader="none"/>
          <w:tab w:pos="8264" w:val="left" w:leader="none"/>
        </w:tabs>
        <w:spacing w:before="50"/>
        <w:ind w:left="260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892" w:val="left" w:leader="none"/>
        </w:tabs>
        <w:spacing w:before="15"/>
        <w:ind w:left="3233" w:right="0" w:firstLine="0"/>
        <w:jc w:val="left"/>
        <w:rPr>
          <w:b/>
          <w:sz w:val="16"/>
        </w:rPr>
      </w:pPr>
      <w:r>
        <w:rPr/>
        <w:pict>
          <v:line style="position:absolute;mso-position-horizontal-relative:page;mso-position-vertical-relative:paragraph;z-index:4936" from="169pt,10.96875pt" to="345pt,10.96875pt" stroked="true" strokeweight=".5pt" strokecolor="#231f20">
            <v:stroke dashstyle="solid"/>
            <w10:wrap type="none"/>
          </v:line>
        </w:pict>
      </w:r>
      <w:r>
        <w:rPr/>
        <w:pict>
          <v:line style="position:absolute;mso-position-horizontal-relative:page;mso-position-vertical-relative:paragraph;z-index:4960" from="355pt,10.96875pt" to="525pt,10.96875pt" stroked="true" strokeweight=".5pt" strokecolor="#231f20">
            <v:stroke dashstyle="solid"/>
            <w10:wrap type="none"/>
          </v:line>
        </w:pict>
      </w:r>
      <w:r>
        <w:rPr>
          <w:b/>
          <w:color w:val="231F20"/>
          <w:sz w:val="16"/>
        </w:rPr>
        <w:t>December 31, 2016</w:t>
        <w:tab/>
        <w:t>December 31, 2015</w:t>
      </w:r>
    </w:p>
    <w:p>
      <w:pPr>
        <w:spacing w:after="0"/>
        <w:jc w:val="left"/>
        <w:rPr>
          <w:sz w:val="16"/>
        </w:rPr>
        <w:sectPr>
          <w:pgSz w:w="11880" w:h="15480"/>
          <w:pgMar w:header="0" w:footer="1240" w:top="1240" w:bottom="1420" w:left="1260" w:right="1240"/>
        </w:sectPr>
      </w:pPr>
    </w:p>
    <w:p>
      <w:pPr>
        <w:pStyle w:val="BodyText"/>
        <w:rPr>
          <w:b/>
          <w:sz w:val="18"/>
        </w:rPr>
      </w:pPr>
    </w:p>
    <w:p>
      <w:pPr>
        <w:pStyle w:val="BodyText"/>
        <w:rPr>
          <w:b/>
          <w:sz w:val="18"/>
        </w:rPr>
      </w:pPr>
    </w:p>
    <w:p>
      <w:pPr>
        <w:pStyle w:val="BodyText"/>
        <w:spacing w:before="8"/>
        <w:rPr>
          <w:b/>
        </w:rPr>
      </w:pPr>
    </w:p>
    <w:p>
      <w:pPr>
        <w:spacing w:before="0"/>
        <w:ind w:left="160" w:right="0" w:firstLine="0"/>
        <w:jc w:val="left"/>
        <w:rPr>
          <w:b/>
          <w:sz w:val="16"/>
        </w:rPr>
      </w:pPr>
      <w:r>
        <w:rPr>
          <w:b/>
          <w:color w:val="231F20"/>
          <w:sz w:val="16"/>
        </w:rPr>
        <w:t>Description</w:t>
      </w:r>
    </w:p>
    <w:p>
      <w:pPr>
        <w:pStyle w:val="BodyText"/>
        <w:spacing w:before="10"/>
        <w:rPr>
          <w:b/>
          <w:sz w:val="23"/>
        </w:rPr>
      </w:pPr>
    </w:p>
    <w:p>
      <w:pPr>
        <w:spacing w:line="247" w:lineRule="auto" w:before="1"/>
        <w:ind w:left="160" w:right="132" w:firstLine="0"/>
        <w:jc w:val="left"/>
        <w:rPr>
          <w:sz w:val="16"/>
        </w:rPr>
      </w:pPr>
      <w:r>
        <w:rPr>
          <w:color w:val="231F20"/>
          <w:sz w:val="16"/>
        </w:rPr>
        <w:t>Fuel derivative</w:t>
      </w:r>
    </w:p>
    <w:p>
      <w:pPr>
        <w:pStyle w:val="BodyText"/>
        <w:rPr>
          <w:sz w:val="18"/>
        </w:rPr>
      </w:pPr>
      <w:r>
        <w:rPr/>
        <w:br w:type="column"/>
      </w:r>
      <w:r>
        <w:rPr>
          <w:sz w:val="18"/>
        </w:rPr>
      </w:r>
    </w:p>
    <w:p>
      <w:pPr>
        <w:pStyle w:val="BodyText"/>
        <w:spacing w:before="4"/>
        <w:rPr>
          <w:sz w:val="23"/>
        </w:rPr>
      </w:pPr>
    </w:p>
    <w:p>
      <w:pPr>
        <w:spacing w:line="261" w:lineRule="auto" w:before="0"/>
        <w:ind w:left="300" w:right="-19" w:hanging="207"/>
        <w:jc w:val="left"/>
        <w:rPr>
          <w:b/>
          <w:sz w:val="16"/>
        </w:rPr>
      </w:pPr>
      <w:r>
        <w:rPr>
          <w:b/>
          <w:color w:val="231F20"/>
          <w:sz w:val="16"/>
        </w:rPr>
        <w:t>Balance Sheet location</w:t>
      </w:r>
    </w:p>
    <w:p>
      <w:pPr>
        <w:spacing w:line="247" w:lineRule="auto" w:before="70"/>
        <w:ind w:left="93" w:right="88" w:firstLine="0"/>
        <w:jc w:val="left"/>
        <w:rPr>
          <w:sz w:val="16"/>
        </w:rPr>
      </w:pPr>
      <w:r>
        <w:rPr/>
        <w:pict>
          <v:group style="position:absolute;margin-left:68.5pt;margin-top:.46875pt;width:457pt;height:42pt;mso-position-horizontal-relative:page;mso-position-vertical-relative:paragraph;z-index:-374224" coordorigin="1370,9" coordsize="9140,840">
            <v:rect style="position:absolute;left:1380;top:29;width:9120;height:820" filled="true" fillcolor="#d1d3d4" stroked="false">
              <v:fill type="solid"/>
            </v:rect>
            <v:line style="position:absolute" from="1380,19" to="2225,19" stroked="true" strokeweight="1pt" strokecolor="#231f20">
              <v:stroke dashstyle="solid"/>
            </v:line>
            <v:line style="position:absolute" from="2345,19" to="3300,19" stroked="true" strokeweight="1pt" strokecolor="#231f20">
              <v:stroke dashstyle="solid"/>
            </v:line>
            <v:line style="position:absolute" from="3380,19" to="4500,19" stroked="true" strokeweight="1pt" strokecolor="#231f20">
              <v:stroke dashstyle="solid"/>
            </v:line>
            <v:line style="position:absolute" from="4620,19" to="5700,19" stroked="true" strokeweight="1pt" strokecolor="#231f20">
              <v:stroke dashstyle="solid"/>
            </v:line>
            <v:line style="position:absolute" from="5780,19" to="6900,19" stroked="true" strokeweight="1pt" strokecolor="#231f20">
              <v:stroke dashstyle="solid"/>
            </v:line>
            <v:line style="position:absolute" from="7100,19" to="8100,19" stroked="true" strokeweight="1pt" strokecolor="#231f20">
              <v:stroke dashstyle="solid"/>
            </v:line>
            <v:line style="position:absolute" from="8180,19" to="9300,19" stroked="true" strokeweight="1pt" strokecolor="#231f20">
              <v:stroke dashstyle="solid"/>
            </v:line>
            <v:line style="position:absolute" from="9460,19" to="10500,19" stroked="true" strokeweight="1pt" strokecolor="#231f20">
              <v:stroke dashstyle="solid"/>
            </v:line>
            <w10:wrap type="none"/>
          </v:group>
        </w:pict>
      </w:r>
      <w:r>
        <w:rPr>
          <w:color w:val="231F20"/>
          <w:sz w:val="16"/>
        </w:rPr>
        <w:t>Prepaid expenses and other current</w:t>
      </w:r>
    </w:p>
    <w:p>
      <w:pPr>
        <w:pStyle w:val="BodyText"/>
        <w:spacing w:before="11"/>
        <w:rPr>
          <w:sz w:val="23"/>
        </w:rPr>
      </w:pPr>
      <w:r>
        <w:rPr/>
        <w:br w:type="column"/>
      </w:r>
      <w:r>
        <w:rPr>
          <w:sz w:val="23"/>
        </w:rPr>
      </w:r>
    </w:p>
    <w:p>
      <w:pPr>
        <w:spacing w:line="261" w:lineRule="auto" w:before="0"/>
        <w:ind w:left="86"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154"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5"/>
        <w:ind w:left="79" w:right="0" w:hanging="2"/>
        <w:jc w:val="center"/>
        <w:rPr>
          <w:b/>
          <w:sz w:val="16"/>
        </w:rPr>
      </w:pPr>
      <w:r>
        <w:rPr/>
        <w:br w:type="column"/>
      </w:r>
      <w:r>
        <w:rPr>
          <w:b/>
          <w:color w:val="231F20"/>
          <w:sz w:val="16"/>
        </w:rPr>
        <w:t>Net amounts of assets</w:t>
      </w:r>
      <w:r>
        <w:rPr>
          <w:b/>
          <w:color w:val="231F20"/>
          <w:spacing w:val="-3"/>
          <w:sz w:val="16"/>
        </w:rPr>
        <w:t> </w:t>
      </w:r>
      <w:r>
        <w:rPr>
          <w:b/>
          <w:color w:val="231F20"/>
          <w:sz w:val="16"/>
        </w:rPr>
        <w:t>presented in the Balance Sheet</w:t>
      </w:r>
    </w:p>
    <w:p>
      <w:pPr>
        <w:pStyle w:val="BodyText"/>
        <w:spacing w:before="11"/>
        <w:rPr>
          <w:b/>
          <w:sz w:val="23"/>
        </w:rPr>
      </w:pPr>
      <w:r>
        <w:rPr/>
        <w:br w:type="column"/>
      </w:r>
      <w:r>
        <w:rPr>
          <w:b/>
          <w:sz w:val="23"/>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 recognized assets</w:t>
      </w:r>
    </w:p>
    <w:p>
      <w:pPr>
        <w:pStyle w:val="BodyText"/>
        <w:spacing w:before="11"/>
        <w:rPr>
          <w:b/>
          <w:sz w:val="23"/>
        </w:rPr>
      </w:pPr>
      <w:r>
        <w:rPr/>
        <w:br w:type="column"/>
      </w:r>
      <w:r>
        <w:rPr>
          <w:b/>
          <w:sz w:val="23"/>
        </w:rPr>
      </w:r>
    </w:p>
    <w:p>
      <w:pPr>
        <w:spacing w:line="261" w:lineRule="auto" w:before="0"/>
        <w:ind w:left="73"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75"/>
        <w:ind w:left="139" w:right="109" w:hanging="2"/>
        <w:jc w:val="center"/>
        <w:rPr>
          <w:b/>
          <w:sz w:val="16"/>
        </w:rPr>
      </w:pPr>
      <w:r>
        <w:rPr/>
        <w:br w:type="column"/>
      </w:r>
      <w:r>
        <w:rPr>
          <w:b/>
          <w:color w:val="231F20"/>
          <w:sz w:val="16"/>
        </w:rPr>
        <w:t>Net amounts of assets presented in</w:t>
      </w:r>
      <w:r>
        <w:rPr>
          <w:b/>
          <w:color w:val="231F20"/>
          <w:spacing w:val="-1"/>
          <w:sz w:val="16"/>
        </w:rPr>
        <w:t> </w:t>
      </w:r>
      <w:r>
        <w:rPr>
          <w:b/>
          <w:color w:val="231F20"/>
          <w:sz w:val="16"/>
        </w:rPr>
        <w:t>the</w:t>
      </w:r>
      <w:r>
        <w:rPr>
          <w:b/>
          <w:color w:val="231F20"/>
          <w:spacing w:val="-1"/>
          <w:sz w:val="16"/>
        </w:rPr>
        <w:t> </w:t>
      </w:r>
      <w:r>
        <w:rPr>
          <w:b/>
          <w:color w:val="231F20"/>
          <w:sz w:val="16"/>
        </w:rPr>
        <w:t>Balance Sheet</w:t>
      </w:r>
    </w:p>
    <w:p>
      <w:pPr>
        <w:spacing w:after="0" w:line="261" w:lineRule="auto"/>
        <w:jc w:val="center"/>
        <w:rPr>
          <w:sz w:val="16"/>
        </w:rPr>
        <w:sectPr>
          <w:type w:val="continuous"/>
          <w:pgSz w:w="11880" w:h="15480"/>
          <w:pgMar w:top="1260" w:bottom="280" w:left="1260" w:right="1240"/>
          <w:cols w:num="8" w:equalWidth="0">
            <w:col w:w="952" w:space="40"/>
            <w:col w:w="1050" w:space="40"/>
            <w:col w:w="1113" w:space="40"/>
            <w:col w:w="1180" w:space="40"/>
            <w:col w:w="1176" w:space="40"/>
            <w:col w:w="1186" w:space="40"/>
            <w:col w:w="1100" w:space="40"/>
            <w:col w:w="1343"/>
          </w:cols>
        </w:sectPr>
      </w:pPr>
    </w:p>
    <w:p>
      <w:pPr>
        <w:spacing w:before="0"/>
        <w:ind w:left="160" w:right="0" w:firstLine="0"/>
        <w:jc w:val="left"/>
        <w:rPr>
          <w:sz w:val="16"/>
        </w:rPr>
      </w:pPr>
      <w:r>
        <w:rPr>
          <w:color w:val="231F20"/>
          <w:sz w:val="16"/>
        </w:rPr>
        <w:t>contracts</w:t>
      </w:r>
    </w:p>
    <w:p>
      <w:pPr>
        <w:spacing w:line="247" w:lineRule="auto" w:before="65"/>
        <w:ind w:left="160" w:right="-20" w:firstLine="0"/>
        <w:jc w:val="left"/>
        <w:rPr>
          <w:sz w:val="16"/>
        </w:rPr>
      </w:pPr>
      <w:r>
        <w:rPr>
          <w:color w:val="231F20"/>
          <w:sz w:val="16"/>
        </w:rPr>
        <w:t>Fuel derivative</w:t>
      </w:r>
    </w:p>
    <w:p>
      <w:pPr>
        <w:tabs>
          <w:tab w:pos="1194" w:val="left" w:leader="none"/>
          <w:tab w:pos="2101" w:val="left" w:leader="none"/>
          <w:tab w:pos="3301" w:val="left" w:leader="none"/>
          <w:tab w:pos="4501" w:val="left" w:leader="none"/>
          <w:tab w:pos="4914" w:val="left" w:leader="none"/>
          <w:tab w:pos="5701" w:val="left" w:leader="none"/>
          <w:tab w:pos="6902" w:val="left" w:leader="none"/>
          <w:tab w:pos="8129" w:val="right" w:leader="none"/>
        </w:tabs>
        <w:spacing w:before="0"/>
        <w:ind w:left="160" w:right="0" w:firstLine="0"/>
        <w:jc w:val="left"/>
        <w:rPr>
          <w:sz w:val="16"/>
        </w:rPr>
      </w:pPr>
      <w:r>
        <w:rPr/>
        <w:br w:type="column"/>
      </w:r>
      <w:r>
        <w:rPr>
          <w:color w:val="231F20"/>
          <w:sz w:val="16"/>
        </w:rPr>
        <w:t>assets</w:t>
        <w:tab/>
        <w:t>$</w:t>
        <w:tab/>
        <w:t>61   </w:t>
      </w:r>
      <w:r>
        <w:rPr>
          <w:color w:val="231F20"/>
          <w:spacing w:val="13"/>
          <w:sz w:val="16"/>
        </w:rPr>
        <w:t> </w:t>
      </w:r>
      <w:r>
        <w:rPr>
          <w:color w:val="231F20"/>
          <w:sz w:val="16"/>
        </w:rPr>
        <w:t>$</w:t>
        <w:tab/>
        <w:t>(48)</w:t>
      </w:r>
      <w:r>
        <w:rPr>
          <w:color w:val="231F20"/>
          <w:spacing w:val="-14"/>
          <w:sz w:val="16"/>
        </w:rPr>
        <w:t> </w:t>
      </w:r>
      <w:r>
        <w:rPr>
          <w:color w:val="231F20"/>
          <w:sz w:val="16"/>
        </w:rPr>
        <w:t>$</w:t>
        <w:tab/>
        <w:t>13</w:t>
        <w:tab/>
        <w:t>$</w:t>
        <w:tab/>
        <w:t>41  </w:t>
      </w:r>
      <w:r>
        <w:rPr>
          <w:color w:val="231F20"/>
          <w:spacing w:val="13"/>
          <w:sz w:val="16"/>
        </w:rPr>
        <w:t> </w:t>
      </w:r>
      <w:r>
        <w:rPr>
          <w:color w:val="231F20"/>
          <w:sz w:val="16"/>
        </w:rPr>
        <w:t>$</w:t>
        <w:tab/>
        <w:t>(26) </w:t>
      </w:r>
      <w:r>
        <w:rPr>
          <w:color w:val="231F20"/>
          <w:spacing w:val="26"/>
          <w:sz w:val="16"/>
        </w:rPr>
        <w:t> </w:t>
      </w:r>
      <w:r>
        <w:rPr>
          <w:color w:val="231F20"/>
          <w:sz w:val="16"/>
        </w:rPr>
        <w:t>$</w:t>
        <w:tab/>
        <w:t>15</w:t>
      </w:r>
    </w:p>
    <w:p>
      <w:pPr>
        <w:spacing w:after="0"/>
        <w:jc w:val="left"/>
        <w:rPr>
          <w:sz w:val="16"/>
        </w:rPr>
        <w:sectPr>
          <w:type w:val="continuous"/>
          <w:pgSz w:w="11880" w:h="15480"/>
          <w:pgMar w:top="1260" w:bottom="280" w:left="1260" w:right="1240"/>
          <w:cols w:num="2" w:equalWidth="0">
            <w:col w:w="800" w:space="125"/>
            <w:col w:w="8455"/>
          </w:cols>
        </w:sectPr>
      </w:pPr>
    </w:p>
    <w:p>
      <w:pPr>
        <w:tabs>
          <w:tab w:pos="1084" w:val="left" w:leader="none"/>
          <w:tab w:pos="2119" w:val="left" w:leader="none"/>
          <w:tab w:pos="2946" w:val="left" w:leader="none"/>
          <w:tab w:pos="4226" w:val="left" w:leader="none"/>
          <w:tab w:pos="5359" w:val="left" w:leader="none"/>
          <w:tab w:pos="6706" w:val="left" w:leader="none"/>
          <w:tab w:pos="7826" w:val="left" w:leader="none"/>
          <w:tab w:pos="8199" w:val="left" w:leader="none"/>
          <w:tab w:pos="8942" w:val="left" w:leader="none"/>
        </w:tabs>
        <w:spacing w:before="0"/>
        <w:ind w:left="160" w:right="0" w:firstLine="0"/>
        <w:jc w:val="left"/>
        <w:rPr>
          <w:sz w:val="16"/>
        </w:rPr>
      </w:pPr>
      <w:r>
        <w:rPr/>
        <w:pict>
          <v:rect style="position:absolute;margin-left:69pt;margin-top:10.46875pt;width:456pt;height:31.5pt;mso-position-horizontal-relative:page;mso-position-vertical-relative:paragraph;z-index:-374200" filled="true" fillcolor="#d1d3d4" stroked="false">
            <v:fill type="solid"/>
            <w10:wrap type="none"/>
          </v:rect>
        </w:pict>
      </w:r>
      <w:r>
        <w:rPr>
          <w:color w:val="231F20"/>
          <w:sz w:val="16"/>
        </w:rPr>
        <w:t>contracts</w:t>
        <w:tab/>
        <w:t>Other</w:t>
      </w:r>
      <w:r>
        <w:rPr>
          <w:color w:val="231F20"/>
          <w:spacing w:val="-1"/>
          <w:sz w:val="16"/>
        </w:rPr>
        <w:t> </w:t>
      </w:r>
      <w:r>
        <w:rPr>
          <w:color w:val="231F20"/>
          <w:sz w:val="16"/>
        </w:rPr>
        <w:t>assets</w:t>
        <w:tab/>
        <w:t>$</w:t>
        <w:tab/>
        <w:t>178   </w:t>
      </w:r>
      <w:r>
        <w:rPr>
          <w:color w:val="231F20"/>
          <w:spacing w:val="13"/>
          <w:sz w:val="16"/>
        </w:rPr>
        <w:t> </w:t>
      </w:r>
      <w:r>
        <w:rPr>
          <w:color w:val="231F20"/>
          <w:sz w:val="16"/>
        </w:rPr>
        <w:t>$</w:t>
        <w:tab/>
        <w:t>(58)</w:t>
      </w:r>
      <w:r>
        <w:rPr>
          <w:color w:val="231F20"/>
          <w:spacing w:val="-14"/>
          <w:sz w:val="16"/>
        </w:rPr>
        <w:t> </w:t>
      </w:r>
      <w:r>
        <w:rPr>
          <w:color w:val="231F20"/>
          <w:sz w:val="16"/>
        </w:rPr>
        <w:t>$</w:t>
        <w:tab/>
        <w:t>120 (a)</w:t>
      </w:r>
      <w:r>
        <w:rPr>
          <w:color w:val="231F20"/>
          <w:spacing w:val="-18"/>
          <w:sz w:val="16"/>
        </w:rPr>
        <w:t> </w:t>
      </w:r>
      <w:r>
        <w:rPr>
          <w:color w:val="231F20"/>
          <w:sz w:val="16"/>
        </w:rPr>
        <w:t>$</w:t>
        <w:tab/>
        <w:t>7  </w:t>
      </w:r>
      <w:r>
        <w:rPr>
          <w:color w:val="231F20"/>
          <w:spacing w:val="13"/>
          <w:sz w:val="16"/>
        </w:rPr>
        <w:t> </w:t>
      </w:r>
      <w:r>
        <w:rPr>
          <w:color w:val="231F20"/>
          <w:sz w:val="16"/>
        </w:rPr>
        <w:t>$</w:t>
        <w:tab/>
        <w:t>—</w:t>
        <w:tab/>
        <w:t>$</w:t>
        <w:tab/>
        <w:t>7 (a)</w:t>
      </w:r>
    </w:p>
    <w:p>
      <w:pPr>
        <w:spacing w:before="65"/>
        <w:ind w:left="160" w:right="0" w:firstLine="0"/>
        <w:jc w:val="left"/>
        <w:rPr>
          <w:sz w:val="16"/>
        </w:rPr>
      </w:pPr>
      <w:r>
        <w:rPr>
          <w:color w:val="231F20"/>
          <w:sz w:val="16"/>
        </w:rPr>
        <w:t>Fuel</w:t>
      </w:r>
    </w:p>
    <w:p>
      <w:pPr>
        <w:spacing w:after="0"/>
        <w:jc w:val="left"/>
        <w:rPr>
          <w:sz w:val="16"/>
        </w:rPr>
        <w:sectPr>
          <w:type w:val="continuous"/>
          <w:pgSz w:w="11880" w:h="15480"/>
          <w:pgMar w:top="1260" w:bottom="280" w:left="1260" w:right="1240"/>
        </w:sectPr>
      </w:pPr>
    </w:p>
    <w:p>
      <w:pPr>
        <w:spacing w:line="247" w:lineRule="auto" w:before="5"/>
        <w:ind w:left="160" w:right="98" w:firstLine="0"/>
        <w:jc w:val="left"/>
        <w:rPr>
          <w:sz w:val="16"/>
        </w:rPr>
      </w:pPr>
      <w:r>
        <w:rPr>
          <w:color w:val="231F20"/>
          <w:sz w:val="16"/>
        </w:rPr>
        <w:t>derivative contracts</w:t>
      </w:r>
    </w:p>
    <w:p>
      <w:pPr>
        <w:spacing w:line="247" w:lineRule="auto" w:before="60"/>
        <w:ind w:left="160" w:right="-20" w:firstLine="0"/>
        <w:jc w:val="left"/>
        <w:rPr>
          <w:sz w:val="16"/>
        </w:rPr>
      </w:pPr>
      <w:r>
        <w:rPr/>
        <w:pict>
          <v:rect style="position:absolute;margin-left:69pt;margin-top:32.46875pt;width:456pt;height:31.5pt;mso-position-horizontal-relative:page;mso-position-vertical-relative:paragraph;z-index:-374176" filled="true" fillcolor="#d1d3d4" stroked="false">
            <v:fill type="solid"/>
            <w10:wrap type="none"/>
          </v:rect>
        </w:pict>
      </w:r>
      <w:r>
        <w:rPr>
          <w:color w:val="231F20"/>
          <w:sz w:val="16"/>
        </w:rPr>
        <w:t>Fuel derivative contracts</w:t>
      </w:r>
    </w:p>
    <w:p>
      <w:pPr>
        <w:spacing w:line="247" w:lineRule="auto" w:before="60"/>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w:t>
      </w:r>
    </w:p>
    <w:p>
      <w:pPr>
        <w:spacing w:before="5"/>
        <w:ind w:left="127" w:right="0" w:firstLine="0"/>
        <w:jc w:val="left"/>
        <w:rPr>
          <w:sz w:val="16"/>
        </w:rPr>
      </w:pPr>
      <w:r>
        <w:rPr/>
        <w:br w:type="column"/>
      </w:r>
      <w:r>
        <w:rPr>
          <w:color w:val="231F20"/>
          <w:sz w:val="16"/>
        </w:rPr>
        <w:t>Accrued</w:t>
      </w:r>
    </w:p>
    <w:p>
      <w:pPr>
        <w:tabs>
          <w:tab w:pos="1162" w:val="left" w:leader="none"/>
          <w:tab w:pos="1989" w:val="left" w:leader="none"/>
          <w:tab w:pos="3189" w:val="left" w:leader="none"/>
          <w:tab w:pos="4469" w:val="left" w:leader="none"/>
          <w:tab w:pos="5469" w:val="left" w:leader="none"/>
          <w:tab w:pos="6669" w:val="left" w:leader="none"/>
          <w:tab w:pos="7892" w:val="left" w:leader="none"/>
        </w:tabs>
        <w:spacing w:before="5"/>
        <w:ind w:left="127" w:right="0" w:firstLine="0"/>
        <w:jc w:val="left"/>
        <w:rPr>
          <w:sz w:val="16"/>
        </w:rPr>
      </w:pPr>
      <w:r>
        <w:rPr>
          <w:color w:val="231F20"/>
          <w:sz w:val="16"/>
        </w:rPr>
        <w:t>liabilities</w:t>
        <w:tab/>
        <w:t>$</w:t>
        <w:tab/>
        <w:t>516   </w:t>
      </w:r>
      <w:r>
        <w:rPr>
          <w:color w:val="231F20"/>
          <w:spacing w:val="13"/>
          <w:sz w:val="16"/>
        </w:rPr>
        <w:t> </w:t>
      </w:r>
      <w:r>
        <w:rPr>
          <w:color w:val="231F20"/>
          <w:sz w:val="16"/>
        </w:rPr>
        <w:t>$</w:t>
        <w:tab/>
        <w:t>(516)</w:t>
      </w:r>
      <w:r>
        <w:rPr>
          <w:color w:val="231F20"/>
          <w:spacing w:val="-14"/>
          <w:sz w:val="16"/>
        </w:rPr>
        <w:t> </w:t>
      </w:r>
      <w:r>
        <w:rPr>
          <w:color w:val="231F20"/>
          <w:sz w:val="16"/>
        </w:rPr>
        <w:t>$</w:t>
        <w:tab/>
        <w:t>—</w:t>
      </w:r>
      <w:r>
        <w:rPr>
          <w:color w:val="231F20"/>
          <w:spacing w:val="13"/>
          <w:sz w:val="16"/>
        </w:rPr>
        <w:t> </w:t>
      </w:r>
      <w:r>
        <w:rPr>
          <w:color w:val="231F20"/>
          <w:sz w:val="16"/>
        </w:rPr>
        <w:t>(a)</w:t>
      </w:r>
      <w:r>
        <w:rPr>
          <w:color w:val="231F20"/>
          <w:spacing w:val="-18"/>
          <w:sz w:val="16"/>
        </w:rPr>
        <w:t> </w:t>
      </w:r>
      <w:r>
        <w:rPr>
          <w:color w:val="231F20"/>
          <w:sz w:val="16"/>
        </w:rPr>
        <w:t>$</w:t>
        <w:tab/>
        <w:t>1,737  </w:t>
      </w:r>
      <w:r>
        <w:rPr>
          <w:color w:val="231F20"/>
          <w:spacing w:val="13"/>
          <w:sz w:val="16"/>
        </w:rPr>
        <w:t> </w:t>
      </w:r>
      <w:r>
        <w:rPr>
          <w:color w:val="231F20"/>
          <w:sz w:val="16"/>
        </w:rPr>
        <w:t>$</w:t>
        <w:tab/>
        <w:t>(1,737) </w:t>
      </w:r>
      <w:r>
        <w:rPr>
          <w:color w:val="231F20"/>
          <w:spacing w:val="26"/>
          <w:sz w:val="16"/>
        </w:rPr>
        <w:t> </w:t>
      </w:r>
      <w:r>
        <w:rPr>
          <w:color w:val="231F20"/>
          <w:sz w:val="16"/>
        </w:rPr>
        <w:t>$</w:t>
        <w:tab/>
        <w:t>—</w:t>
      </w:r>
      <w:r>
        <w:rPr>
          <w:color w:val="231F20"/>
          <w:spacing w:val="13"/>
          <w:sz w:val="16"/>
        </w:rPr>
        <w:t> </w:t>
      </w:r>
      <w:r>
        <w:rPr>
          <w:color w:val="231F20"/>
          <w:sz w:val="16"/>
        </w:rPr>
        <w:t>(a)</w:t>
      </w:r>
    </w:p>
    <w:p>
      <w:pPr>
        <w:spacing w:line="247" w:lineRule="auto" w:before="65"/>
        <w:ind w:left="127" w:right="7581" w:firstLine="0"/>
        <w:jc w:val="left"/>
        <w:rPr>
          <w:sz w:val="16"/>
        </w:rPr>
      </w:pPr>
      <w:r>
        <w:rPr>
          <w:color w:val="231F20"/>
          <w:sz w:val="16"/>
        </w:rPr>
        <w:t>Other noncurrent</w:t>
      </w:r>
    </w:p>
    <w:p>
      <w:pPr>
        <w:tabs>
          <w:tab w:pos="1162" w:val="left" w:leader="none"/>
          <w:tab w:pos="2069" w:val="left" w:leader="none"/>
          <w:tab w:pos="3269" w:val="left" w:leader="none"/>
          <w:tab w:pos="4469" w:val="left" w:leader="none"/>
          <w:tab w:pos="5589" w:val="left" w:leader="none"/>
          <w:tab w:pos="6789" w:val="left" w:leader="none"/>
          <w:tab w:pos="7892" w:val="left" w:leader="none"/>
        </w:tabs>
        <w:spacing w:before="0"/>
        <w:ind w:left="127" w:right="0" w:firstLine="0"/>
        <w:jc w:val="left"/>
        <w:rPr>
          <w:sz w:val="16"/>
        </w:rPr>
      </w:pPr>
      <w:r>
        <w:rPr>
          <w:color w:val="231F20"/>
          <w:sz w:val="16"/>
        </w:rPr>
        <w:t>liabilities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r>
        <w:rPr>
          <w:color w:val="231F20"/>
          <w:spacing w:val="-18"/>
          <w:sz w:val="16"/>
        </w:rPr>
        <w:t> </w:t>
      </w:r>
      <w:r>
        <w:rPr>
          <w:color w:val="231F20"/>
          <w:sz w:val="16"/>
        </w:rPr>
        <w:t>$</w:t>
        <w:tab/>
        <w:t>985  </w:t>
      </w:r>
      <w:r>
        <w:rPr>
          <w:color w:val="231F20"/>
          <w:spacing w:val="13"/>
          <w:sz w:val="16"/>
        </w:rPr>
        <w:t> </w:t>
      </w:r>
      <w:r>
        <w:rPr>
          <w:color w:val="231F20"/>
          <w:sz w:val="16"/>
        </w:rPr>
        <w:t>$</w:t>
        <w:tab/>
        <w:t>(985) </w:t>
      </w:r>
      <w:r>
        <w:rPr>
          <w:color w:val="231F20"/>
          <w:spacing w:val="26"/>
          <w:sz w:val="16"/>
        </w:rPr>
        <w:t> </w:t>
      </w:r>
      <w:r>
        <w:rPr>
          <w:color w:val="231F20"/>
          <w:sz w:val="16"/>
        </w:rPr>
        <w:t>$</w:t>
        <w:tab/>
        <w:t>—</w:t>
      </w:r>
      <w:r>
        <w:rPr>
          <w:color w:val="231F20"/>
          <w:spacing w:val="13"/>
          <w:sz w:val="16"/>
        </w:rPr>
        <w:t> </w:t>
      </w:r>
      <w:r>
        <w:rPr>
          <w:color w:val="231F20"/>
          <w:sz w:val="16"/>
        </w:rPr>
        <w:t>(a)</w:t>
      </w:r>
    </w:p>
    <w:p>
      <w:pPr>
        <w:spacing w:after="0"/>
        <w:jc w:val="left"/>
        <w:rPr>
          <w:sz w:val="16"/>
        </w:rPr>
        <w:sectPr>
          <w:type w:val="continuous"/>
          <w:pgSz w:w="11880" w:h="15480"/>
          <w:pgMar w:top="1260" w:bottom="280" w:left="1260" w:right="1240"/>
          <w:cols w:num="2" w:equalWidth="0">
            <w:col w:w="918" w:space="40"/>
            <w:col w:w="8422"/>
          </w:cols>
        </w:sectPr>
      </w:pPr>
    </w:p>
    <w:p>
      <w:pPr>
        <w:tabs>
          <w:tab w:pos="1084" w:val="left" w:leader="none"/>
          <w:tab w:pos="2119" w:val="left" w:leader="none"/>
          <w:tab w:pos="3026" w:val="left" w:leader="none"/>
          <w:tab w:pos="4226" w:val="left" w:leader="none"/>
          <w:tab w:pos="5426" w:val="left" w:leader="none"/>
          <w:tab w:pos="6706" w:val="left" w:leader="none"/>
          <w:tab w:pos="7826" w:val="left" w:leader="none"/>
          <w:tab w:pos="8199" w:val="left" w:leader="none"/>
          <w:tab w:pos="8982" w:val="left" w:leader="none"/>
        </w:tabs>
        <w:spacing w:before="0"/>
        <w:ind w:left="160" w:right="0" w:firstLine="0"/>
        <w:jc w:val="left"/>
        <w:rPr>
          <w:sz w:val="16"/>
        </w:rPr>
      </w:pPr>
      <w:r>
        <w:rPr>
          <w:color w:val="231F20"/>
          <w:sz w:val="16"/>
        </w:rPr>
        <w:t>contracts</w:t>
        <w:tab/>
        <w:t>Other</w:t>
      </w:r>
      <w:r>
        <w:rPr>
          <w:color w:val="231F20"/>
          <w:spacing w:val="-1"/>
          <w:sz w:val="16"/>
        </w:rPr>
        <w:t> </w:t>
      </w:r>
      <w:r>
        <w:rPr>
          <w:color w:val="231F20"/>
          <w:sz w:val="16"/>
        </w:rPr>
        <w:t>assets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tab/>
        <w:t>2  </w:t>
      </w:r>
      <w:r>
        <w:rPr>
          <w:color w:val="231F20"/>
          <w:spacing w:val="13"/>
          <w:sz w:val="16"/>
        </w:rPr>
        <w:t> </w:t>
      </w:r>
      <w:r>
        <w:rPr>
          <w:color w:val="231F20"/>
          <w:sz w:val="16"/>
        </w:rPr>
        <w:t>$</w:t>
        <w:tab/>
        <w:t>—</w:t>
        <w:tab/>
        <w:t>$</w:t>
        <w:tab/>
        <w:t>2(a)</w:t>
      </w:r>
    </w:p>
    <w:p>
      <w:pPr>
        <w:pStyle w:val="BodyText"/>
        <w:spacing w:before="5"/>
        <w:rPr>
          <w:sz w:val="23"/>
        </w:rPr>
      </w:pPr>
    </w:p>
    <w:p>
      <w:pPr>
        <w:spacing w:line="249" w:lineRule="auto" w:before="1"/>
        <w:ind w:left="120" w:right="220" w:firstLine="0"/>
        <w:jc w:val="left"/>
        <w:rPr>
          <w:sz w:val="20"/>
        </w:rPr>
      </w:pPr>
      <w:r>
        <w:rPr>
          <w:color w:val="231F20"/>
          <w:sz w:val="20"/>
        </w:rPr>
        <w:t>(a) The net amounts of derivative assets and liabilities are reconciled to the individual line item amounts presented in the Consolidated Balance Sheet in Note 5.</w:t>
      </w:r>
    </w:p>
    <w:p>
      <w:pPr>
        <w:pStyle w:val="BodyText"/>
        <w:spacing w:before="8"/>
        <w:rPr>
          <w:sz w:val="8"/>
        </w:rPr>
      </w:pPr>
      <w:r>
        <w:rPr/>
        <w:pict>
          <v:line style="position:absolute;mso-position-horizontal-relative:page;mso-position-vertical-relative:paragraph;z-index:4840;mso-wrap-distance-left:0;mso-wrap-distance-right:0" from="69.25pt,7.245183pt" to="524.75pt,7.245183pt" stroked="true" strokeweight=".5pt" strokecolor="#231f20">
            <v:stroke dashstyle="solid"/>
            <w10:wrap type="topAndBottom"/>
          </v:line>
        </w:pict>
      </w:r>
    </w:p>
    <w:p>
      <w:pPr>
        <w:tabs>
          <w:tab w:pos="3802" w:val="left" w:leader="none"/>
          <w:tab w:pos="4644" w:val="left" w:leader="none"/>
          <w:tab w:pos="6284" w:val="left" w:leader="none"/>
          <w:tab w:pos="7402" w:val="left" w:leader="none"/>
          <w:tab w:pos="8244" w:val="left" w:leader="none"/>
        </w:tabs>
        <w:spacing w:before="11"/>
        <w:ind w:left="2625" w:right="0" w:firstLine="0"/>
        <w:jc w:val="left"/>
        <w:rPr>
          <w:sz w:val="16"/>
        </w:rPr>
      </w:pPr>
      <w:r>
        <w:rPr>
          <w:color w:val="231F20"/>
          <w:sz w:val="16"/>
        </w:rPr>
        <w:t>(i)</w:t>
        <w:tab/>
        <w:t>(ii)</w:t>
        <w:tab/>
        <w:t>(iii) = (i)</w:t>
      </w:r>
      <w:r>
        <w:rPr>
          <w:color w:val="231F20"/>
          <w:spacing w:val="-11"/>
          <w:sz w:val="16"/>
        </w:rPr>
        <w:t> </w:t>
      </w:r>
      <w:r>
        <w:rPr>
          <w:color w:val="231F20"/>
          <w:sz w:val="16"/>
        </w:rPr>
        <w:t>+</w:t>
      </w:r>
      <w:r>
        <w:rPr>
          <w:color w:val="231F20"/>
          <w:spacing w:val="-3"/>
          <w:sz w:val="16"/>
        </w:rPr>
        <w:t> </w:t>
      </w:r>
      <w:r>
        <w:rPr>
          <w:color w:val="231F20"/>
          <w:sz w:val="16"/>
        </w:rPr>
        <w:t>(ii)</w:t>
        <w:tab/>
        <w:t>(i)</w:t>
        <w:tab/>
        <w:t>(ii)</w:t>
        <w:tab/>
        <w:t>(iii) = (i) +</w:t>
      </w:r>
      <w:r>
        <w:rPr>
          <w:color w:val="231F20"/>
          <w:spacing w:val="-18"/>
          <w:sz w:val="16"/>
        </w:rPr>
        <w:t> </w:t>
      </w:r>
      <w:r>
        <w:rPr>
          <w:color w:val="231F20"/>
          <w:sz w:val="16"/>
        </w:rPr>
        <w:t>(ii)</w:t>
      </w:r>
    </w:p>
    <w:p>
      <w:pPr>
        <w:tabs>
          <w:tab w:pos="6912" w:val="left" w:leader="none"/>
        </w:tabs>
        <w:spacing w:before="15"/>
        <w:ind w:left="3253" w:right="0" w:firstLine="0"/>
        <w:jc w:val="left"/>
        <w:rPr>
          <w:b/>
          <w:sz w:val="16"/>
        </w:rPr>
      </w:pPr>
      <w:r>
        <w:rPr/>
        <w:pict>
          <v:line style="position:absolute;mso-position-horizontal-relative:page;mso-position-vertical-relative:paragraph;z-index:5056" from="171pt,10.968738pt" to="345pt,10.968738pt" stroked="true" strokeweight=".5pt" strokecolor="#231f20">
            <v:stroke dashstyle="solid"/>
            <w10:wrap type="none"/>
          </v:line>
        </w:pict>
      </w:r>
      <w:r>
        <w:rPr/>
        <w:pict>
          <v:line style="position:absolute;mso-position-horizontal-relative:page;mso-position-vertical-relative:paragraph;z-index:5080" from="357pt,10.968738pt" to="525pt,10.968738pt" stroked="true" strokeweight=".5pt" strokecolor="#231f20">
            <v:stroke dashstyle="solid"/>
            <w10:wrap type="none"/>
          </v:line>
        </w:pict>
      </w:r>
      <w:r>
        <w:rPr>
          <w:b/>
          <w:color w:val="231F20"/>
          <w:sz w:val="16"/>
        </w:rPr>
        <w:t>December 31, 2016</w:t>
        <w:tab/>
        <w:t>December 31, 2015</w:t>
      </w:r>
    </w:p>
    <w:p>
      <w:pPr>
        <w:spacing w:after="0"/>
        <w:jc w:val="left"/>
        <w:rPr>
          <w:sz w:val="16"/>
        </w:rPr>
        <w:sectPr>
          <w:type w:val="continuous"/>
          <w:pgSz w:w="11880" w:h="15480"/>
          <w:pgMar w:top="1260" w:bottom="280" w:left="1260" w:right="1240"/>
        </w:sectPr>
      </w:pPr>
    </w:p>
    <w:p>
      <w:pPr>
        <w:pStyle w:val="BodyText"/>
        <w:rPr>
          <w:b/>
          <w:sz w:val="18"/>
        </w:rPr>
      </w:pPr>
    </w:p>
    <w:p>
      <w:pPr>
        <w:pStyle w:val="BodyText"/>
        <w:rPr>
          <w:b/>
          <w:sz w:val="18"/>
        </w:rPr>
      </w:pPr>
    </w:p>
    <w:p>
      <w:pPr>
        <w:pStyle w:val="BodyText"/>
        <w:spacing w:before="8"/>
        <w:rPr>
          <w:b/>
        </w:rPr>
      </w:pPr>
    </w:p>
    <w:p>
      <w:pPr>
        <w:spacing w:before="0"/>
        <w:ind w:left="160" w:right="0" w:firstLine="0"/>
        <w:jc w:val="left"/>
        <w:rPr>
          <w:b/>
          <w:sz w:val="16"/>
        </w:rPr>
      </w:pPr>
      <w:r>
        <w:rPr>
          <w:b/>
          <w:color w:val="231F20"/>
          <w:sz w:val="16"/>
        </w:rPr>
        <w:t>Description</w:t>
      </w:r>
    </w:p>
    <w:p>
      <w:pPr>
        <w:pStyle w:val="BodyText"/>
        <w:spacing w:before="10"/>
        <w:rPr>
          <w:b/>
          <w:sz w:val="23"/>
        </w:rPr>
      </w:pPr>
    </w:p>
    <w:p>
      <w:pPr>
        <w:spacing w:line="247" w:lineRule="auto" w:before="1"/>
        <w:ind w:left="160" w:right="132" w:firstLine="0"/>
        <w:jc w:val="left"/>
        <w:rPr>
          <w:sz w:val="16"/>
        </w:rPr>
      </w:pPr>
      <w:r>
        <w:rPr>
          <w:color w:val="231F20"/>
          <w:sz w:val="16"/>
        </w:rPr>
        <w:t>Fuel derivative</w:t>
      </w:r>
    </w:p>
    <w:p>
      <w:pPr>
        <w:pStyle w:val="BodyText"/>
        <w:rPr>
          <w:sz w:val="18"/>
        </w:rPr>
      </w:pPr>
      <w:r>
        <w:rPr/>
        <w:br w:type="column"/>
      </w:r>
      <w:r>
        <w:rPr>
          <w:sz w:val="18"/>
        </w:rPr>
      </w:r>
    </w:p>
    <w:p>
      <w:pPr>
        <w:pStyle w:val="BodyText"/>
        <w:spacing w:before="4"/>
        <w:rPr>
          <w:sz w:val="23"/>
        </w:rPr>
      </w:pPr>
    </w:p>
    <w:p>
      <w:pPr>
        <w:spacing w:line="261" w:lineRule="auto" w:before="0"/>
        <w:ind w:left="300" w:right="-19" w:hanging="207"/>
        <w:jc w:val="left"/>
        <w:rPr>
          <w:b/>
          <w:sz w:val="16"/>
        </w:rPr>
      </w:pPr>
      <w:r>
        <w:rPr>
          <w:b/>
          <w:color w:val="231F20"/>
          <w:sz w:val="16"/>
        </w:rPr>
        <w:t>Balance Sheet location</w:t>
      </w:r>
    </w:p>
    <w:p>
      <w:pPr>
        <w:spacing w:line="247" w:lineRule="auto" w:before="70"/>
        <w:ind w:left="93" w:right="88" w:firstLine="0"/>
        <w:jc w:val="left"/>
        <w:rPr>
          <w:sz w:val="16"/>
        </w:rPr>
      </w:pPr>
      <w:r>
        <w:rPr/>
        <w:pict>
          <v:group style="position:absolute;margin-left:68.5pt;margin-top:.468738pt;width:457pt;height:42pt;mso-position-horizontal-relative:page;mso-position-vertical-relative:paragraph;z-index:-374104" coordorigin="1370,9" coordsize="9140,840">
            <v:rect style="position:absolute;left:1380;top:29;width:9120;height:820" filled="true" fillcolor="#d1d3d4" stroked="false">
              <v:fill type="solid"/>
            </v:rect>
            <v:line style="position:absolute" from="1380,19" to="2225,19" stroked="true" strokeweight="1pt" strokecolor="#231f20">
              <v:stroke dashstyle="solid"/>
            </v:line>
            <v:line style="position:absolute" from="2345,19" to="3300,19" stroked="true" strokeweight="1pt" strokecolor="#231f20">
              <v:stroke dashstyle="solid"/>
            </v:line>
            <v:line style="position:absolute" from="3420,19" to="4500,19" stroked="true" strokeweight="1pt" strokecolor="#231f20">
              <v:stroke dashstyle="solid"/>
            </v:line>
            <v:line style="position:absolute" from="4620,19" to="5700,19" stroked="true" strokeweight="1pt" strokecolor="#231f20">
              <v:stroke dashstyle="solid"/>
            </v:line>
            <v:line style="position:absolute" from="5820,19" to="6900,19" stroked="true" strokeweight="1pt" strokecolor="#231f20">
              <v:stroke dashstyle="solid"/>
            </v:line>
            <v:line style="position:absolute" from="7140,19" to="8100,19" stroked="true" strokeweight="1pt" strokecolor="#231f20">
              <v:stroke dashstyle="solid"/>
            </v:line>
            <v:line style="position:absolute" from="8220,19" to="9300,19" stroked="true" strokeweight="1pt" strokecolor="#231f20">
              <v:stroke dashstyle="solid"/>
            </v:line>
            <v:line style="position:absolute" from="9420,19" to="10500,19" stroked="true" strokeweight="1pt" strokecolor="#231f20">
              <v:stroke dashstyle="solid"/>
            </v:line>
            <w10:wrap type="none"/>
          </v:group>
        </w:pict>
      </w:r>
      <w:r>
        <w:rPr>
          <w:color w:val="231F20"/>
          <w:sz w:val="16"/>
        </w:rPr>
        <w:t>Prepaid expenses and other current</w:t>
      </w:r>
    </w:p>
    <w:p>
      <w:pPr>
        <w:pStyle w:val="BodyText"/>
        <w:spacing w:before="11"/>
        <w:rPr>
          <w:sz w:val="23"/>
        </w:rPr>
      </w:pPr>
      <w:r>
        <w:rPr/>
        <w:br w:type="column"/>
      </w:r>
      <w:r>
        <w:rPr>
          <w:sz w:val="23"/>
        </w:rPr>
      </w:r>
    </w:p>
    <w:p>
      <w:pPr>
        <w:spacing w:line="261" w:lineRule="auto" w:before="0"/>
        <w:ind w:left="106" w:right="0" w:firstLine="0"/>
        <w:jc w:val="center"/>
        <w:rPr>
          <w:b/>
          <w:sz w:val="16"/>
        </w:rPr>
      </w:pPr>
      <w:r>
        <w:rPr>
          <w:b/>
          <w:color w:val="231F20"/>
          <w:sz w:val="16"/>
        </w:rPr>
        <w:t>Gross amounts</w:t>
      </w:r>
      <w:r>
        <w:rPr>
          <w:b/>
          <w:color w:val="231F20"/>
          <w:w w:val="99"/>
          <w:sz w:val="16"/>
        </w:rPr>
        <w:t> </w:t>
      </w:r>
      <w:r>
        <w:rPr>
          <w:b/>
          <w:color w:val="231F20"/>
          <w:sz w:val="16"/>
        </w:rPr>
        <w:t>of recognized liabilities</w:t>
      </w:r>
    </w:p>
    <w:p>
      <w:pPr>
        <w:pStyle w:val="BodyText"/>
        <w:spacing w:before="11"/>
        <w:rPr>
          <w:b/>
          <w:sz w:val="23"/>
        </w:rPr>
      </w:pPr>
      <w:r>
        <w:rPr/>
        <w:br w:type="column"/>
      </w:r>
      <w:r>
        <w:rPr>
          <w:b/>
          <w:sz w:val="23"/>
        </w:rPr>
      </w:r>
    </w:p>
    <w:p>
      <w:pPr>
        <w:spacing w:line="261" w:lineRule="auto" w:before="0"/>
        <w:ind w:left="134" w:right="0" w:firstLine="0"/>
        <w:jc w:val="center"/>
        <w:rPr>
          <w:b/>
          <w:sz w:val="16"/>
        </w:rPr>
      </w:pPr>
      <w:r>
        <w:rPr>
          <w:b/>
          <w:color w:val="231F20"/>
          <w:sz w:val="16"/>
        </w:rPr>
        <w:t>Gross</w:t>
      </w:r>
      <w:r>
        <w:rPr>
          <w:b/>
          <w:color w:val="231F20"/>
          <w:spacing w:val="-2"/>
          <w:sz w:val="16"/>
        </w:rPr>
        <w:t> </w:t>
      </w:r>
      <w:r>
        <w:rPr>
          <w:b/>
          <w:color w:val="231F20"/>
          <w:sz w:val="16"/>
        </w:rPr>
        <w:t>amounts</w:t>
      </w:r>
      <w:r>
        <w:rPr>
          <w:b/>
          <w:color w:val="231F20"/>
          <w:w w:val="99"/>
          <w:sz w:val="16"/>
        </w:rPr>
        <w:t> </w:t>
      </w:r>
      <w:r>
        <w:rPr>
          <w:b/>
          <w:color w:val="231F20"/>
          <w:sz w:val="16"/>
        </w:rPr>
        <w:t>offset in the Balance</w:t>
      </w:r>
      <w:r>
        <w:rPr>
          <w:b/>
          <w:color w:val="231F20"/>
          <w:spacing w:val="-1"/>
          <w:sz w:val="16"/>
        </w:rPr>
        <w:t> </w:t>
      </w:r>
      <w:r>
        <w:rPr>
          <w:b/>
          <w:color w:val="231F20"/>
          <w:sz w:val="16"/>
        </w:rPr>
        <w:t>Sheet</w:t>
      </w:r>
    </w:p>
    <w:p>
      <w:pPr>
        <w:spacing w:line="261" w:lineRule="auto" w:before="75"/>
        <w:ind w:left="101" w:right="0"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w:t>
      </w:r>
      <w:r>
        <w:rPr>
          <w:b/>
          <w:color w:val="231F20"/>
          <w:spacing w:val="-1"/>
          <w:sz w:val="16"/>
        </w:rPr>
        <w:t> </w:t>
      </w:r>
      <w:r>
        <w:rPr>
          <w:b/>
          <w:color w:val="231F20"/>
          <w:sz w:val="16"/>
        </w:rPr>
        <w:t>Sheet</w:t>
      </w:r>
    </w:p>
    <w:p>
      <w:pPr>
        <w:pStyle w:val="BodyText"/>
        <w:spacing w:before="11"/>
        <w:rPr>
          <w:b/>
          <w:sz w:val="23"/>
        </w:rPr>
      </w:pPr>
      <w:r>
        <w:rPr/>
        <w:br w:type="column"/>
      </w:r>
      <w:r>
        <w:rPr>
          <w:b/>
          <w:sz w:val="23"/>
        </w:rPr>
      </w:r>
    </w:p>
    <w:p>
      <w:pPr>
        <w:spacing w:line="261" w:lineRule="auto" w:before="0"/>
        <w:ind w:left="159" w:right="0" w:firstLine="0"/>
        <w:jc w:val="center"/>
        <w:rPr>
          <w:b/>
          <w:sz w:val="16"/>
        </w:rPr>
      </w:pPr>
      <w:r>
        <w:rPr>
          <w:b/>
          <w:color w:val="231F20"/>
          <w:sz w:val="16"/>
        </w:rPr>
        <w:t>Gross amounts</w:t>
      </w:r>
      <w:r>
        <w:rPr>
          <w:b/>
          <w:color w:val="231F20"/>
          <w:w w:val="99"/>
          <w:sz w:val="16"/>
        </w:rPr>
        <w:t> </w:t>
      </w:r>
      <w:r>
        <w:rPr>
          <w:b/>
          <w:color w:val="231F20"/>
          <w:sz w:val="16"/>
        </w:rPr>
        <w:t>of recognized liabilities</w:t>
      </w:r>
    </w:p>
    <w:p>
      <w:pPr>
        <w:pStyle w:val="BodyText"/>
        <w:spacing w:before="11"/>
        <w:rPr>
          <w:b/>
          <w:sz w:val="23"/>
        </w:rPr>
      </w:pPr>
      <w:r>
        <w:rPr/>
        <w:br w:type="column"/>
      </w:r>
      <w:r>
        <w:rPr>
          <w:b/>
          <w:sz w:val="23"/>
        </w:rPr>
      </w:r>
    </w:p>
    <w:p>
      <w:pPr>
        <w:spacing w:line="261" w:lineRule="auto" w:before="0"/>
        <w:ind w:left="73" w:right="0" w:firstLine="0"/>
        <w:jc w:val="center"/>
        <w:rPr>
          <w:b/>
          <w:sz w:val="16"/>
        </w:rPr>
      </w:pPr>
      <w:r>
        <w:rPr>
          <w:b/>
          <w:color w:val="231F20"/>
          <w:sz w:val="16"/>
        </w:rPr>
        <w:t>Gross amounts</w:t>
      </w:r>
      <w:r>
        <w:rPr>
          <w:b/>
          <w:color w:val="231F20"/>
          <w:w w:val="99"/>
          <w:sz w:val="16"/>
        </w:rPr>
        <w:t> </w:t>
      </w:r>
      <w:r>
        <w:rPr>
          <w:b/>
          <w:color w:val="231F20"/>
          <w:sz w:val="16"/>
        </w:rPr>
        <w:t>offset in the Balance Sheet</w:t>
      </w:r>
    </w:p>
    <w:p>
      <w:pPr>
        <w:spacing w:line="261" w:lineRule="auto" w:before="75"/>
        <w:ind w:left="101" w:right="131" w:hanging="1"/>
        <w:jc w:val="center"/>
        <w:rPr>
          <w:b/>
          <w:sz w:val="16"/>
        </w:rPr>
      </w:pPr>
      <w:r>
        <w:rPr/>
        <w:br w:type="column"/>
      </w:r>
      <w:r>
        <w:rPr>
          <w:b/>
          <w:color w:val="231F20"/>
          <w:sz w:val="16"/>
        </w:rPr>
        <w:t>Net amounts of liabilities presented</w:t>
      </w:r>
      <w:r>
        <w:rPr>
          <w:b/>
          <w:color w:val="231F20"/>
          <w:spacing w:val="-1"/>
          <w:sz w:val="16"/>
        </w:rPr>
        <w:t> </w:t>
      </w:r>
      <w:r>
        <w:rPr>
          <w:b/>
          <w:color w:val="231F20"/>
          <w:sz w:val="16"/>
        </w:rPr>
        <w:t>in</w:t>
      </w:r>
      <w:r>
        <w:rPr>
          <w:b/>
          <w:color w:val="231F20"/>
          <w:spacing w:val="-1"/>
          <w:sz w:val="16"/>
        </w:rPr>
        <w:t> </w:t>
      </w:r>
      <w:r>
        <w:rPr>
          <w:b/>
          <w:color w:val="231F20"/>
          <w:sz w:val="16"/>
        </w:rPr>
        <w:t>the</w:t>
      </w:r>
      <w:r>
        <w:rPr>
          <w:b/>
          <w:color w:val="231F20"/>
          <w:w w:val="99"/>
          <w:sz w:val="16"/>
        </w:rPr>
        <w:t> </w:t>
      </w:r>
      <w:r>
        <w:rPr>
          <w:b/>
          <w:color w:val="231F20"/>
          <w:sz w:val="16"/>
        </w:rPr>
        <w:t>Balance</w:t>
      </w:r>
      <w:r>
        <w:rPr>
          <w:b/>
          <w:color w:val="231F20"/>
          <w:spacing w:val="-1"/>
          <w:sz w:val="16"/>
        </w:rPr>
        <w:t> </w:t>
      </w:r>
      <w:r>
        <w:rPr>
          <w:b/>
          <w:color w:val="231F20"/>
          <w:sz w:val="16"/>
        </w:rPr>
        <w:t>Sheet</w:t>
      </w:r>
    </w:p>
    <w:p>
      <w:pPr>
        <w:spacing w:after="0" w:line="261" w:lineRule="auto"/>
        <w:jc w:val="center"/>
        <w:rPr>
          <w:sz w:val="16"/>
        </w:rPr>
        <w:sectPr>
          <w:type w:val="continuous"/>
          <w:pgSz w:w="11880" w:h="15480"/>
          <w:pgMar w:top="1260" w:bottom="280" w:left="1260" w:right="1240"/>
          <w:cols w:num="8" w:equalWidth="0">
            <w:col w:w="952" w:space="40"/>
            <w:col w:w="1050" w:space="40"/>
            <w:col w:w="1133" w:space="40"/>
            <w:col w:w="1160" w:space="40"/>
            <w:col w:w="1194" w:space="41"/>
            <w:col w:w="1186" w:space="40"/>
            <w:col w:w="1100" w:space="40"/>
            <w:col w:w="1324"/>
          </w:cols>
        </w:sectPr>
      </w:pPr>
    </w:p>
    <w:p>
      <w:pPr>
        <w:spacing w:before="0"/>
        <w:ind w:left="160" w:right="0" w:firstLine="0"/>
        <w:jc w:val="left"/>
        <w:rPr>
          <w:sz w:val="16"/>
        </w:rPr>
      </w:pPr>
      <w:r>
        <w:rPr>
          <w:color w:val="231F20"/>
          <w:sz w:val="16"/>
        </w:rPr>
        <w:t>contracts</w:t>
      </w:r>
    </w:p>
    <w:p>
      <w:pPr>
        <w:spacing w:line="247" w:lineRule="auto" w:before="65"/>
        <w:ind w:left="160" w:right="-20" w:firstLine="0"/>
        <w:jc w:val="left"/>
        <w:rPr>
          <w:sz w:val="16"/>
        </w:rPr>
      </w:pPr>
      <w:r>
        <w:rPr>
          <w:color w:val="231F20"/>
          <w:sz w:val="16"/>
        </w:rPr>
        <w:t>Fuel derivative</w:t>
      </w:r>
    </w:p>
    <w:p>
      <w:pPr>
        <w:tabs>
          <w:tab w:pos="1234" w:val="left" w:leader="none"/>
          <w:tab w:pos="2154" w:val="left" w:leader="none"/>
          <w:tab w:pos="3301" w:val="left" w:leader="none"/>
          <w:tab w:pos="4501" w:val="left" w:leader="none"/>
          <w:tab w:pos="4954" w:val="left" w:leader="none"/>
          <w:tab w:pos="5754" w:val="left" w:leader="none"/>
          <w:tab w:pos="6901" w:val="left" w:leader="none"/>
          <w:tab w:pos="7928" w:val="left" w:leader="none"/>
        </w:tabs>
        <w:spacing w:before="0"/>
        <w:ind w:left="160" w:right="0" w:firstLine="0"/>
        <w:jc w:val="left"/>
        <w:rPr>
          <w:sz w:val="16"/>
        </w:rPr>
      </w:pPr>
      <w:r>
        <w:rPr/>
        <w:br w:type="column"/>
      </w:r>
      <w:r>
        <w:rPr>
          <w:color w:val="231F20"/>
          <w:sz w:val="16"/>
        </w:rPr>
        <w:t>assets</w:t>
        <w:tab/>
        <w:t>$</w:t>
        <w:tab/>
        <w:t>48 </w:t>
      </w:r>
      <w:r>
        <w:rPr>
          <w:color w:val="231F20"/>
          <w:spacing w:val="40"/>
          <w:sz w:val="16"/>
        </w:rPr>
        <w:t> </w:t>
      </w:r>
      <w:r>
        <w:rPr>
          <w:color w:val="231F20"/>
          <w:sz w:val="16"/>
        </w:rPr>
        <w:t>$</w:t>
        <w:tab/>
        <w:t>(48)</w:t>
      </w:r>
      <w:r>
        <w:rPr>
          <w:color w:val="231F20"/>
          <w:spacing w:val="26"/>
          <w:sz w:val="16"/>
        </w:rPr>
        <w:t> </w:t>
      </w:r>
      <w:r>
        <w:rPr>
          <w:color w:val="231F20"/>
          <w:sz w:val="16"/>
        </w:rPr>
        <w:t>$</w:t>
        <w:tab/>
        <w:t>—</w:t>
        <w:tab/>
        <w:t>$</w:t>
        <w:tab/>
        <w:t>26 </w:t>
      </w:r>
      <w:r>
        <w:rPr>
          <w:color w:val="231F20"/>
          <w:spacing w:val="40"/>
          <w:sz w:val="16"/>
        </w:rPr>
        <w:t> </w:t>
      </w:r>
      <w:r>
        <w:rPr>
          <w:color w:val="231F20"/>
          <w:sz w:val="16"/>
        </w:rPr>
        <w:t>$</w:t>
        <w:tab/>
        <w:t>(26)</w:t>
      </w:r>
      <w:r>
        <w:rPr>
          <w:color w:val="231F20"/>
          <w:spacing w:val="26"/>
          <w:sz w:val="16"/>
        </w:rPr>
        <w:t> </w:t>
      </w:r>
      <w:r>
        <w:rPr>
          <w:color w:val="231F20"/>
          <w:sz w:val="16"/>
        </w:rPr>
        <w:t>$</w:t>
        <w:tab/>
        <w:t>—</w:t>
      </w:r>
    </w:p>
    <w:p>
      <w:pPr>
        <w:spacing w:after="0"/>
        <w:jc w:val="left"/>
        <w:rPr>
          <w:sz w:val="16"/>
        </w:rPr>
        <w:sectPr>
          <w:type w:val="continuous"/>
          <w:pgSz w:w="11880" w:h="15480"/>
          <w:pgMar w:top="1260" w:bottom="280" w:left="1260" w:right="1240"/>
          <w:cols w:num="2" w:equalWidth="0">
            <w:col w:w="800" w:space="125"/>
            <w:col w:w="8455"/>
          </w:cols>
        </w:sectPr>
      </w:pPr>
    </w:p>
    <w:p>
      <w:pPr>
        <w:tabs>
          <w:tab w:pos="1084" w:val="left" w:leader="none"/>
          <w:tab w:pos="2159" w:val="left" w:leader="none"/>
          <w:tab w:pos="3079" w:val="left" w:leader="none"/>
          <w:tab w:pos="4226" w:val="left" w:leader="none"/>
          <w:tab w:pos="5426" w:val="left" w:leader="none"/>
          <w:tab w:pos="6626" w:val="left" w:leader="none"/>
          <w:tab w:pos="7826" w:val="left" w:leader="none"/>
          <w:tab w:pos="8849" w:val="left" w:leader="none"/>
        </w:tabs>
        <w:spacing w:before="0"/>
        <w:ind w:left="160" w:right="0" w:firstLine="0"/>
        <w:jc w:val="left"/>
        <w:rPr>
          <w:sz w:val="16"/>
        </w:rPr>
      </w:pPr>
      <w:r>
        <w:rPr/>
        <w:pict>
          <v:rect style="position:absolute;margin-left:69pt;margin-top:10.468753pt;width:456pt;height:31.5pt;mso-position-horizontal-relative:page;mso-position-vertical-relative:paragraph;z-index:-374080" filled="true" fillcolor="#d1d3d4" stroked="false">
            <v:fill type="solid"/>
            <w10:wrap type="none"/>
          </v:rect>
        </w:pict>
      </w:r>
      <w:r>
        <w:rPr>
          <w:color w:val="231F20"/>
          <w:sz w:val="16"/>
        </w:rPr>
        <w:t>contracts</w:t>
        <w:tab/>
        <w:t>Other</w:t>
      </w:r>
      <w:r>
        <w:rPr>
          <w:color w:val="231F20"/>
          <w:spacing w:val="-1"/>
          <w:sz w:val="16"/>
        </w:rPr>
        <w:t> </w:t>
      </w:r>
      <w:r>
        <w:rPr>
          <w:color w:val="231F20"/>
          <w:sz w:val="16"/>
        </w:rPr>
        <w:t>assets</w:t>
        <w:tab/>
        <w:t>$</w:t>
        <w:tab/>
        <w:t>58   $</w:t>
        <w:tab/>
        <w:t>(58)</w:t>
      </w:r>
      <w:r>
        <w:rPr>
          <w:color w:val="231F20"/>
          <w:spacing w:val="26"/>
          <w:sz w:val="16"/>
        </w:rPr>
        <w:t> </w:t>
      </w:r>
      <w:r>
        <w:rPr>
          <w:color w:val="231F20"/>
          <w:sz w:val="16"/>
        </w:rPr>
        <w:t>$</w:t>
        <w:tab/>
        <w:t>—</w:t>
      </w:r>
      <w:r>
        <w:rPr>
          <w:color w:val="231F20"/>
          <w:spacing w:val="13"/>
          <w:sz w:val="16"/>
        </w:rPr>
        <w:t> </w:t>
      </w:r>
      <w:r>
        <w:rPr>
          <w:color w:val="231F20"/>
          <w:sz w:val="16"/>
        </w:rPr>
        <w:t>(a)</w:t>
      </w:r>
      <w:r>
        <w:rPr>
          <w:color w:val="231F20"/>
          <w:spacing w:val="22"/>
          <w:sz w:val="16"/>
        </w:rPr>
        <w:t> </w:t>
      </w:r>
      <w:r>
        <w:rPr>
          <w:color w:val="231F20"/>
          <w:sz w:val="16"/>
        </w:rPr>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p>
    <w:p>
      <w:pPr>
        <w:spacing w:before="65"/>
        <w:ind w:left="160" w:right="0" w:firstLine="0"/>
        <w:jc w:val="left"/>
        <w:rPr>
          <w:sz w:val="16"/>
        </w:rPr>
      </w:pPr>
      <w:r>
        <w:rPr>
          <w:color w:val="231F20"/>
          <w:sz w:val="16"/>
        </w:rPr>
        <w:t>Fuel</w:t>
      </w:r>
    </w:p>
    <w:p>
      <w:pPr>
        <w:spacing w:after="0"/>
        <w:jc w:val="left"/>
        <w:rPr>
          <w:sz w:val="16"/>
        </w:rPr>
        <w:sectPr>
          <w:type w:val="continuous"/>
          <w:pgSz w:w="11880" w:h="15480"/>
          <w:pgMar w:top="1260" w:bottom="280" w:left="1260" w:right="1240"/>
        </w:sectPr>
      </w:pPr>
    </w:p>
    <w:p>
      <w:pPr>
        <w:spacing w:line="247" w:lineRule="auto" w:before="5"/>
        <w:ind w:left="160" w:right="98" w:firstLine="0"/>
        <w:jc w:val="left"/>
        <w:rPr>
          <w:sz w:val="16"/>
        </w:rPr>
      </w:pPr>
      <w:r>
        <w:rPr>
          <w:color w:val="231F20"/>
          <w:sz w:val="16"/>
        </w:rPr>
        <w:t>derivative contracts</w:t>
      </w:r>
    </w:p>
    <w:p>
      <w:pPr>
        <w:spacing w:line="247" w:lineRule="auto" w:before="60"/>
        <w:ind w:left="160" w:right="-20" w:firstLine="0"/>
        <w:jc w:val="left"/>
        <w:rPr>
          <w:sz w:val="16"/>
        </w:rPr>
      </w:pPr>
      <w:r>
        <w:rPr/>
        <w:pict>
          <v:rect style="position:absolute;margin-left:69pt;margin-top:32.468754pt;width:456pt;height:31.5pt;mso-position-horizontal-relative:page;mso-position-vertical-relative:paragraph;z-index:-374056" filled="true" fillcolor="#d1d3d4" stroked="false">
            <v:fill type="solid"/>
            <w10:wrap type="none"/>
          </v:rect>
        </w:pict>
      </w:r>
      <w:r>
        <w:rPr>
          <w:color w:val="231F20"/>
          <w:sz w:val="16"/>
        </w:rPr>
        <w:t>Fuel derivative contracts</w:t>
      </w:r>
    </w:p>
    <w:p>
      <w:pPr>
        <w:spacing w:line="247" w:lineRule="auto" w:before="60"/>
        <w:ind w:left="160" w:right="-20" w:firstLine="0"/>
        <w:jc w:val="left"/>
        <w:rPr>
          <w:sz w:val="16"/>
        </w:rPr>
      </w:pPr>
      <w:r>
        <w:rPr>
          <w:color w:val="231F20"/>
          <w:sz w:val="16"/>
        </w:rPr>
        <w:t>Interest</w:t>
      </w:r>
      <w:r>
        <w:rPr>
          <w:color w:val="231F20"/>
          <w:spacing w:val="-2"/>
          <w:sz w:val="16"/>
        </w:rPr>
        <w:t> </w:t>
      </w:r>
      <w:r>
        <w:rPr>
          <w:color w:val="231F20"/>
          <w:sz w:val="16"/>
        </w:rPr>
        <w:t>rate</w:t>
      </w:r>
      <w:r>
        <w:rPr>
          <w:color w:val="231F20"/>
          <w:w w:val="100"/>
          <w:sz w:val="16"/>
        </w:rPr>
        <w:t> </w:t>
      </w:r>
      <w:r>
        <w:rPr>
          <w:color w:val="231F20"/>
          <w:sz w:val="16"/>
        </w:rPr>
        <w:t>derivative contracts</w:t>
      </w:r>
    </w:p>
    <w:p>
      <w:pPr>
        <w:spacing w:before="5"/>
        <w:ind w:left="127" w:right="0" w:firstLine="0"/>
        <w:jc w:val="left"/>
        <w:rPr>
          <w:sz w:val="16"/>
        </w:rPr>
      </w:pPr>
      <w:r>
        <w:rPr/>
        <w:br w:type="column"/>
      </w:r>
      <w:r>
        <w:rPr>
          <w:color w:val="231F20"/>
          <w:sz w:val="16"/>
        </w:rPr>
        <w:t>Accrued</w:t>
      </w:r>
    </w:p>
    <w:p>
      <w:pPr>
        <w:tabs>
          <w:tab w:pos="1202" w:val="left" w:leader="none"/>
          <w:tab w:pos="2042" w:val="left" w:leader="none"/>
          <w:tab w:pos="3189" w:val="left" w:leader="none"/>
          <w:tab w:pos="4402" w:val="left" w:leader="none"/>
          <w:tab w:pos="5522" w:val="left" w:leader="none"/>
          <w:tab w:pos="6669" w:val="left" w:leader="none"/>
          <w:tab w:pos="7825" w:val="left" w:leader="none"/>
        </w:tabs>
        <w:spacing w:before="5"/>
        <w:ind w:left="127" w:right="0" w:firstLine="0"/>
        <w:jc w:val="left"/>
        <w:rPr>
          <w:sz w:val="16"/>
        </w:rPr>
      </w:pPr>
      <w:r>
        <w:rPr>
          <w:color w:val="231F20"/>
          <w:sz w:val="16"/>
        </w:rPr>
        <w:t>liabilities</w:t>
        <w:tab/>
        <w:t>$</w:t>
        <w:tab/>
        <w:t>674   $</w:t>
        <w:tab/>
        <w:t>(516)</w:t>
      </w:r>
      <w:r>
        <w:rPr>
          <w:color w:val="231F20"/>
          <w:spacing w:val="26"/>
          <w:sz w:val="16"/>
        </w:rPr>
        <w:t> </w:t>
      </w:r>
      <w:r>
        <w:rPr>
          <w:color w:val="231F20"/>
          <w:sz w:val="16"/>
        </w:rPr>
        <w:t>$</w:t>
        <w:tab/>
        <w:t>158 (a)</w:t>
      </w:r>
      <w:r>
        <w:rPr>
          <w:color w:val="231F20"/>
          <w:spacing w:val="22"/>
          <w:sz w:val="16"/>
        </w:rPr>
        <w:t> </w:t>
      </w:r>
      <w:r>
        <w:rPr>
          <w:color w:val="231F20"/>
          <w:sz w:val="16"/>
        </w:rPr>
        <w:t>$</w:t>
        <w:tab/>
        <w:t>2,380   $</w:t>
        <w:tab/>
        <w:t>(1,737)</w:t>
      </w:r>
      <w:r>
        <w:rPr>
          <w:color w:val="231F20"/>
          <w:spacing w:val="26"/>
          <w:sz w:val="16"/>
        </w:rPr>
        <w:t> </w:t>
      </w:r>
      <w:r>
        <w:rPr>
          <w:color w:val="231F20"/>
          <w:sz w:val="16"/>
        </w:rPr>
        <w:t>$</w:t>
        <w:tab/>
        <w:t>643 (a)</w:t>
      </w:r>
    </w:p>
    <w:p>
      <w:pPr>
        <w:spacing w:line="247" w:lineRule="auto" w:before="65"/>
        <w:ind w:left="127" w:right="7581" w:firstLine="0"/>
        <w:jc w:val="left"/>
        <w:rPr>
          <w:sz w:val="16"/>
        </w:rPr>
      </w:pPr>
      <w:r>
        <w:rPr>
          <w:color w:val="231F20"/>
          <w:sz w:val="16"/>
        </w:rPr>
        <w:t>Other noncurrent</w:t>
      </w:r>
    </w:p>
    <w:p>
      <w:pPr>
        <w:tabs>
          <w:tab w:pos="1202" w:val="left" w:leader="none"/>
          <w:tab w:pos="2069" w:val="left" w:leader="none"/>
          <w:tab w:pos="3269" w:val="left" w:leader="none"/>
          <w:tab w:pos="4469" w:val="left" w:leader="none"/>
          <w:tab w:pos="5522" w:val="left" w:leader="none"/>
          <w:tab w:pos="6789" w:val="left" w:leader="none"/>
          <w:tab w:pos="7905" w:val="left" w:leader="none"/>
        </w:tabs>
        <w:spacing w:before="0"/>
        <w:ind w:left="127" w:right="0" w:firstLine="0"/>
        <w:jc w:val="left"/>
        <w:rPr>
          <w:sz w:val="16"/>
        </w:rPr>
      </w:pPr>
      <w:r>
        <w:rPr>
          <w:color w:val="231F20"/>
          <w:sz w:val="16"/>
        </w:rPr>
        <w:t>liabilities</w:t>
        <w:tab/>
        <w:t>$</w:t>
        <w:tab/>
        <w:t>—   </w:t>
      </w:r>
      <w:r>
        <w:rPr>
          <w:color w:val="231F20"/>
          <w:spacing w:val="13"/>
          <w:sz w:val="16"/>
        </w:rPr>
        <w:t> </w:t>
      </w:r>
      <w:r>
        <w:rPr>
          <w:color w:val="231F20"/>
          <w:sz w:val="16"/>
        </w:rPr>
        <w:t>$</w:t>
        <w:tab/>
        <w:t>—   </w:t>
      </w:r>
      <w:r>
        <w:rPr>
          <w:color w:val="231F20"/>
          <w:spacing w:val="13"/>
          <w:sz w:val="16"/>
        </w:rPr>
        <w:t> </w:t>
      </w:r>
      <w:r>
        <w:rPr>
          <w:color w:val="231F20"/>
          <w:sz w:val="16"/>
        </w:rPr>
        <w:t>$</w:t>
        <w:tab/>
        <w:t>—</w:t>
      </w:r>
      <w:r>
        <w:rPr>
          <w:color w:val="231F20"/>
          <w:spacing w:val="13"/>
          <w:sz w:val="16"/>
        </w:rPr>
        <w:t> </w:t>
      </w:r>
      <w:r>
        <w:rPr>
          <w:color w:val="231F20"/>
          <w:sz w:val="16"/>
        </w:rPr>
        <w:t>(a)</w:t>
      </w:r>
      <w:r>
        <w:rPr>
          <w:color w:val="231F20"/>
          <w:spacing w:val="22"/>
          <w:sz w:val="16"/>
        </w:rPr>
        <w:t> </w:t>
      </w:r>
      <w:r>
        <w:rPr>
          <w:color w:val="231F20"/>
          <w:sz w:val="16"/>
        </w:rPr>
        <w:t>$</w:t>
        <w:tab/>
        <w:t>1,010   $</w:t>
        <w:tab/>
        <w:t>(985)</w:t>
      </w:r>
      <w:r>
        <w:rPr>
          <w:color w:val="231F20"/>
          <w:spacing w:val="26"/>
          <w:sz w:val="16"/>
        </w:rPr>
        <w:t> </w:t>
      </w:r>
      <w:r>
        <w:rPr>
          <w:color w:val="231F20"/>
          <w:sz w:val="16"/>
        </w:rPr>
        <w:t>$</w:t>
        <w:tab/>
        <w:t>25 (a)</w:t>
      </w:r>
    </w:p>
    <w:p>
      <w:pPr>
        <w:spacing w:line="247" w:lineRule="auto" w:before="65"/>
        <w:ind w:left="127" w:right="7581" w:firstLine="0"/>
        <w:jc w:val="left"/>
        <w:rPr>
          <w:sz w:val="16"/>
        </w:rPr>
      </w:pPr>
      <w:r>
        <w:rPr>
          <w:color w:val="231F20"/>
          <w:sz w:val="16"/>
        </w:rPr>
        <w:t>Other noncurrent</w:t>
      </w:r>
    </w:p>
    <w:p>
      <w:pPr>
        <w:tabs>
          <w:tab w:pos="1202" w:val="left" w:leader="none"/>
          <w:tab w:pos="2122" w:val="left" w:leader="none"/>
          <w:tab w:pos="3269" w:val="left" w:leader="none"/>
          <w:tab w:pos="4482" w:val="left" w:leader="none"/>
          <w:tab w:pos="5722" w:val="left" w:leader="none"/>
          <w:tab w:pos="6869" w:val="left" w:leader="none"/>
          <w:tab w:pos="7905" w:val="left" w:leader="none"/>
        </w:tabs>
        <w:spacing w:before="0"/>
        <w:ind w:left="127" w:right="0" w:firstLine="0"/>
        <w:jc w:val="left"/>
        <w:rPr>
          <w:sz w:val="16"/>
        </w:rPr>
      </w:pPr>
      <w:r>
        <w:rPr>
          <w:color w:val="231F20"/>
          <w:sz w:val="16"/>
        </w:rPr>
        <w:t>liabilities</w:t>
        <w:tab/>
        <w:t>$</w:t>
        <w:tab/>
        <w:t>35   $</w:t>
        <w:tab/>
        <w:t>—   </w:t>
      </w:r>
      <w:r>
        <w:rPr>
          <w:color w:val="231F20"/>
          <w:spacing w:val="13"/>
          <w:sz w:val="16"/>
        </w:rPr>
        <w:t> </w:t>
      </w:r>
      <w:r>
        <w:rPr>
          <w:color w:val="231F20"/>
          <w:sz w:val="16"/>
        </w:rPr>
        <w:t>$</w:t>
        <w:tab/>
        <w:t>35 (a)</w:t>
      </w:r>
      <w:r>
        <w:rPr>
          <w:color w:val="231F20"/>
          <w:spacing w:val="22"/>
          <w:sz w:val="16"/>
        </w:rPr>
        <w:t> </w:t>
      </w:r>
      <w:r>
        <w:rPr>
          <w:color w:val="231F20"/>
          <w:sz w:val="16"/>
        </w:rPr>
        <w:t>$</w:t>
        <w:tab/>
        <w:t>49   $</w:t>
        <w:tab/>
        <w:t>—   </w:t>
      </w:r>
      <w:r>
        <w:rPr>
          <w:color w:val="231F20"/>
          <w:spacing w:val="13"/>
          <w:sz w:val="16"/>
        </w:rPr>
        <w:t> </w:t>
      </w:r>
      <w:r>
        <w:rPr>
          <w:color w:val="231F20"/>
          <w:sz w:val="16"/>
        </w:rPr>
        <w:t>$</w:t>
        <w:tab/>
        <w:t>49 (a)</w:t>
      </w:r>
    </w:p>
    <w:p>
      <w:pPr>
        <w:spacing w:after="0"/>
        <w:jc w:val="left"/>
        <w:rPr>
          <w:sz w:val="16"/>
        </w:rPr>
        <w:sectPr>
          <w:type w:val="continuous"/>
          <w:pgSz w:w="11880" w:h="15480"/>
          <w:pgMar w:top="1260" w:bottom="280" w:left="1260" w:right="1240"/>
          <w:cols w:num="2" w:equalWidth="0">
            <w:col w:w="918" w:space="40"/>
            <w:col w:w="8422"/>
          </w:cols>
        </w:sectPr>
      </w:pPr>
    </w:p>
    <w:p>
      <w:pPr>
        <w:pStyle w:val="BodyText"/>
        <w:spacing w:before="10"/>
        <w:rPr>
          <w:sz w:val="14"/>
        </w:rPr>
      </w:pPr>
    </w:p>
    <w:p>
      <w:pPr>
        <w:spacing w:line="249" w:lineRule="auto" w:before="94"/>
        <w:ind w:left="120" w:right="220" w:firstLine="0"/>
        <w:jc w:val="left"/>
        <w:rPr>
          <w:sz w:val="20"/>
        </w:rPr>
      </w:pPr>
      <w:r>
        <w:rPr>
          <w:color w:val="231F20"/>
          <w:sz w:val="20"/>
        </w:rPr>
        <w:t>(a) The net amounts of derivative assets and liabilities are reconciled to the individual line item amounts presented in the Consolidated Balance Sheet in Note 5.</w:t>
      </w:r>
    </w:p>
    <w:p>
      <w:pPr>
        <w:spacing w:after="0" w:line="249" w:lineRule="auto"/>
        <w:jc w:val="left"/>
        <w:rPr>
          <w:sz w:val="20"/>
        </w:rPr>
        <w:sectPr>
          <w:type w:val="continuous"/>
          <w:pgSz w:w="11880" w:h="15480"/>
          <w:pgMar w:top="1260" w:bottom="280" w:left="1260" w:right="1240"/>
        </w:sectPr>
      </w:pPr>
    </w:p>
    <w:p>
      <w:pPr>
        <w:pStyle w:val="BodyText"/>
        <w:spacing w:line="247" w:lineRule="auto" w:before="74"/>
        <w:ind w:left="120"/>
      </w:pPr>
      <w:r>
        <w:rPr>
          <w:color w:val="231F20"/>
        </w:rPr>
        <w:t>The following tables present the impact of derivative instruments and their location within the Consolidated Statement of Income for the year ended December 31, 2016 and 2015:</w:t>
      </w:r>
    </w:p>
    <w:p>
      <w:pPr>
        <w:pStyle w:val="BodyText"/>
        <w:spacing w:before="9"/>
        <w:rPr>
          <w:sz w:val="20"/>
        </w:rPr>
      </w:pPr>
    </w:p>
    <w:p>
      <w:pPr>
        <w:pStyle w:val="Heading1"/>
        <w:ind w:left="120"/>
        <w:jc w:val="left"/>
      </w:pPr>
      <w:r>
        <w:rPr>
          <w:color w:val="231F20"/>
          <w:u w:val="single" w:color="231F20"/>
        </w:rPr>
        <w:t>Derivatives in cash flow hedging relationships</w:t>
      </w:r>
    </w:p>
    <w:p>
      <w:pPr>
        <w:pStyle w:val="BodyText"/>
        <w:spacing w:before="7"/>
        <w:rPr>
          <w:b/>
          <w:sz w:val="12"/>
        </w:rPr>
      </w:pPr>
    </w:p>
    <w:p>
      <w:pPr>
        <w:spacing w:after="0"/>
        <w:rPr>
          <w:sz w:val="12"/>
        </w:rPr>
        <w:sectPr>
          <w:pgSz w:w="11880" w:h="15480"/>
          <w:pgMar w:header="0" w:footer="1240" w:top="1240" w:bottom="1420" w:left="1260" w:right="1260"/>
        </w:sectPr>
      </w:pPr>
    </w:p>
    <w:p>
      <w:pPr>
        <w:spacing w:line="252" w:lineRule="auto" w:before="100"/>
        <w:ind w:left="2373" w:right="0" w:firstLine="0"/>
        <w:jc w:val="center"/>
        <w:rPr>
          <w:b/>
          <w:sz w:val="19"/>
        </w:rPr>
      </w:pPr>
      <w:r>
        <w:rPr/>
        <w:pict>
          <v:line style="position:absolute;mso-position-horizontal-relative:page;mso-position-vertical-relative:paragraph;z-index:5488" from="171.899994pt,40.369141pt" to="291.599994pt,40.369141pt" stroked="true" strokeweight="1pt" strokecolor="#231f20">
            <v:stroke dashstyle="solid"/>
            <w10:wrap type="none"/>
          </v:line>
        </w:pict>
      </w:r>
      <w:r>
        <w:rPr>
          <w:b/>
          <w:color w:val="231F20"/>
          <w:sz w:val="19"/>
        </w:rPr>
        <w:t>(Gain) loss recognized in AOCI on derivatives (effective portion)</w:t>
      </w:r>
    </w:p>
    <w:p>
      <w:pPr>
        <w:spacing w:line="252" w:lineRule="auto" w:before="81"/>
        <w:ind w:left="2890" w:right="375" w:firstLine="1"/>
        <w:jc w:val="center"/>
        <w:rPr>
          <w:b/>
          <w:sz w:val="19"/>
        </w:rPr>
      </w:pPr>
      <w:r>
        <w:rPr>
          <w:b/>
          <w:color w:val="231F20"/>
          <w:sz w:val="19"/>
        </w:rPr>
        <w:t>Year ended December 31,</w:t>
      </w:r>
    </w:p>
    <w:p>
      <w:pPr>
        <w:spacing w:line="252" w:lineRule="auto" w:before="100"/>
        <w:ind w:left="731" w:right="-18" w:hanging="303"/>
        <w:jc w:val="left"/>
        <w:rPr>
          <w:b/>
          <w:sz w:val="19"/>
        </w:rPr>
      </w:pPr>
      <w:r>
        <w:rPr/>
        <w:br w:type="column"/>
      </w:r>
      <w:r>
        <w:rPr>
          <w:b/>
          <w:color w:val="231F20"/>
          <w:sz w:val="19"/>
        </w:rPr>
        <w:t>(Gain) loss reclassified from AOCI into income (effective portion)(a)</w:t>
      </w:r>
    </w:p>
    <w:p>
      <w:pPr>
        <w:spacing w:line="252" w:lineRule="auto" w:before="81"/>
        <w:ind w:left="942" w:right="635" w:firstLine="87"/>
        <w:jc w:val="left"/>
        <w:rPr>
          <w:b/>
          <w:sz w:val="19"/>
        </w:rPr>
      </w:pPr>
      <w:r>
        <w:rPr/>
        <w:pict>
          <v:line style="position:absolute;mso-position-horizontal-relative:page;mso-position-vertical-relative:paragraph;z-index:5512" from="304.600006pt,.919141pt" to="419.600006pt,.919141pt" stroked="true" strokeweight="1pt" strokecolor="#231f20">
            <v:stroke dashstyle="solid"/>
            <w10:wrap type="none"/>
          </v:line>
        </w:pict>
      </w:r>
      <w:r>
        <w:rPr>
          <w:b/>
          <w:color w:val="231F20"/>
          <w:sz w:val="19"/>
        </w:rPr>
        <w:t>Year ended December 31,</w:t>
      </w:r>
    </w:p>
    <w:p>
      <w:pPr>
        <w:spacing w:line="252" w:lineRule="auto" w:before="100"/>
        <w:ind w:left="85" w:right="111" w:firstLine="0"/>
        <w:jc w:val="center"/>
        <w:rPr>
          <w:b/>
          <w:sz w:val="19"/>
        </w:rPr>
      </w:pPr>
      <w:r>
        <w:rPr/>
        <w:br w:type="column"/>
      </w:r>
      <w:r>
        <w:rPr>
          <w:b/>
          <w:color w:val="231F20"/>
          <w:sz w:val="19"/>
        </w:rPr>
        <w:t>(Gain) loss recognized in income on derivatives (ineffective portion)(b)</w:t>
      </w:r>
    </w:p>
    <w:p>
      <w:pPr>
        <w:pStyle w:val="BodyText"/>
        <w:spacing w:line="20" w:lineRule="exact"/>
        <w:ind w:left="82"/>
        <w:rPr>
          <w:sz w:val="2"/>
        </w:rPr>
      </w:pPr>
      <w:r>
        <w:rPr>
          <w:sz w:val="2"/>
        </w:rPr>
        <w:pict>
          <v:group style="width:100.4pt;height:1pt;mso-position-horizontal-relative:char;mso-position-vertical-relative:line" coordorigin="0,0" coordsize="2008,20">
            <v:line style="position:absolute" from="10,10" to="1998,10" stroked="true" strokeweight="1pt" strokecolor="#231f20">
              <v:stroke dashstyle="solid"/>
            </v:line>
          </v:group>
        </w:pict>
      </w:r>
      <w:r>
        <w:rPr>
          <w:sz w:val="2"/>
        </w:rPr>
      </w:r>
    </w:p>
    <w:p>
      <w:pPr>
        <w:spacing w:line="252" w:lineRule="auto" w:before="61"/>
        <w:ind w:left="532" w:right="559" w:firstLine="1"/>
        <w:jc w:val="center"/>
        <w:rPr>
          <w:b/>
          <w:sz w:val="19"/>
        </w:rPr>
      </w:pPr>
      <w:r>
        <w:rPr>
          <w:b/>
          <w:color w:val="231F20"/>
          <w:sz w:val="19"/>
        </w:rPr>
        <w:t>Year ended December 31,</w:t>
      </w:r>
    </w:p>
    <w:p>
      <w:pPr>
        <w:spacing w:after="0" w:line="252" w:lineRule="auto"/>
        <w:jc w:val="center"/>
        <w:rPr>
          <w:sz w:val="19"/>
        </w:rPr>
        <w:sectPr>
          <w:type w:val="continuous"/>
          <w:pgSz w:w="11880" w:h="15480"/>
          <w:pgMar w:top="1260" w:bottom="280" w:left="1260" w:right="1260"/>
          <w:cols w:num="3" w:equalWidth="0">
            <w:col w:w="4376" w:space="40"/>
            <w:col w:w="2705" w:space="40"/>
            <w:col w:w="2199"/>
          </w:cols>
        </w:sectPr>
      </w:pPr>
    </w:p>
    <w:p>
      <w:pPr>
        <w:tabs>
          <w:tab w:pos="7242" w:val="left" w:leader="none"/>
        </w:tabs>
        <w:spacing w:line="20" w:lineRule="exact"/>
        <w:ind w:left="2168" w:right="0" w:firstLine="0"/>
        <w:rPr>
          <w:sz w:val="2"/>
        </w:rPr>
      </w:pPr>
      <w:r>
        <w:rPr>
          <w:sz w:val="2"/>
        </w:rPr>
        <w:pict>
          <v:group style="width:127.7pt;height:1pt;mso-position-horizontal-relative:char;mso-position-vertical-relative:line" coordorigin="0,0" coordsize="2554,20">
            <v:line style="position:absolute" from="10,10" to="2544,10" stroked="true" strokeweight="1pt" strokecolor="#231f20">
              <v:stroke dashstyle="solid"/>
            </v:line>
          </v:group>
        </w:pict>
      </w:r>
      <w:r>
        <w:rPr>
          <w:sz w:val="2"/>
        </w:rPr>
      </w:r>
      <w:r>
        <w:rPr>
          <w:spacing w:val="84"/>
          <w:sz w:val="2"/>
        </w:rPr>
        <w:t> </w:t>
      </w:r>
      <w:r>
        <w:rPr>
          <w:spacing w:val="84"/>
          <w:sz w:val="2"/>
        </w:rPr>
        <w:pict>
          <v:group style="width:109pt;height:1pt;mso-position-horizontal-relative:char;mso-position-vertical-relative:line" coordorigin="0,0" coordsize="2180,20">
            <v:line style="position:absolute" from="10,10" to="2170,10" stroked="true" strokeweight="1pt" strokecolor="#231f20">
              <v:stroke dashstyle="solid"/>
            </v:line>
          </v:group>
        </w:pict>
      </w:r>
      <w:r>
        <w:rPr>
          <w:spacing w:val="84"/>
          <w:sz w:val="2"/>
        </w:rPr>
      </w:r>
      <w:r>
        <w:rPr>
          <w:spacing w:val="84"/>
          <w:sz w:val="2"/>
        </w:rPr>
        <w:tab/>
      </w:r>
      <w:r>
        <w:rPr>
          <w:spacing w:val="84"/>
          <w:sz w:val="2"/>
        </w:rPr>
        <w:pict>
          <v:group style="width:100.4pt;height:1pt;mso-position-horizontal-relative:char;mso-position-vertical-relative:line" coordorigin="0,0" coordsize="2008,20">
            <v:line style="position:absolute" from="10,10" to="1998,10" stroked="true" strokeweight="1pt" strokecolor="#231f20">
              <v:stroke dashstyle="solid"/>
            </v:line>
          </v:group>
        </w:pict>
      </w:r>
      <w:r>
        <w:rPr>
          <w:spacing w:val="84"/>
          <w:sz w:val="2"/>
        </w:rPr>
      </w:r>
    </w:p>
    <w:p>
      <w:pPr>
        <w:tabs>
          <w:tab w:pos="2554" w:val="left" w:leader="none"/>
          <w:tab w:pos="3881" w:val="left" w:leader="none"/>
          <w:tab w:pos="5141" w:val="left" w:leader="none"/>
          <w:tab w:pos="6351" w:val="left" w:leader="none"/>
          <w:tab w:pos="7528" w:val="left" w:leader="none"/>
          <w:tab w:pos="8582" w:val="left" w:leader="none"/>
        </w:tabs>
        <w:spacing w:before="61"/>
        <w:ind w:left="120" w:right="0" w:firstLine="0"/>
        <w:jc w:val="left"/>
        <w:rPr>
          <w:b/>
          <w:sz w:val="19"/>
        </w:rPr>
      </w:pPr>
      <w:r>
        <w:rPr/>
        <w:pict>
          <v:group style="position:absolute;margin-left:68.5pt;margin-top:14.919141pt;width:457pt;height:16pt;mso-position-horizontal-relative:page;mso-position-vertical-relative:paragraph;z-index:-373648" coordorigin="1370,298" coordsize="9140,320">
            <v:rect style="position:absolute;left:1380;top:318;width:9120;height:300" filled="true" fillcolor="#d1d3d4" stroked="false">
              <v:fill type="solid"/>
            </v:rect>
            <v:line style="position:absolute" from="1380,308" to="2358,308" stroked="true" strokeweight="1pt" strokecolor="#231f20">
              <v:stroke dashstyle="solid"/>
            </v:line>
            <v:line style="position:absolute" from="3438,308" to="4572,308" stroked="true" strokeweight="1pt" strokecolor="#231f20">
              <v:stroke dashstyle="solid"/>
            </v:line>
            <v:line style="position:absolute" from="4832,308" to="5832,308" stroked="true" strokeweight="1pt" strokecolor="#231f20">
              <v:stroke dashstyle="solid"/>
            </v:line>
            <v:line style="position:absolute" from="6092,308" to="7092,308" stroked="true" strokeweight="1pt" strokecolor="#231f20">
              <v:stroke dashstyle="solid"/>
            </v:line>
            <v:line style="position:absolute" from="7352,308" to="8252,308" stroked="true" strokeweight="1pt" strokecolor="#231f20">
              <v:stroke dashstyle="solid"/>
            </v:line>
            <v:line style="position:absolute" from="8512,308" to="9446,308" stroked="true" strokeweight="1pt" strokecolor="#231f20">
              <v:stroke dashstyle="solid"/>
            </v:line>
            <v:line style="position:absolute" from="9566,308" to="10500,308" stroked="true" strokeweight="1pt" strokecolor="#231f20">
              <v:stroke dashstyle="solid"/>
            </v:line>
            <w10:wrap type="none"/>
          </v:group>
        </w:pict>
      </w:r>
      <w:r>
        <w:rPr>
          <w:b/>
          <w:color w:val="231F20"/>
          <w:sz w:val="19"/>
        </w:rPr>
        <w:t>(in millions)</w:t>
        <w:tab/>
        <w:t>2016</w:t>
        <w:tab/>
        <w:t>2015</w:t>
        <w:tab/>
        <w:t>2016</w:t>
        <w:tab/>
        <w:t>2015</w:t>
        <w:tab/>
        <w:t>2016</w:t>
        <w:tab/>
        <w:t>2015</w:t>
      </w:r>
    </w:p>
    <w:p>
      <w:pPr>
        <w:tabs>
          <w:tab w:pos="2777" w:val="left" w:leader="none"/>
          <w:tab w:pos="4171" w:val="left" w:leader="none"/>
          <w:tab w:pos="5431" w:val="left" w:leader="none"/>
          <w:tab w:pos="6591" w:val="left" w:leader="none"/>
          <w:tab w:pos="7851" w:val="left" w:leader="none"/>
          <w:tab w:pos="9005" w:val="left" w:leader="none"/>
        </w:tabs>
        <w:spacing w:before="92"/>
        <w:ind w:left="120" w:right="0" w:firstLine="0"/>
        <w:jc w:val="left"/>
        <w:rPr>
          <w:sz w:val="20"/>
        </w:rPr>
      </w:pPr>
      <w:r>
        <w:rPr>
          <w:color w:val="231F20"/>
          <w:sz w:val="20"/>
        </w:rPr>
        <w:t>Fuel derivative</w:t>
      </w:r>
      <w:r>
        <w:rPr>
          <w:color w:val="231F20"/>
          <w:spacing w:val="2"/>
          <w:sz w:val="20"/>
        </w:rPr>
        <w:t> </w:t>
      </w:r>
      <w:r>
        <w:rPr>
          <w:color w:val="231F20"/>
          <w:sz w:val="20"/>
        </w:rPr>
        <w:t>contracts</w:t>
      </w:r>
      <w:r>
        <w:rPr>
          <w:color w:val="231F20"/>
          <w:spacing w:val="28"/>
          <w:sz w:val="20"/>
        </w:rPr>
        <w:t> </w:t>
      </w:r>
      <w:r>
        <w:rPr>
          <w:color w:val="231F20"/>
          <w:sz w:val="20"/>
        </w:rPr>
        <w:t>$</w:t>
        <w:tab/>
        <w:t>(122) </w:t>
      </w:r>
      <w:r>
        <w:rPr>
          <w:color w:val="231F20"/>
          <w:spacing w:val="40"/>
          <w:sz w:val="20"/>
        </w:rPr>
        <w:t> </w:t>
      </w:r>
      <w:r>
        <w:rPr>
          <w:color w:val="231F20"/>
          <w:sz w:val="20"/>
        </w:rPr>
        <w:t>* </w:t>
      </w:r>
      <w:r>
        <w:rPr>
          <w:color w:val="231F20"/>
          <w:spacing w:val="20"/>
          <w:sz w:val="20"/>
        </w:rPr>
        <w:t> </w:t>
      </w:r>
      <w:r>
        <w:rPr>
          <w:color w:val="231F20"/>
          <w:sz w:val="20"/>
        </w:rPr>
        <w:t>$</w:t>
        <w:tab/>
        <w:t>546 </w:t>
      </w:r>
      <w:r>
        <w:rPr>
          <w:color w:val="231F20"/>
          <w:spacing w:val="40"/>
          <w:sz w:val="20"/>
        </w:rPr>
        <w:t> </w:t>
      </w:r>
      <w:r>
        <w:rPr>
          <w:color w:val="231F20"/>
          <w:sz w:val="20"/>
        </w:rPr>
        <w:t>* </w:t>
      </w:r>
      <w:r>
        <w:rPr>
          <w:color w:val="231F20"/>
          <w:spacing w:val="20"/>
          <w:sz w:val="20"/>
        </w:rPr>
        <w:t> </w:t>
      </w:r>
      <w:r>
        <w:rPr>
          <w:color w:val="231F20"/>
          <w:sz w:val="20"/>
        </w:rPr>
        <w:t>$</w:t>
        <w:tab/>
        <w:t>613  *  </w:t>
      </w:r>
      <w:r>
        <w:rPr>
          <w:color w:val="231F20"/>
          <w:spacing w:val="10"/>
          <w:sz w:val="20"/>
        </w:rPr>
        <w:t> </w:t>
      </w:r>
      <w:r>
        <w:rPr>
          <w:color w:val="231F20"/>
          <w:sz w:val="20"/>
        </w:rPr>
        <w:t>$</w:t>
        <w:tab/>
        <w:t>238 </w:t>
      </w:r>
      <w:r>
        <w:rPr>
          <w:color w:val="231F20"/>
          <w:spacing w:val="40"/>
          <w:sz w:val="20"/>
        </w:rPr>
        <w:t> </w:t>
      </w:r>
      <w:r>
        <w:rPr>
          <w:color w:val="231F20"/>
          <w:sz w:val="20"/>
        </w:rPr>
        <w:t>* </w:t>
      </w:r>
      <w:r>
        <w:rPr>
          <w:color w:val="231F20"/>
          <w:spacing w:val="20"/>
          <w:sz w:val="20"/>
        </w:rPr>
        <w:t> </w:t>
      </w:r>
      <w:r>
        <w:rPr>
          <w:color w:val="231F20"/>
          <w:sz w:val="20"/>
        </w:rPr>
        <w:t>$</w:t>
        <w:tab/>
        <w:t>(11) </w:t>
      </w:r>
      <w:r>
        <w:rPr>
          <w:color w:val="231F20"/>
          <w:spacing w:val="20"/>
          <w:sz w:val="20"/>
        </w:rPr>
        <w:t> </w:t>
      </w:r>
      <w:r>
        <w:rPr>
          <w:color w:val="231F20"/>
          <w:sz w:val="20"/>
        </w:rPr>
        <w:t>$</w:t>
        <w:tab/>
        <w:t>(9)</w:t>
      </w:r>
    </w:p>
    <w:p>
      <w:pPr>
        <w:tabs>
          <w:tab w:pos="3044" w:val="left" w:leader="none"/>
          <w:tab w:pos="3351" w:val="left" w:leader="none"/>
          <w:tab w:pos="4371" w:val="left" w:leader="none"/>
          <w:tab w:pos="5631" w:val="left" w:leader="none"/>
          <w:tab w:pos="6691" w:val="left" w:leader="none"/>
          <w:tab w:pos="7951" w:val="left" w:leader="none"/>
          <w:tab w:pos="9005" w:val="left" w:leader="none"/>
        </w:tabs>
        <w:spacing w:before="69"/>
        <w:ind w:left="120" w:right="0" w:firstLine="0"/>
        <w:jc w:val="left"/>
        <w:rPr>
          <w:sz w:val="20"/>
        </w:rPr>
      </w:pPr>
      <w:r>
        <w:rPr/>
        <w:pict>
          <v:group style="position:absolute;margin-left:69pt;margin-top:16.285938pt;width:456.25pt;height:15.5pt;mso-position-horizontal-relative:page;mso-position-vertical-relative:paragraph;z-index:-373624" coordorigin="1380,326" coordsize="9125,310">
            <v:rect style="position:absolute;left:1380;top:336;width:9120;height:300" filled="true" fillcolor="#d1d3d4" stroked="false">
              <v:fill type="solid"/>
            </v:rect>
            <v:line style="position:absolute" from="3438,331" to="4572,331" stroked="true" strokeweight=".5pt" strokecolor="#231f20">
              <v:stroke dashstyle="solid"/>
            </v:line>
            <v:line style="position:absolute" from="4832,331" to="5832,331" stroked="true" strokeweight=".5pt" strokecolor="#231f20">
              <v:stroke dashstyle="solid"/>
            </v:line>
            <v:line style="position:absolute" from="6092,331" to="7092,331" stroked="true" strokeweight=".5pt" strokecolor="#231f20">
              <v:stroke dashstyle="solid"/>
            </v:line>
            <v:line style="position:absolute" from="7352,331" to="8252,331" stroked="true" strokeweight=".5pt" strokecolor="#231f20">
              <v:stroke dashstyle="solid"/>
            </v:line>
            <v:line style="position:absolute" from="8512,331" to="9446,331" stroked="true" strokeweight=".5pt" strokecolor="#231f20">
              <v:stroke dashstyle="solid"/>
            </v:line>
            <v:line style="position:absolute" from="9566,331" to="10500,331" stroked="true" strokeweight=".5pt" strokecolor="#231f20">
              <v:stroke dashstyle="solid"/>
            </v:line>
            <w10:wrap type="none"/>
          </v:group>
        </w:pict>
      </w:r>
      <w:r>
        <w:rPr>
          <w:color w:val="231F20"/>
          <w:sz w:val="20"/>
        </w:rPr>
        <w:t>Interest</w:t>
      </w:r>
      <w:r>
        <w:rPr>
          <w:color w:val="231F20"/>
          <w:spacing w:val="2"/>
          <w:sz w:val="20"/>
        </w:rPr>
        <w:t> </w:t>
      </w:r>
      <w:r>
        <w:rPr>
          <w:color w:val="231F20"/>
          <w:sz w:val="20"/>
        </w:rPr>
        <w:t>rate</w:t>
      </w:r>
      <w:r>
        <w:rPr>
          <w:color w:val="231F20"/>
          <w:spacing w:val="1"/>
          <w:sz w:val="20"/>
        </w:rPr>
        <w:t> </w:t>
      </w:r>
      <w:r>
        <w:rPr>
          <w:color w:val="231F20"/>
          <w:sz w:val="20"/>
        </w:rPr>
        <w:t>derivatives</w:t>
        <w:tab/>
        <w:t>2</w:t>
        <w:tab/>
        <w:t>*</w:t>
        <w:tab/>
        <w:t>4 </w:t>
      </w:r>
      <w:r>
        <w:rPr>
          <w:color w:val="231F20"/>
          <w:spacing w:val="40"/>
          <w:sz w:val="20"/>
        </w:rPr>
        <w:t> </w:t>
      </w:r>
      <w:r>
        <w:rPr>
          <w:color w:val="231F20"/>
          <w:sz w:val="20"/>
        </w:rPr>
        <w:t>*</w:t>
        <w:tab/>
        <w:t>9 </w:t>
      </w:r>
      <w:r>
        <w:rPr>
          <w:color w:val="231F20"/>
          <w:spacing w:val="40"/>
          <w:sz w:val="20"/>
        </w:rPr>
        <w:t> </w:t>
      </w:r>
      <w:r>
        <w:rPr>
          <w:color w:val="231F20"/>
          <w:sz w:val="20"/>
        </w:rPr>
        <w:t>*</w:t>
        <w:tab/>
        <w:t>13 </w:t>
      </w:r>
      <w:r>
        <w:rPr>
          <w:color w:val="231F20"/>
          <w:spacing w:val="40"/>
          <w:sz w:val="20"/>
        </w:rPr>
        <w:t> </w:t>
      </w:r>
      <w:r>
        <w:rPr>
          <w:color w:val="231F20"/>
          <w:sz w:val="20"/>
        </w:rPr>
        <w:t>*</w:t>
        <w:tab/>
        <w:t>(3)</w:t>
        <w:tab/>
        <w:t>(4)</w:t>
      </w:r>
    </w:p>
    <w:p>
      <w:pPr>
        <w:tabs>
          <w:tab w:pos="2057" w:val="left" w:leader="none"/>
          <w:tab w:pos="2657" w:val="left" w:leader="none"/>
          <w:tab w:pos="3451" w:val="left" w:leader="none"/>
          <w:tab w:pos="4051" w:val="left" w:leader="none"/>
          <w:tab w:pos="4711" w:val="left" w:leader="none"/>
          <w:tab w:pos="5311" w:val="left" w:leader="none"/>
          <w:tab w:pos="5971" w:val="left" w:leader="none"/>
          <w:tab w:pos="6471" w:val="left" w:leader="none"/>
          <w:tab w:pos="7131" w:val="left" w:leader="none"/>
          <w:tab w:pos="7731" w:val="left" w:leader="none"/>
          <w:tab w:pos="8785" w:val="left" w:leader="none"/>
        </w:tabs>
        <w:spacing w:before="89"/>
        <w:ind w:left="199" w:right="0" w:firstLine="0"/>
        <w:jc w:val="center"/>
        <w:rPr>
          <w:sz w:val="20"/>
        </w:rPr>
      </w:pPr>
      <w:r>
        <w:rPr/>
        <w:pict>
          <v:group style="position:absolute;margin-left:171.649994pt;margin-top:20.285938pt;width:57.2pt;height:2.5pt;mso-position-horizontal-relative:page;mso-position-vertical-relative:paragraph;z-index:5200;mso-wrap-distance-left:0;mso-wrap-distance-right:0" coordorigin="3433,406" coordsize="1144,50">
            <v:line style="position:absolute" from="3438,411" to="4572,411" stroked="true" strokeweight=".5pt" strokecolor="#231f20">
              <v:stroke dashstyle="solid"/>
            </v:line>
            <v:line style="position:absolute" from="3438,451" to="4572,451" stroked="true" strokeweight=".5pt" strokecolor="#231f20">
              <v:stroke dashstyle="solid"/>
            </v:line>
            <w10:wrap type="topAndBottom"/>
          </v:group>
        </w:pict>
      </w:r>
      <w:r>
        <w:rPr/>
        <w:pict>
          <v:group style="position:absolute;margin-left:241.350006pt;margin-top:20.285938pt;width:50.5pt;height:2.5pt;mso-position-horizontal-relative:page;mso-position-vertical-relative:paragraph;z-index:5224;mso-wrap-distance-left:0;mso-wrap-distance-right:0" coordorigin="4827,406" coordsize="1010,50">
            <v:line style="position:absolute" from="4832,411" to="5832,411" stroked="true" strokeweight=".5pt" strokecolor="#231f20">
              <v:stroke dashstyle="solid"/>
            </v:line>
            <v:line style="position:absolute" from="4832,451" to="5832,451" stroked="true" strokeweight=".5pt" strokecolor="#231f20">
              <v:stroke dashstyle="solid"/>
            </v:line>
            <w10:wrap type="topAndBottom"/>
          </v:group>
        </w:pict>
      </w:r>
      <w:r>
        <w:rPr/>
        <w:pict>
          <v:group style="position:absolute;margin-left:304.350006pt;margin-top:20.285938pt;width:50.5pt;height:2.5pt;mso-position-horizontal-relative:page;mso-position-vertical-relative:paragraph;z-index:5248;mso-wrap-distance-left:0;mso-wrap-distance-right:0" coordorigin="6087,406" coordsize="1010,50">
            <v:line style="position:absolute" from="6092,411" to="7092,411" stroked="true" strokeweight=".5pt" strokecolor="#231f20">
              <v:stroke dashstyle="solid"/>
            </v:line>
            <v:line style="position:absolute" from="6092,451" to="7092,451" stroked="true" strokeweight=".5pt" strokecolor="#231f20">
              <v:stroke dashstyle="solid"/>
            </v:line>
            <w10:wrap type="topAndBottom"/>
          </v:group>
        </w:pict>
      </w:r>
      <w:r>
        <w:rPr/>
        <w:pict>
          <v:group style="position:absolute;margin-left:367.350006pt;margin-top:20.285938pt;width:45.5pt;height:2.5pt;mso-position-horizontal-relative:page;mso-position-vertical-relative:paragraph;z-index:5272;mso-wrap-distance-left:0;mso-wrap-distance-right:0" coordorigin="7347,406" coordsize="910,50">
            <v:line style="position:absolute" from="7352,411" to="8252,411" stroked="true" strokeweight=".5pt" strokecolor="#231f20">
              <v:stroke dashstyle="solid"/>
            </v:line>
            <v:line style="position:absolute" from="7352,451" to="8252,451" stroked="true" strokeweight=".5pt" strokecolor="#231f20">
              <v:stroke dashstyle="solid"/>
            </v:line>
            <w10:wrap type="topAndBottom"/>
          </v:group>
        </w:pict>
      </w:r>
      <w:r>
        <w:rPr/>
        <w:pict>
          <v:group style="position:absolute;margin-left:425.350006pt;margin-top:20.285938pt;width:47.2pt;height:2.5pt;mso-position-horizontal-relative:page;mso-position-vertical-relative:paragraph;z-index:5296;mso-wrap-distance-left:0;mso-wrap-distance-right:0" coordorigin="8507,406" coordsize="944,50">
            <v:line style="position:absolute" from="8512,411" to="9446,411" stroked="true" strokeweight=".5pt" strokecolor="#231f20">
              <v:stroke dashstyle="solid"/>
            </v:line>
            <v:line style="position:absolute" from="8512,451" to="9446,451" stroked="true" strokeweight=".5pt" strokecolor="#231f20">
              <v:stroke dashstyle="solid"/>
            </v:line>
            <w10:wrap type="topAndBottom"/>
          </v:group>
        </w:pict>
      </w:r>
      <w:r>
        <w:rPr/>
        <w:pict>
          <v:group style="position:absolute;margin-left:478.049988pt;margin-top:20.285938pt;width:47.2pt;height:2.5pt;mso-position-horizontal-relative:page;mso-position-vertical-relative:paragraph;z-index:5320;mso-wrap-distance-left:0;mso-wrap-distance-right:0" coordorigin="9561,406" coordsize="944,50">
            <v:line style="position:absolute" from="9566,411" to="10500,411" stroked="true" strokeweight=".5pt" strokecolor="#231f20">
              <v:stroke dashstyle="solid"/>
            </v:line>
            <v:line style="position:absolute" from="9566,451" to="10500,451" stroked="true" strokeweight=".5pt" strokecolor="#231f20">
              <v:stroke dashstyle="solid"/>
            </v:line>
            <w10:wrap type="topAndBottom"/>
          </v:group>
        </w:pict>
      </w:r>
      <w:r>
        <w:rPr>
          <w:color w:val="231F20"/>
          <w:sz w:val="20"/>
        </w:rPr>
        <w:t>Total</w:t>
        <w:tab/>
        <w:t>$</w:t>
        <w:tab/>
        <w:t>(120)</w:t>
        <w:tab/>
        <w:t>$</w:t>
        <w:tab/>
        <w:t>550</w:t>
        <w:tab/>
        <w:t>$</w:t>
        <w:tab/>
        <w:t>622</w:t>
        <w:tab/>
        <w:t>$</w:t>
        <w:tab/>
        <w:t>251</w:t>
        <w:tab/>
        <w:t>$</w:t>
        <w:tab/>
        <w:t>(14) </w:t>
      </w:r>
      <w:r>
        <w:rPr>
          <w:color w:val="231F20"/>
          <w:spacing w:val="20"/>
          <w:sz w:val="20"/>
        </w:rPr>
        <w:t> </w:t>
      </w:r>
      <w:r>
        <w:rPr>
          <w:color w:val="231F20"/>
          <w:sz w:val="20"/>
        </w:rPr>
        <w:t>$</w:t>
        <w:tab/>
        <w:t>(13)</w:t>
      </w:r>
    </w:p>
    <w:p>
      <w:pPr>
        <w:pStyle w:val="BodyText"/>
        <w:spacing w:before="10"/>
        <w:rPr>
          <w:sz w:val="14"/>
        </w:rPr>
      </w:pPr>
    </w:p>
    <w:p>
      <w:pPr>
        <w:spacing w:before="93"/>
        <w:ind w:left="120" w:right="0" w:firstLine="0"/>
        <w:jc w:val="left"/>
        <w:rPr>
          <w:sz w:val="20"/>
        </w:rPr>
      </w:pPr>
      <w:r>
        <w:rPr>
          <w:color w:val="231F20"/>
          <w:sz w:val="20"/>
        </w:rPr>
        <w:t>*Net of tax</w:t>
      </w:r>
    </w:p>
    <w:p>
      <w:pPr>
        <w:pStyle w:val="ListParagraph"/>
        <w:numPr>
          <w:ilvl w:val="0"/>
          <w:numId w:val="19"/>
        </w:numPr>
        <w:tabs>
          <w:tab w:pos="393" w:val="left" w:leader="none"/>
        </w:tabs>
        <w:spacing w:line="249" w:lineRule="auto" w:before="129" w:after="0"/>
        <w:ind w:left="120" w:right="593" w:firstLine="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9"/>
        </w:numPr>
        <w:tabs>
          <w:tab w:pos="404" w:val="left" w:leader="none"/>
        </w:tabs>
        <w:spacing w:line="240" w:lineRule="auto" w:before="120" w:after="0"/>
        <w:ind w:left="404" w:right="0" w:hanging="284"/>
        <w:jc w:val="left"/>
        <w:rPr>
          <w:sz w:val="20"/>
        </w:rPr>
      </w:pPr>
      <w:r>
        <w:rPr>
          <w:color w:val="231F20"/>
          <w:sz w:val="20"/>
        </w:rPr>
        <w:t>Amounts are included in Other (gains) losses,</w:t>
      </w:r>
      <w:r>
        <w:rPr>
          <w:color w:val="231F20"/>
          <w:spacing w:val="3"/>
          <w:sz w:val="20"/>
        </w:rPr>
        <w:t> </w:t>
      </w:r>
      <w:r>
        <w:rPr>
          <w:color w:val="231F20"/>
          <w:sz w:val="20"/>
        </w:rPr>
        <w:t>net.</w:t>
      </w:r>
    </w:p>
    <w:p>
      <w:pPr>
        <w:pStyle w:val="BodyText"/>
        <w:spacing w:before="9"/>
        <w:rPr>
          <w:sz w:val="21"/>
        </w:rPr>
      </w:pPr>
    </w:p>
    <w:p>
      <w:pPr>
        <w:pStyle w:val="Heading1"/>
        <w:ind w:left="120"/>
        <w:jc w:val="left"/>
      </w:pPr>
      <w:r>
        <w:rPr>
          <w:color w:val="231F20"/>
          <w:u w:val="single" w:color="231F20"/>
        </w:rPr>
        <w:t>Derivatives not in cash flow hedging relationships</w:t>
      </w:r>
    </w:p>
    <w:p>
      <w:pPr>
        <w:pStyle w:val="BodyText"/>
        <w:spacing w:before="8"/>
        <w:rPr>
          <w:b/>
          <w:sz w:val="12"/>
        </w:rPr>
      </w:pPr>
    </w:p>
    <w:p>
      <w:pPr>
        <w:spacing w:after="0"/>
        <w:rPr>
          <w:sz w:val="12"/>
        </w:rPr>
        <w:sectPr>
          <w:type w:val="continuous"/>
          <w:pgSz w:w="11880" w:h="15480"/>
          <w:pgMar w:top="1260" w:bottom="280" w:left="1260" w:right="1260"/>
        </w:sectPr>
      </w:pPr>
    </w:p>
    <w:p>
      <w:pPr>
        <w:spacing w:line="249" w:lineRule="auto" w:before="99"/>
        <w:ind w:left="4147" w:right="-16" w:firstLine="572"/>
        <w:jc w:val="left"/>
        <w:rPr>
          <w:b/>
          <w:sz w:val="20"/>
        </w:rPr>
      </w:pPr>
      <w:r>
        <w:rPr>
          <w:b/>
          <w:color w:val="231F20"/>
          <w:sz w:val="20"/>
        </w:rPr>
        <w:t>(Gain) loss recognized in income on</w:t>
      </w:r>
    </w:p>
    <w:p>
      <w:pPr>
        <w:spacing w:before="1"/>
        <w:ind w:left="0" w:right="538" w:firstLine="0"/>
        <w:jc w:val="right"/>
        <w:rPr>
          <w:b/>
          <w:sz w:val="20"/>
        </w:rPr>
      </w:pPr>
      <w:r>
        <w:rPr/>
        <w:pict>
          <v:line style="position:absolute;mso-position-horizontal-relative:page;mso-position-vertical-relative:paragraph;z-index:5536" from="257pt,12.885938pt" to="387pt,12.885938pt" stroked="true" strokeweight="1pt" strokecolor="#231f20">
            <v:stroke dashstyle="solid"/>
            <w10:wrap type="none"/>
          </v:line>
        </w:pict>
      </w:r>
      <w:r>
        <w:rPr>
          <w:b/>
          <w:color w:val="231F20"/>
          <w:sz w:val="20"/>
        </w:rPr>
        <w:t>derivatives</w:t>
      </w:r>
    </w:p>
    <w:p>
      <w:pPr>
        <w:spacing w:line="249" w:lineRule="auto" w:before="90"/>
        <w:ind w:left="4595" w:right="430" w:firstLine="92"/>
        <w:jc w:val="left"/>
        <w:rPr>
          <w:b/>
          <w:sz w:val="20"/>
        </w:rPr>
      </w:pPr>
      <w:r>
        <w:rPr>
          <w:b/>
          <w:color w:val="231F20"/>
          <w:sz w:val="20"/>
        </w:rPr>
        <w:t>Year ended December 31,</w:t>
      </w:r>
    </w:p>
    <w:p>
      <w:pPr>
        <w:pStyle w:val="BodyText"/>
        <w:rPr>
          <w:b/>
        </w:rPr>
      </w:pPr>
      <w:r>
        <w:rPr/>
        <w:br w:type="column"/>
      </w:r>
      <w:r>
        <w:rPr>
          <w:b/>
        </w:rPr>
      </w:r>
    </w:p>
    <w:p>
      <w:pPr>
        <w:pStyle w:val="BodyText"/>
        <w:rPr>
          <w:b/>
        </w:rPr>
      </w:pPr>
    </w:p>
    <w:p>
      <w:pPr>
        <w:pStyle w:val="BodyText"/>
        <w:rPr>
          <w:b/>
        </w:rPr>
      </w:pPr>
    </w:p>
    <w:p>
      <w:pPr>
        <w:pStyle w:val="BodyText"/>
        <w:spacing w:before="1"/>
        <w:rPr>
          <w:b/>
          <w:sz w:val="19"/>
        </w:rPr>
      </w:pPr>
    </w:p>
    <w:p>
      <w:pPr>
        <w:spacing w:line="249" w:lineRule="auto" w:before="1"/>
        <w:ind w:left="847" w:right="399" w:hanging="42"/>
        <w:jc w:val="left"/>
        <w:rPr>
          <w:b/>
          <w:sz w:val="20"/>
        </w:rPr>
      </w:pPr>
      <w:r>
        <w:rPr/>
        <w:pict>
          <v:shape style="position:absolute;margin-left:69pt;margin-top:20.885937pt;width:444.9pt;height:47.75pt;mso-position-horizontal-relative:page;mso-position-vertical-relative:paragraph;z-index:556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60"/>
                    <w:gridCol w:w="910"/>
                    <w:gridCol w:w="370"/>
                    <w:gridCol w:w="200"/>
                    <w:gridCol w:w="790"/>
                    <w:gridCol w:w="330"/>
                    <w:gridCol w:w="2537"/>
                  </w:tblGrid>
                  <w:tr>
                    <w:trPr>
                      <w:trHeight w:val="320" w:hRule="exact"/>
                    </w:trPr>
                    <w:tc>
                      <w:tcPr>
                        <w:tcW w:w="3760" w:type="dxa"/>
                      </w:tcPr>
                      <w:p>
                        <w:pPr>
                          <w:pStyle w:val="TableParagraph"/>
                          <w:spacing w:before="63"/>
                          <w:rPr>
                            <w:b/>
                            <w:sz w:val="20"/>
                          </w:rPr>
                        </w:pPr>
                        <w:r>
                          <w:rPr>
                            <w:b/>
                            <w:color w:val="231F20"/>
                            <w:sz w:val="20"/>
                          </w:rPr>
                          <w:t>(in millions)</w:t>
                        </w:r>
                      </w:p>
                    </w:tc>
                    <w:tc>
                      <w:tcPr>
                        <w:tcW w:w="910" w:type="dxa"/>
                        <w:tcBorders>
                          <w:top w:val="single" w:sz="8" w:space="0" w:color="231F20"/>
                          <w:bottom w:val="single" w:sz="8" w:space="0" w:color="231F20"/>
                        </w:tcBorders>
                      </w:tcPr>
                      <w:p>
                        <w:pPr>
                          <w:pStyle w:val="TableParagraph"/>
                          <w:ind w:left="440"/>
                          <w:rPr>
                            <w:b/>
                            <w:sz w:val="20"/>
                          </w:rPr>
                        </w:pPr>
                        <w:r>
                          <w:rPr>
                            <w:b/>
                            <w:color w:val="231F20"/>
                            <w:sz w:val="20"/>
                          </w:rPr>
                          <w:t>2016</w:t>
                        </w:r>
                      </w:p>
                    </w:tc>
                    <w:tc>
                      <w:tcPr>
                        <w:tcW w:w="370" w:type="dxa"/>
                        <w:tcBorders>
                          <w:top w:val="single" w:sz="8" w:space="0" w:color="231F20"/>
                          <w:bottom w:val="single" w:sz="8" w:space="0" w:color="231F20"/>
                        </w:tcBorders>
                      </w:tcPr>
                      <w:p>
                        <w:pPr/>
                      </w:p>
                    </w:tc>
                    <w:tc>
                      <w:tcPr>
                        <w:tcW w:w="200" w:type="dxa"/>
                        <w:tcBorders>
                          <w:top w:val="single" w:sz="8" w:space="0" w:color="231F20"/>
                        </w:tcBorders>
                      </w:tcPr>
                      <w:p>
                        <w:pPr/>
                      </w:p>
                    </w:tc>
                    <w:tc>
                      <w:tcPr>
                        <w:tcW w:w="790" w:type="dxa"/>
                        <w:tcBorders>
                          <w:top w:val="single" w:sz="8" w:space="0" w:color="231F20"/>
                          <w:bottom w:val="single" w:sz="8" w:space="0" w:color="231F20"/>
                        </w:tcBorders>
                      </w:tcPr>
                      <w:p>
                        <w:pPr>
                          <w:pStyle w:val="TableParagraph"/>
                          <w:ind w:left="360"/>
                          <w:rPr>
                            <w:b/>
                            <w:sz w:val="20"/>
                          </w:rPr>
                        </w:pPr>
                        <w:r>
                          <w:rPr>
                            <w:b/>
                            <w:color w:val="231F20"/>
                            <w:sz w:val="20"/>
                          </w:rPr>
                          <w:t>2015</w:t>
                        </w:r>
                      </w:p>
                    </w:tc>
                    <w:tc>
                      <w:tcPr>
                        <w:tcW w:w="330" w:type="dxa"/>
                        <w:tcBorders>
                          <w:top w:val="single" w:sz="8" w:space="0" w:color="231F20"/>
                          <w:bottom w:val="single" w:sz="8" w:space="0" w:color="231F20"/>
                        </w:tcBorders>
                      </w:tcPr>
                      <w:p>
                        <w:pPr/>
                      </w:p>
                    </w:tc>
                    <w:tc>
                      <w:tcPr>
                        <w:tcW w:w="2537" w:type="dxa"/>
                      </w:tcPr>
                      <w:p>
                        <w:pPr>
                          <w:pStyle w:val="TableParagraph"/>
                          <w:spacing w:before="63"/>
                          <w:ind w:left="531" w:right="31"/>
                          <w:jc w:val="center"/>
                          <w:rPr>
                            <w:b/>
                            <w:sz w:val="20"/>
                          </w:rPr>
                        </w:pPr>
                        <w:r>
                          <w:rPr>
                            <w:b/>
                            <w:color w:val="231F20"/>
                            <w:sz w:val="20"/>
                          </w:rPr>
                          <w:t>on derivatives</w:t>
                        </w:r>
                      </w:p>
                    </w:tc>
                  </w:tr>
                  <w:tr>
                    <w:trPr>
                      <w:trHeight w:val="310" w:hRule="exact"/>
                    </w:trPr>
                    <w:tc>
                      <w:tcPr>
                        <w:tcW w:w="3760" w:type="dxa"/>
                        <w:shd w:val="clear" w:color="auto" w:fill="D1D3D4"/>
                      </w:tcPr>
                      <w:p>
                        <w:pPr>
                          <w:pStyle w:val="TableParagraph"/>
                          <w:spacing w:before="63"/>
                          <w:rPr>
                            <w:sz w:val="20"/>
                          </w:rPr>
                        </w:pPr>
                        <w:r>
                          <w:rPr>
                            <w:color w:val="231F20"/>
                            <w:sz w:val="20"/>
                          </w:rPr>
                          <w:t>Fuel derivative contracts</w:t>
                        </w:r>
                      </w:p>
                    </w:tc>
                    <w:tc>
                      <w:tcPr>
                        <w:tcW w:w="910" w:type="dxa"/>
                        <w:tcBorders>
                          <w:top w:val="single" w:sz="8" w:space="0" w:color="231F20"/>
                        </w:tcBorders>
                        <w:shd w:val="clear" w:color="auto" w:fill="D1D3D4"/>
                      </w:tcPr>
                      <w:p>
                        <w:pPr>
                          <w:pStyle w:val="TableParagraph"/>
                          <w:rPr>
                            <w:sz w:val="20"/>
                          </w:rPr>
                        </w:pPr>
                        <w:r>
                          <w:rPr>
                            <w:color w:val="231F20"/>
                            <w:sz w:val="20"/>
                          </w:rPr>
                          <w:t>$</w:t>
                        </w:r>
                      </w:p>
                    </w:tc>
                    <w:tc>
                      <w:tcPr>
                        <w:tcW w:w="370" w:type="dxa"/>
                        <w:tcBorders>
                          <w:top w:val="single" w:sz="8" w:space="0" w:color="231F20"/>
                        </w:tcBorders>
                        <w:shd w:val="clear" w:color="auto" w:fill="D1D3D4"/>
                      </w:tcPr>
                      <w:p>
                        <w:pPr>
                          <w:pStyle w:val="TableParagraph"/>
                          <w:ind w:left="70"/>
                          <w:rPr>
                            <w:sz w:val="20"/>
                          </w:rPr>
                        </w:pPr>
                        <w:r>
                          <w:rPr>
                            <w:color w:val="231F20"/>
                            <w:sz w:val="20"/>
                          </w:rPr>
                          <w:t>14</w:t>
                        </w:r>
                      </w:p>
                    </w:tc>
                    <w:tc>
                      <w:tcPr>
                        <w:tcW w:w="200" w:type="dxa"/>
                        <w:shd w:val="clear" w:color="auto" w:fill="D1D3D4"/>
                      </w:tcPr>
                      <w:p>
                        <w:pPr/>
                      </w:p>
                    </w:tc>
                    <w:tc>
                      <w:tcPr>
                        <w:tcW w:w="790" w:type="dxa"/>
                        <w:tcBorders>
                          <w:top w:val="single" w:sz="8" w:space="0" w:color="231F20"/>
                        </w:tcBorders>
                        <w:shd w:val="clear" w:color="auto" w:fill="D1D3D4"/>
                      </w:tcPr>
                      <w:p>
                        <w:pPr>
                          <w:pStyle w:val="TableParagraph"/>
                          <w:rPr>
                            <w:sz w:val="20"/>
                          </w:rPr>
                        </w:pPr>
                        <w:r>
                          <w:rPr>
                            <w:color w:val="231F20"/>
                            <w:sz w:val="20"/>
                          </w:rPr>
                          <w:t>$</w:t>
                        </w:r>
                      </w:p>
                    </w:tc>
                    <w:tc>
                      <w:tcPr>
                        <w:tcW w:w="330" w:type="dxa"/>
                        <w:tcBorders>
                          <w:top w:val="single" w:sz="8" w:space="0" w:color="231F20"/>
                        </w:tcBorders>
                        <w:shd w:val="clear" w:color="auto" w:fill="D1D3D4"/>
                      </w:tcPr>
                      <w:p>
                        <w:pPr>
                          <w:pStyle w:val="TableParagraph"/>
                          <w:jc w:val="right"/>
                          <w:rPr>
                            <w:sz w:val="20"/>
                          </w:rPr>
                        </w:pPr>
                        <w:r>
                          <w:rPr>
                            <w:color w:val="231F20"/>
                            <w:sz w:val="20"/>
                          </w:rPr>
                          <w:t>444</w:t>
                        </w:r>
                      </w:p>
                    </w:tc>
                    <w:tc>
                      <w:tcPr>
                        <w:tcW w:w="2537" w:type="dxa"/>
                        <w:shd w:val="clear" w:color="auto" w:fill="D1D3D4"/>
                      </w:tcPr>
                      <w:p>
                        <w:pPr>
                          <w:pStyle w:val="TableParagraph"/>
                          <w:spacing w:before="63"/>
                          <w:ind w:left="532" w:right="31"/>
                          <w:jc w:val="center"/>
                          <w:rPr>
                            <w:sz w:val="20"/>
                          </w:rPr>
                        </w:pPr>
                        <w:r>
                          <w:rPr>
                            <w:color w:val="231F20"/>
                            <w:sz w:val="20"/>
                          </w:rPr>
                          <w:t>Other (gains) losses, net</w:t>
                        </w:r>
                      </w:p>
                    </w:tc>
                  </w:tr>
                  <w:tr>
                    <w:trPr>
                      <w:trHeight w:val="315" w:hRule="exact"/>
                    </w:trPr>
                    <w:tc>
                      <w:tcPr>
                        <w:tcW w:w="3760" w:type="dxa"/>
                      </w:tcPr>
                      <w:p>
                        <w:pPr>
                          <w:pStyle w:val="TableParagraph"/>
                          <w:rPr>
                            <w:sz w:val="20"/>
                          </w:rPr>
                        </w:pPr>
                        <w:r>
                          <w:rPr>
                            <w:color w:val="231F20"/>
                            <w:sz w:val="20"/>
                          </w:rPr>
                          <w:t>Interest rate derivatives</w:t>
                        </w:r>
                      </w:p>
                    </w:tc>
                    <w:tc>
                      <w:tcPr>
                        <w:tcW w:w="910" w:type="dxa"/>
                        <w:tcBorders>
                          <w:bottom w:val="single" w:sz="4" w:space="0" w:color="231F20"/>
                        </w:tcBorders>
                      </w:tcPr>
                      <w:p>
                        <w:pPr/>
                      </w:p>
                    </w:tc>
                    <w:tc>
                      <w:tcPr>
                        <w:tcW w:w="370" w:type="dxa"/>
                        <w:tcBorders>
                          <w:bottom w:val="single" w:sz="4" w:space="0" w:color="231F20"/>
                        </w:tcBorders>
                      </w:tcPr>
                      <w:p>
                        <w:pPr>
                          <w:pStyle w:val="TableParagraph"/>
                          <w:ind w:left="136"/>
                          <w:rPr>
                            <w:sz w:val="20"/>
                          </w:rPr>
                        </w:pPr>
                        <w:r>
                          <w:rPr>
                            <w:color w:val="231F20"/>
                            <w:sz w:val="20"/>
                          </w:rPr>
                          <w:t>(2)</w:t>
                        </w:r>
                      </w:p>
                    </w:tc>
                    <w:tc>
                      <w:tcPr>
                        <w:tcW w:w="200" w:type="dxa"/>
                      </w:tcPr>
                      <w:p>
                        <w:pPr/>
                      </w:p>
                    </w:tc>
                    <w:tc>
                      <w:tcPr>
                        <w:tcW w:w="790" w:type="dxa"/>
                        <w:tcBorders>
                          <w:bottom w:val="single" w:sz="4" w:space="0" w:color="231F20"/>
                        </w:tcBorders>
                      </w:tcPr>
                      <w:p>
                        <w:pPr/>
                      </w:p>
                    </w:tc>
                    <w:tc>
                      <w:tcPr>
                        <w:tcW w:w="330" w:type="dxa"/>
                        <w:tcBorders>
                          <w:bottom w:val="single" w:sz="4" w:space="0" w:color="231F20"/>
                        </w:tcBorders>
                      </w:tcPr>
                      <w:p>
                        <w:pPr>
                          <w:pStyle w:val="TableParagraph"/>
                          <w:jc w:val="right"/>
                          <w:rPr>
                            <w:sz w:val="20"/>
                          </w:rPr>
                        </w:pPr>
                        <w:r>
                          <w:rPr>
                            <w:color w:val="231F20"/>
                            <w:sz w:val="20"/>
                          </w:rPr>
                          <w:t>—</w:t>
                        </w:r>
                      </w:p>
                    </w:tc>
                    <w:tc>
                      <w:tcPr>
                        <w:tcW w:w="2537" w:type="dxa"/>
                      </w:tcPr>
                      <w:p>
                        <w:pPr>
                          <w:pStyle w:val="TableParagraph"/>
                          <w:ind w:left="532" w:right="30"/>
                          <w:jc w:val="center"/>
                          <w:rPr>
                            <w:sz w:val="20"/>
                          </w:rPr>
                        </w:pPr>
                        <w:r>
                          <w:rPr>
                            <w:color w:val="231F20"/>
                            <w:sz w:val="20"/>
                          </w:rPr>
                          <w:t>Interest Expense</w:t>
                        </w:r>
                      </w:p>
                    </w:tc>
                  </w:tr>
                </w:tbl>
                <w:p>
                  <w:pPr>
                    <w:pStyle w:val="BodyText"/>
                  </w:pPr>
                </w:p>
              </w:txbxContent>
            </v:textbox>
            <w10:wrap type="none"/>
          </v:shape>
        </w:pict>
      </w:r>
      <w:r>
        <w:rPr>
          <w:b/>
          <w:color w:val="231F20"/>
          <w:sz w:val="20"/>
        </w:rPr>
        <w:t>Location of (gain) loss recognized in income</w:t>
      </w:r>
    </w:p>
    <w:p>
      <w:pPr>
        <w:spacing w:after="0" w:line="249" w:lineRule="auto"/>
        <w:jc w:val="left"/>
        <w:rPr>
          <w:sz w:val="20"/>
        </w:rPr>
        <w:sectPr>
          <w:type w:val="continuous"/>
          <w:pgSz w:w="11880" w:h="15480"/>
          <w:pgMar w:top="1260" w:bottom="280" w:left="1260" w:right="1260"/>
          <w:cols w:num="2" w:equalWidth="0">
            <w:col w:w="6212" w:space="40"/>
            <w:col w:w="3108"/>
          </w:cols>
        </w:sectPr>
      </w:pPr>
    </w:p>
    <w:p>
      <w:pPr>
        <w:pStyle w:val="BodyText"/>
        <w:spacing w:before="6"/>
        <w:rPr>
          <w:b/>
          <w:sz w:val="21"/>
        </w:rPr>
      </w:pPr>
    </w:p>
    <w:p>
      <w:pPr>
        <w:pStyle w:val="BodyText"/>
        <w:ind w:left="110"/>
        <w:rPr>
          <w:sz w:val="20"/>
        </w:rPr>
      </w:pPr>
      <w:r>
        <w:rPr>
          <w:sz w:val="20"/>
        </w:rPr>
        <w:pict>
          <v:group style="width:457pt;height:16pt;mso-position-horizontal-relative:char;mso-position-vertical-relative:line" coordorigin="0,0" coordsize="9140,320">
            <v:rect style="position:absolute;left:10;top:20;width:9120;height:300" filled="true" fillcolor="#d1d3d4" stroked="false">
              <v:fill type="solid"/>
            </v:rect>
            <v:line style="position:absolute" from="6530,10" to="9130,10" stroked="true" strokeweight="1pt" strokecolor="#231f20">
              <v:stroke dashstyle="solid"/>
            </v:line>
            <v:line style="position:absolute" from="10,10" to="1041,10" stroked="true" strokeweight="1pt" strokecolor="#231f20">
              <v:stroke dashstyle="solid"/>
            </v:line>
          </v:group>
        </w:pict>
      </w:r>
      <w:r>
        <w:rPr>
          <w:sz w:val="20"/>
        </w:rPr>
      </w:r>
    </w:p>
    <w:p>
      <w:pPr>
        <w:pStyle w:val="BodyText"/>
        <w:spacing w:before="6"/>
        <w:rPr>
          <w:b/>
          <w:sz w:val="23"/>
        </w:rPr>
      </w:pPr>
      <w:r>
        <w:rPr/>
        <w:pict>
          <v:shape style="position:absolute;margin-left:69pt;margin-top:14.75pt;width:456pt;height:15pt;mso-position-horizontal-relative:page;mso-position-vertical-relative:paragraph;z-index:5368;mso-wrap-distance-left:0;mso-wrap-distance-right:0" type="#_x0000_t202" filled="true" fillcolor="#d1d3d4" stroked="false">
            <v:textbox inset="0,0,0,0">
              <w:txbxContent>
                <w:p>
                  <w:pPr>
                    <w:tabs>
                      <w:tab w:pos="3759" w:val="left" w:leader="none"/>
                      <w:tab w:pos="4739" w:val="left" w:leader="none"/>
                      <w:tab w:pos="5239" w:val="left" w:leader="none"/>
                      <w:tab w:pos="6359" w:val="right" w:leader="none"/>
                    </w:tabs>
                    <w:spacing w:before="53"/>
                    <w:ind w:left="200" w:right="0" w:firstLine="0"/>
                    <w:jc w:val="left"/>
                    <w:rPr>
                      <w:sz w:val="20"/>
                    </w:rPr>
                  </w:pPr>
                  <w:r>
                    <w:rPr>
                      <w:color w:val="231F20"/>
                      <w:sz w:val="20"/>
                    </w:rPr>
                    <w:t>Total</w:t>
                    <w:tab/>
                    <w:t>$</w:t>
                    <w:tab/>
                    <w:t>12</w:t>
                    <w:tab/>
                    <w:t>$</w:t>
                    <w:tab/>
                    <w:t>444</w:t>
                  </w:r>
                </w:p>
              </w:txbxContent>
            </v:textbox>
            <v:fill type="solid"/>
            <w10:wrap type="topAndBottom"/>
          </v:shape>
        </w:pict>
      </w:r>
    </w:p>
    <w:p>
      <w:pPr>
        <w:spacing w:line="50" w:lineRule="exact"/>
        <w:ind w:left="3875" w:right="0" w:firstLine="0"/>
        <w:rPr>
          <w:sz w:val="5"/>
        </w:rPr>
      </w:pPr>
      <w:r>
        <w:rPr>
          <w:position w:val="0"/>
          <w:sz w:val="5"/>
        </w:rPr>
        <w:pict>
          <v:group style="width:64.5pt;height:2.5pt;mso-position-horizontal-relative:char;mso-position-vertical-relative:line" coordorigin="0,0" coordsize="1290,50">
            <v:line style="position:absolute" from="5,5" to="1285,5" stroked="true" strokeweight=".5pt" strokecolor="#231f20">
              <v:stroke dashstyle="solid"/>
            </v:line>
            <v:line style="position:absolute" from="5,45" to="1285,45" stroked="true" strokeweight=".5pt" strokecolor="#231f20">
              <v:stroke dashstyle="solid"/>
            </v:line>
          </v:group>
        </w:pict>
      </w:r>
      <w:r>
        <w:rPr>
          <w:position w:val="0"/>
          <w:sz w:val="5"/>
        </w:rPr>
      </w:r>
      <w:r>
        <w:rPr>
          <w:spacing w:val="152"/>
          <w:position w:val="0"/>
          <w:sz w:val="5"/>
        </w:rPr>
        <w:t> </w:t>
      </w:r>
      <w:r>
        <w:rPr>
          <w:spacing w:val="152"/>
          <w:position w:val="0"/>
          <w:sz w:val="5"/>
        </w:rPr>
        <w:pict>
          <v:group style="width:56.5pt;height:2.5pt;mso-position-horizontal-relative:char;mso-position-vertical-relative:line" coordorigin="0,0" coordsize="1130,50">
            <v:line style="position:absolute" from="5,5" to="1125,5" stroked="true" strokeweight=".5pt" strokecolor="#231f20">
              <v:stroke dashstyle="solid"/>
            </v:line>
            <v:line style="position:absolute" from="5,45" to="1125,45" stroked="true" strokeweight=".5pt" strokecolor="#231f20">
              <v:stroke dashstyle="solid"/>
            </v:line>
          </v:group>
        </w:pict>
      </w:r>
      <w:r>
        <w:rPr>
          <w:spacing w:val="152"/>
          <w:position w:val="0"/>
          <w:sz w:val="5"/>
        </w:rPr>
      </w:r>
    </w:p>
    <w:p>
      <w:pPr>
        <w:pStyle w:val="BodyText"/>
        <w:spacing w:before="1"/>
        <w:rPr>
          <w:b/>
          <w:sz w:val="17"/>
        </w:rPr>
      </w:pPr>
    </w:p>
    <w:p>
      <w:pPr>
        <w:pStyle w:val="BodyText"/>
        <w:spacing w:line="247" w:lineRule="auto" w:before="93"/>
        <w:ind w:left="120" w:right="117"/>
        <w:jc w:val="both"/>
      </w:pPr>
      <w:r>
        <w:rPr>
          <w:color w:val="231F20"/>
        </w:rPr>
        <w:t>The Company also recorded expense associated with premiums paid for fuel derivative contracts that settled/expired during 2016, 2015, and 2014 of $153 million, $124 million, and $62 million, respectively. These amounts are excluded from the Company’s measurement of effectiveness for related hedges and are included as a component of Other (gains) losses, net, in the Consolidated Statement of Income.</w:t>
      </w:r>
    </w:p>
    <w:p>
      <w:pPr>
        <w:pStyle w:val="BodyText"/>
        <w:spacing w:before="9"/>
        <w:rPr>
          <w:sz w:val="20"/>
        </w:rPr>
      </w:pPr>
    </w:p>
    <w:p>
      <w:pPr>
        <w:pStyle w:val="BodyText"/>
        <w:spacing w:line="247" w:lineRule="auto"/>
        <w:ind w:left="120" w:right="117"/>
        <w:jc w:val="both"/>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2016, recorded in AOCI, were approximately $302 million in unrealized losses, net of taxes, which are expected to be realized in earnings during the twelve months subsequent to December 31, 2016.</w:t>
      </w:r>
    </w:p>
    <w:p>
      <w:pPr>
        <w:spacing w:after="0" w:line="247" w:lineRule="auto"/>
        <w:jc w:val="both"/>
        <w:sectPr>
          <w:type w:val="continuous"/>
          <w:pgSz w:w="11880" w:h="15480"/>
          <w:pgMar w:top="1260" w:bottom="280" w:left="1260" w:right="1260"/>
        </w:sectPr>
      </w:pPr>
    </w:p>
    <w:p>
      <w:pPr>
        <w:pStyle w:val="Heading2"/>
        <w:spacing w:before="74"/>
        <w:ind w:left="100"/>
        <w:jc w:val="both"/>
        <w:rPr>
          <w:i/>
        </w:rPr>
      </w:pPr>
      <w:r>
        <w:rPr>
          <w:i/>
          <w:color w:val="231F20"/>
        </w:rPr>
        <w:t>Interest Rate Swaps</w:t>
      </w:r>
    </w:p>
    <w:p>
      <w:pPr>
        <w:pStyle w:val="BodyText"/>
        <w:rPr>
          <w:b/>
          <w:i/>
          <w:sz w:val="23"/>
        </w:rPr>
      </w:pPr>
    </w:p>
    <w:p>
      <w:pPr>
        <w:pStyle w:val="BodyText"/>
        <w:spacing w:line="247" w:lineRule="auto" w:before="1"/>
        <w:ind w:left="100" w:right="117"/>
        <w:jc w:val="both"/>
      </w:pPr>
      <w:r>
        <w:rPr>
          <w:color w:val="231F20"/>
        </w:rPr>
        <w:t>The Company is party to certain interest rate swap agreements that are accounted for as either fair  value hedges or cash flow hedges, as defined in the applicable accounting guidance for derivative instruments and hedging. Several of the Company’s interest rate swap agreements qualify for the “shortcut” method of accounting for hedges, which dictates that the hedges are assumed to be perfectly effective, and, thus, there is no ineffectiveness to be recorded in earnings. For the Company’s interest rate swap agreements that do not qualify for the “shortcut” method of accounting, ineffectiveness is required to be measured at each reporting period. The ineffectiveness associated with all of the Company’s, including AirTran Holdings’, interest rate swap agreements for all periods presented was not</w:t>
      </w:r>
      <w:r>
        <w:rPr>
          <w:color w:val="231F20"/>
          <w:spacing w:val="-1"/>
        </w:rPr>
        <w:t> </w:t>
      </w:r>
      <w:r>
        <w:rPr>
          <w:color w:val="231F20"/>
        </w:rPr>
        <w:t>material.</w:t>
      </w:r>
    </w:p>
    <w:p>
      <w:pPr>
        <w:pStyle w:val="BodyText"/>
        <w:spacing w:before="5"/>
      </w:pPr>
    </w:p>
    <w:p>
      <w:pPr>
        <w:pStyle w:val="BodyText"/>
        <w:spacing w:line="247" w:lineRule="auto" w:before="1"/>
        <w:ind w:left="100" w:right="117"/>
        <w:jc w:val="both"/>
      </w:pPr>
      <w:r>
        <w:rPr>
          <w:color w:val="231F20"/>
        </w:rPr>
        <w:t>The fair values of the interest rate swap agreements, which are adjusted regularly, have been aggregated by counterparty for classification in the Consolidated Balance Sheet. Agreements totaling a net liability of $35 million are fair value hedges, cash flow hedges, and interest rate derivatives not utilizing hedge accounting, are classified as a component of Other noncurrent liabilities. The corresponding adjustment related to the net liability associated with the Company’s cash flow hedges  is to AOCI, fair value hedges is to the carrying value of the long-term debt, and interest rate derivatives not utilizing hedge accounting is to Interest expense. See Note</w:t>
      </w:r>
      <w:r>
        <w:rPr>
          <w:color w:val="231F20"/>
          <w:spacing w:val="-2"/>
        </w:rPr>
        <w:t> </w:t>
      </w:r>
      <w:r>
        <w:rPr>
          <w:color w:val="231F20"/>
        </w:rPr>
        <w:t>12.</w:t>
      </w:r>
    </w:p>
    <w:p>
      <w:pPr>
        <w:pStyle w:val="BodyText"/>
        <w:spacing w:before="5"/>
      </w:pPr>
    </w:p>
    <w:p>
      <w:pPr>
        <w:pStyle w:val="BodyText"/>
        <w:spacing w:before="1"/>
        <w:ind w:left="100"/>
        <w:jc w:val="both"/>
      </w:pPr>
      <w:r>
        <w:rPr>
          <w:color w:val="231F20"/>
        </w:rPr>
        <w:t>The  Company  has  fixed-to-floating  interest  rate  swap  agreements  in  place  associated  with       its</w:t>
      </w:r>
    </w:p>
    <w:p>
      <w:pPr>
        <w:pStyle w:val="BodyText"/>
        <w:spacing w:line="247" w:lineRule="auto" w:before="7"/>
        <w:ind w:left="100" w:right="117"/>
        <w:jc w:val="both"/>
      </w:pPr>
      <w:r>
        <w:rPr>
          <w:color w:val="231F20"/>
        </w:rPr>
        <w:t>$500 million 2.65 percent Notes due 2020 and its $300 million 2.75 percent Notes due 2019 that are accounted for as fair value hedges. As a result of the fixed-to-floating interest rate swap agreements in place,  the  average  floating  rate  recognized  during  2016  was  approximately  2.03  percent  on   the</w:t>
      </w:r>
    </w:p>
    <w:p>
      <w:pPr>
        <w:pStyle w:val="BodyText"/>
        <w:spacing w:line="247" w:lineRule="auto"/>
        <w:ind w:left="100" w:right="118"/>
        <w:jc w:val="both"/>
      </w:pPr>
      <w:r>
        <w:rPr>
          <w:color w:val="231F20"/>
        </w:rPr>
        <w:t>$500 million Note, and approximately 1.85 percent on the $300 million Note, based on actual and forward rates as of December 31, 2016.</w:t>
      </w:r>
    </w:p>
    <w:p>
      <w:pPr>
        <w:pStyle w:val="BodyText"/>
        <w:spacing w:before="6"/>
      </w:pPr>
    </w:p>
    <w:p>
      <w:pPr>
        <w:pStyle w:val="BodyText"/>
        <w:spacing w:line="247" w:lineRule="auto"/>
        <w:ind w:left="100" w:right="117"/>
        <w:jc w:val="both"/>
      </w:pPr>
      <w:r>
        <w:rPr>
          <w:color w:val="231F20"/>
        </w:rPr>
        <w:t>The Company has floating-to-fixed interest rate swap agreements associated with its $600 million floating-rate term loan agreement due 2020 and its $332 million term loan agreement due 2019 that are accounted for as cash flow hedges. These interest rate hedges have fixed the interest rate on the</w:t>
      </w:r>
    </w:p>
    <w:p>
      <w:pPr>
        <w:pStyle w:val="BodyText"/>
        <w:spacing w:line="247" w:lineRule="auto"/>
        <w:ind w:left="100" w:right="117"/>
        <w:jc w:val="both"/>
      </w:pPr>
      <w:r>
        <w:rPr>
          <w:color w:val="231F20"/>
        </w:rPr>
        <w:t>$600 million floating-rate term loan agreement at 5.223 percent until maturity, and for the $332 million term loan agreement at 6.315 percent until maturity.</w:t>
      </w:r>
    </w:p>
    <w:p>
      <w:pPr>
        <w:pStyle w:val="BodyText"/>
        <w:spacing w:before="6"/>
      </w:pPr>
    </w:p>
    <w:p>
      <w:pPr>
        <w:pStyle w:val="BodyText"/>
        <w:spacing w:line="247" w:lineRule="auto"/>
        <w:ind w:left="100" w:right="117"/>
        <w:jc w:val="both"/>
      </w:pPr>
      <w:r>
        <w:rPr>
          <w:color w:val="231F20"/>
        </w:rPr>
        <w:t>There are also a number of interest rate swap agreements, which convert a portion of AirTran  Holdings’ floating-rate debt to a fixed-rate basis for the remaining life of the debt, thus reducing the impact of interest rate changes on future interest expense and cash flows. Under these agreements, which expire between 2017 and 2020, it pays fixed rates between 4.35 percent and 6.435 percent and receives either three-month or six-month LIBOR on the notional values. The notional amount of outstanding debt related to interest rate swaps as of December 31, 2016, was $166 million. These interest rate swap arrangements were designated as cash flow hedges as of the acquisition date, and subsequently de-designated during fourth quarter 2016 as the Company no longer believes these  hedges will be highly effective in offsetting future cash flows. The mark-to-market impact associated with these hedges for all periods presented was not</w:t>
      </w:r>
      <w:r>
        <w:rPr>
          <w:color w:val="231F20"/>
          <w:spacing w:val="-2"/>
        </w:rPr>
        <w:t> </w:t>
      </w:r>
      <w:r>
        <w:rPr>
          <w:color w:val="231F20"/>
        </w:rPr>
        <w:t>material.</w:t>
      </w:r>
    </w:p>
    <w:p>
      <w:pPr>
        <w:pStyle w:val="BodyText"/>
        <w:spacing w:before="5"/>
      </w:pPr>
    </w:p>
    <w:p>
      <w:pPr>
        <w:pStyle w:val="Heading2"/>
        <w:ind w:left="100"/>
        <w:jc w:val="both"/>
        <w:rPr>
          <w:i/>
        </w:rPr>
      </w:pPr>
      <w:r>
        <w:rPr>
          <w:i/>
          <w:color w:val="231F20"/>
        </w:rPr>
        <w:t>Credit Risk and Collateral</w:t>
      </w:r>
    </w:p>
    <w:p>
      <w:pPr>
        <w:pStyle w:val="BodyText"/>
        <w:rPr>
          <w:b/>
          <w:i/>
          <w:sz w:val="23"/>
        </w:rPr>
      </w:pPr>
    </w:p>
    <w:p>
      <w:pPr>
        <w:pStyle w:val="BodyText"/>
        <w:spacing w:line="247" w:lineRule="auto" w:before="1"/>
        <w:ind w:left="100" w:right="118"/>
        <w:jc w:val="both"/>
      </w:pPr>
      <w:r>
        <w:rPr>
          <w:color w:val="231F20"/>
        </w:rPr>
        <w:t>Credit exposure related to fuel derivative instruments is represented by the fair value of contracts that are an asset to the Company at the reporting date. At such times, these outstanding instruments </w:t>
      </w:r>
      <w:r>
        <w:rPr>
          <w:color w:val="231F20"/>
          <w:spacing w:val="51"/>
        </w:rPr>
        <w:t> </w:t>
      </w:r>
      <w:r>
        <w:rPr>
          <w:color w:val="231F20"/>
        </w:rPr>
        <w:t>expose</w:t>
      </w:r>
    </w:p>
    <w:p>
      <w:pPr>
        <w:spacing w:after="0" w:line="247" w:lineRule="auto"/>
        <w:jc w:val="both"/>
        <w:sectPr>
          <w:pgSz w:w="11880" w:h="15480"/>
          <w:pgMar w:header="0" w:footer="1240" w:top="1240" w:bottom="1420" w:left="1280" w:right="1260"/>
        </w:sectPr>
      </w:pPr>
    </w:p>
    <w:p>
      <w:pPr>
        <w:pStyle w:val="BodyText"/>
        <w:spacing w:line="247" w:lineRule="auto" w:before="74"/>
        <w:ind w:left="120" w:right="117"/>
        <w:jc w:val="both"/>
      </w:pPr>
      <w:r>
        <w:rPr>
          <w:color w:val="231F20"/>
        </w:rPr>
        <w:t>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with respect to each counterparty, and monitors the market position of the fuel hedging program and its relative market position with each counterparty. At December 31, 2016, the Company had agreements with all of its active counterparties containing early termination rights and/or bilateral collateral provisions whereby security is required if market risk exposure exceeds a specified threshold amount based on the counterparty credit rating. The Company also had agreements with counterparties in which cash deposits, letters of credit, and/or pledged aircraft are required to be posted whenever the net fair value of derivatives associated with those counterparties exceeds specific thresholds. The following table provides the fair values of fuel derivatives, amounts posted as collateral, and applicable collateral posting threshold amounts as of December 31, 2016, at which such postings are triggered:</w:t>
      </w:r>
    </w:p>
    <w:p>
      <w:pPr>
        <w:spacing w:before="198" w:after="17"/>
        <w:ind w:left="1066" w:right="95" w:firstLine="0"/>
        <w:jc w:val="center"/>
        <w:rPr>
          <w:b/>
          <w:sz w:val="20"/>
        </w:rPr>
      </w:pPr>
      <w:r>
        <w:rPr>
          <w:b/>
          <w:color w:val="231F20"/>
          <w:sz w:val="20"/>
        </w:rPr>
        <w:t>Counterparty (CP)</w:t>
      </w:r>
    </w:p>
    <w:p>
      <w:pPr>
        <w:pStyle w:val="BodyText"/>
        <w:spacing w:line="20" w:lineRule="exact"/>
        <w:ind w:left="1962"/>
        <w:rPr>
          <w:sz w:val="2"/>
        </w:rPr>
      </w:pPr>
      <w:r>
        <w:rPr>
          <w:sz w:val="2"/>
        </w:rPr>
        <w:pict>
          <v:group style="width:320.4pt;height:1pt;mso-position-horizontal-relative:char;mso-position-vertical-relative:line" coordorigin="0,0" coordsize="6408,20">
            <v:line style="position:absolute" from="10,10" to="6398,10" stroked="true" strokeweight="1pt" strokecolor="#231f20">
              <v:stroke dashstyle="solid"/>
            </v:line>
          </v:group>
        </w:pict>
      </w:r>
      <w:r>
        <w:rPr>
          <w:sz w:val="2"/>
        </w:rPr>
      </w:r>
    </w:p>
    <w:p>
      <w:pPr>
        <w:tabs>
          <w:tab w:pos="2293" w:val="left" w:leader="none"/>
          <w:tab w:pos="3297" w:val="left" w:leader="none"/>
          <w:tab w:pos="4171" w:val="left" w:leader="none"/>
          <w:tab w:pos="5069" w:val="left" w:leader="none"/>
          <w:tab w:pos="6123" w:val="left" w:leader="none"/>
          <w:tab w:pos="7067" w:val="left" w:leader="none"/>
          <w:tab w:pos="7765" w:val="left" w:leader="none"/>
          <w:tab w:pos="8717" w:val="left" w:leader="none"/>
        </w:tabs>
        <w:spacing w:before="10" w:after="35"/>
        <w:ind w:left="120" w:right="0" w:firstLine="0"/>
        <w:jc w:val="left"/>
        <w:rPr>
          <w:b/>
          <w:sz w:val="16"/>
        </w:rPr>
      </w:pPr>
      <w:r>
        <w:rPr/>
        <w:pict>
          <v:line style="position:absolute;mso-position-horizontal-relative:page;mso-position-vertical-relative:paragraph;z-index:-373480" from="69pt,11.71875pt" to="108.6pt,11.71875pt" stroked="true" strokeweight=".5pt" strokecolor="#231f20">
            <v:stroke dashstyle="solid"/>
            <w10:wrap type="none"/>
          </v:line>
        </w:pict>
      </w:r>
      <w:r>
        <w:rPr>
          <w:color w:val="231F20"/>
          <w:sz w:val="16"/>
        </w:rPr>
        <w:t>(in</w:t>
      </w:r>
      <w:r>
        <w:rPr>
          <w:color w:val="231F20"/>
          <w:spacing w:val="-1"/>
          <w:sz w:val="16"/>
        </w:rPr>
        <w:t> </w:t>
      </w:r>
      <w:r>
        <w:rPr>
          <w:color w:val="231F20"/>
          <w:sz w:val="16"/>
        </w:rPr>
        <w:t>millions)</w:t>
        <w:tab/>
      </w:r>
      <w:r>
        <w:rPr>
          <w:b/>
          <w:color w:val="231F20"/>
          <w:sz w:val="16"/>
        </w:rPr>
        <w:t>A</w:t>
        <w:tab/>
        <w:t>B</w:t>
        <w:tab/>
        <w:t>C</w:t>
        <w:tab/>
        <w:t>D</w:t>
        <w:tab/>
        <w:t>E</w:t>
        <w:tab/>
        <w:t>F</w:t>
        <w:tab/>
        <w:t>Other(a)</w:t>
        <w:tab/>
        <w:t>Total</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12"/>
        <w:gridCol w:w="240"/>
        <w:gridCol w:w="760"/>
        <w:gridCol w:w="200"/>
        <w:gridCol w:w="596"/>
        <w:gridCol w:w="200"/>
        <w:gridCol w:w="800"/>
        <w:gridCol w:w="200"/>
        <w:gridCol w:w="900"/>
        <w:gridCol w:w="200"/>
        <w:gridCol w:w="578"/>
        <w:gridCol w:w="200"/>
        <w:gridCol w:w="754"/>
        <w:gridCol w:w="200"/>
        <w:gridCol w:w="680"/>
      </w:tblGrid>
      <w:tr>
        <w:trPr>
          <w:trHeight w:val="430" w:hRule="exact"/>
        </w:trPr>
        <w:tc>
          <w:tcPr>
            <w:tcW w:w="2612" w:type="dxa"/>
            <w:tcBorders>
              <w:top w:val="single" w:sz="8" w:space="0" w:color="231F20"/>
            </w:tcBorders>
          </w:tcPr>
          <w:p>
            <w:pPr>
              <w:pStyle w:val="TableParagraph"/>
              <w:tabs>
                <w:tab w:pos="1851" w:val="left" w:leader="none"/>
                <w:tab w:pos="2221" w:val="left" w:leader="none"/>
              </w:tabs>
              <w:spacing w:line="180" w:lineRule="exact" w:before="36"/>
              <w:ind w:left="180" w:hanging="90"/>
              <w:rPr>
                <w:sz w:val="18"/>
              </w:rPr>
            </w:pPr>
            <w:r>
              <w:rPr>
                <w:color w:val="231F20"/>
                <w:sz w:val="18"/>
              </w:rPr>
              <w:t>Fair value of fuel</w:t>
              <w:tab/>
              <w:t>$</w:t>
              <w:tab/>
              <w:t>(298) derivatives</w:t>
            </w:r>
          </w:p>
        </w:tc>
        <w:tc>
          <w:tcPr>
            <w:tcW w:w="240" w:type="dxa"/>
          </w:tcPr>
          <w:p>
            <w:pPr/>
          </w:p>
        </w:tc>
        <w:tc>
          <w:tcPr>
            <w:tcW w:w="760" w:type="dxa"/>
            <w:tcBorders>
              <w:top w:val="single" w:sz="8" w:space="0" w:color="231F20"/>
            </w:tcBorders>
          </w:tcPr>
          <w:p>
            <w:pPr>
              <w:pStyle w:val="TableParagraph"/>
              <w:tabs>
                <w:tab w:pos="459" w:val="left" w:leader="none"/>
              </w:tabs>
              <w:spacing w:before="12"/>
              <w:jc w:val="right"/>
              <w:rPr>
                <w:sz w:val="18"/>
              </w:rPr>
            </w:pPr>
            <w:r>
              <w:rPr>
                <w:color w:val="231F20"/>
                <w:sz w:val="18"/>
              </w:rPr>
              <w:t>$</w:t>
              <w:tab/>
            </w:r>
            <w:r>
              <w:rPr>
                <w:color w:val="231F20"/>
                <w:spacing w:val="-1"/>
                <w:sz w:val="18"/>
              </w:rPr>
              <w:t>(78)</w:t>
            </w:r>
          </w:p>
        </w:tc>
        <w:tc>
          <w:tcPr>
            <w:tcW w:w="200" w:type="dxa"/>
          </w:tcPr>
          <w:p>
            <w:pPr/>
          </w:p>
        </w:tc>
        <w:tc>
          <w:tcPr>
            <w:tcW w:w="596" w:type="dxa"/>
            <w:tcBorders>
              <w:top w:val="single" w:sz="8" w:space="0" w:color="231F20"/>
            </w:tcBorders>
          </w:tcPr>
          <w:p>
            <w:pPr>
              <w:pStyle w:val="TableParagraph"/>
              <w:tabs>
                <w:tab w:pos="415" w:val="left" w:leader="none"/>
              </w:tabs>
              <w:spacing w:before="12"/>
              <w:jc w:val="right"/>
              <w:rPr>
                <w:sz w:val="18"/>
              </w:rPr>
            </w:pPr>
            <w:r>
              <w:rPr>
                <w:color w:val="231F20"/>
                <w:sz w:val="18"/>
              </w:rPr>
              <w:t>$</w:t>
              <w:tab/>
              <w:t>36</w:t>
            </w:r>
          </w:p>
        </w:tc>
        <w:tc>
          <w:tcPr>
            <w:tcW w:w="200" w:type="dxa"/>
          </w:tcPr>
          <w:p>
            <w:pPr/>
          </w:p>
        </w:tc>
        <w:tc>
          <w:tcPr>
            <w:tcW w:w="800" w:type="dxa"/>
            <w:tcBorders>
              <w:top w:val="single" w:sz="8" w:space="0" w:color="231F20"/>
            </w:tcBorders>
          </w:tcPr>
          <w:p>
            <w:pPr>
              <w:pStyle w:val="TableParagraph"/>
              <w:tabs>
                <w:tab w:pos="589" w:val="left" w:leader="none"/>
              </w:tabs>
              <w:spacing w:before="12"/>
              <w:jc w:val="right"/>
              <w:rPr>
                <w:sz w:val="18"/>
              </w:rPr>
            </w:pPr>
            <w:r>
              <w:rPr>
                <w:color w:val="231F20"/>
                <w:sz w:val="18"/>
              </w:rPr>
              <w:t>$</w:t>
              <w:tab/>
            </w:r>
            <w:r>
              <w:rPr>
                <w:color w:val="231F20"/>
                <w:spacing w:val="-1"/>
                <w:sz w:val="18"/>
              </w:rPr>
              <w:t>(5)</w:t>
            </w:r>
          </w:p>
        </w:tc>
        <w:tc>
          <w:tcPr>
            <w:tcW w:w="200" w:type="dxa"/>
          </w:tcPr>
          <w:p>
            <w:pPr/>
          </w:p>
        </w:tc>
        <w:tc>
          <w:tcPr>
            <w:tcW w:w="900" w:type="dxa"/>
            <w:tcBorders>
              <w:top w:val="single" w:sz="8" w:space="0" w:color="231F20"/>
            </w:tcBorders>
          </w:tcPr>
          <w:p>
            <w:pPr>
              <w:pStyle w:val="TableParagraph"/>
              <w:tabs>
                <w:tab w:pos="809" w:val="left" w:leader="none"/>
              </w:tabs>
              <w:spacing w:before="12"/>
              <w:jc w:val="right"/>
              <w:rPr>
                <w:sz w:val="18"/>
              </w:rPr>
            </w:pPr>
            <w:r>
              <w:rPr>
                <w:color w:val="231F20"/>
                <w:sz w:val="18"/>
              </w:rPr>
              <w:t>$</w:t>
              <w:tab/>
              <w:t>3</w:t>
            </w:r>
          </w:p>
        </w:tc>
        <w:tc>
          <w:tcPr>
            <w:tcW w:w="200" w:type="dxa"/>
          </w:tcPr>
          <w:p>
            <w:pPr/>
          </w:p>
        </w:tc>
        <w:tc>
          <w:tcPr>
            <w:tcW w:w="578" w:type="dxa"/>
            <w:tcBorders>
              <w:top w:val="single" w:sz="8" w:space="0" w:color="231F20"/>
            </w:tcBorders>
          </w:tcPr>
          <w:p>
            <w:pPr>
              <w:pStyle w:val="TableParagraph"/>
              <w:tabs>
                <w:tab w:pos="397" w:val="left" w:leader="none"/>
              </w:tabs>
              <w:spacing w:before="12"/>
              <w:jc w:val="right"/>
              <w:rPr>
                <w:sz w:val="18"/>
              </w:rPr>
            </w:pPr>
            <w:r>
              <w:rPr>
                <w:color w:val="231F20"/>
                <w:sz w:val="18"/>
              </w:rPr>
              <w:t>$</w:t>
              <w:tab/>
              <w:t>12</w:t>
            </w:r>
          </w:p>
        </w:tc>
        <w:tc>
          <w:tcPr>
            <w:tcW w:w="200" w:type="dxa"/>
          </w:tcPr>
          <w:p>
            <w:pPr/>
          </w:p>
        </w:tc>
        <w:tc>
          <w:tcPr>
            <w:tcW w:w="754" w:type="dxa"/>
            <w:tcBorders>
              <w:top w:val="single" w:sz="8" w:space="0" w:color="231F20"/>
            </w:tcBorders>
          </w:tcPr>
          <w:p>
            <w:pPr>
              <w:pStyle w:val="TableParagraph"/>
              <w:tabs>
                <w:tab w:pos="663" w:val="left" w:leader="none"/>
              </w:tabs>
              <w:spacing w:before="12"/>
              <w:jc w:val="right"/>
              <w:rPr>
                <w:sz w:val="18"/>
              </w:rPr>
            </w:pPr>
            <w:r>
              <w:rPr>
                <w:color w:val="231F20"/>
                <w:sz w:val="18"/>
              </w:rPr>
              <w:t>$</w:t>
              <w:tab/>
              <w:t>4</w:t>
            </w:r>
          </w:p>
        </w:tc>
        <w:tc>
          <w:tcPr>
            <w:tcW w:w="200" w:type="dxa"/>
          </w:tcPr>
          <w:p>
            <w:pPr/>
          </w:p>
        </w:tc>
        <w:tc>
          <w:tcPr>
            <w:tcW w:w="680" w:type="dxa"/>
            <w:tcBorders>
              <w:top w:val="single" w:sz="8" w:space="0" w:color="231F20"/>
            </w:tcBorders>
          </w:tcPr>
          <w:p>
            <w:pPr>
              <w:pStyle w:val="TableParagraph"/>
              <w:spacing w:before="12"/>
              <w:jc w:val="right"/>
              <w:rPr>
                <w:sz w:val="18"/>
              </w:rPr>
            </w:pPr>
            <w:r>
              <w:rPr>
                <w:color w:val="231F20"/>
                <w:sz w:val="18"/>
              </w:rPr>
              <w:t>$    (326)</w:t>
            </w:r>
          </w:p>
        </w:tc>
      </w:tr>
      <w:tr>
        <w:trPr>
          <w:trHeight w:val="420" w:hRule="exact"/>
        </w:trPr>
        <w:tc>
          <w:tcPr>
            <w:tcW w:w="2612" w:type="dxa"/>
            <w:shd w:val="clear" w:color="auto" w:fill="D1D3D4"/>
          </w:tcPr>
          <w:p>
            <w:pPr>
              <w:pStyle w:val="TableParagraph"/>
              <w:tabs>
                <w:tab w:pos="2221" w:val="left" w:leader="none"/>
              </w:tabs>
              <w:spacing w:line="180" w:lineRule="exact" w:before="36"/>
              <w:ind w:left="180" w:hanging="90"/>
              <w:rPr>
                <w:sz w:val="18"/>
              </w:rPr>
            </w:pPr>
            <w:r>
              <w:rPr>
                <w:color w:val="231F20"/>
                <w:sz w:val="18"/>
              </w:rPr>
              <w:t>Cash collateral held</w:t>
              <w:tab/>
              <w:t>(279) from (by)</w:t>
            </w:r>
            <w:r>
              <w:rPr>
                <w:color w:val="231F20"/>
                <w:spacing w:val="-1"/>
                <w:sz w:val="18"/>
              </w:rPr>
              <w:t> </w:t>
            </w:r>
            <w:r>
              <w:rPr>
                <w:color w:val="231F20"/>
                <w:sz w:val="18"/>
              </w:rPr>
              <w:t>CP</w:t>
            </w:r>
          </w:p>
        </w:tc>
        <w:tc>
          <w:tcPr>
            <w:tcW w:w="240" w:type="dxa"/>
            <w:shd w:val="clear" w:color="auto" w:fill="D1D3D4"/>
          </w:tcPr>
          <w:p>
            <w:pPr/>
          </w:p>
        </w:tc>
        <w:tc>
          <w:tcPr>
            <w:tcW w:w="760" w:type="dxa"/>
            <w:shd w:val="clear" w:color="auto" w:fill="D1D3D4"/>
          </w:tcPr>
          <w:p>
            <w:pPr>
              <w:pStyle w:val="TableParagraph"/>
              <w:spacing w:before="12"/>
              <w:jc w:val="right"/>
              <w:rPr>
                <w:sz w:val="18"/>
              </w:rPr>
            </w:pPr>
            <w:r>
              <w:rPr>
                <w:color w:val="231F20"/>
                <w:sz w:val="18"/>
              </w:rPr>
              <w:t>(33)</w:t>
            </w:r>
          </w:p>
        </w:tc>
        <w:tc>
          <w:tcPr>
            <w:tcW w:w="200" w:type="dxa"/>
            <w:shd w:val="clear" w:color="auto" w:fill="D1D3D4"/>
          </w:tcPr>
          <w:p>
            <w:pPr/>
          </w:p>
        </w:tc>
        <w:tc>
          <w:tcPr>
            <w:tcW w:w="596"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8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9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578" w:type="dxa"/>
            <w:shd w:val="clear" w:color="auto" w:fill="D1D3D4"/>
          </w:tcPr>
          <w:p>
            <w:pPr>
              <w:pStyle w:val="TableParagraph"/>
              <w:spacing w:before="12"/>
              <w:jc w:val="right"/>
              <w:rPr>
                <w:sz w:val="18"/>
              </w:rPr>
            </w:pPr>
            <w:r>
              <w:rPr>
                <w:color w:val="231F20"/>
                <w:sz w:val="18"/>
              </w:rPr>
              <w:t>11</w:t>
            </w:r>
          </w:p>
        </w:tc>
        <w:tc>
          <w:tcPr>
            <w:tcW w:w="200" w:type="dxa"/>
            <w:shd w:val="clear" w:color="auto" w:fill="D1D3D4"/>
          </w:tcPr>
          <w:p>
            <w:pPr/>
          </w:p>
        </w:tc>
        <w:tc>
          <w:tcPr>
            <w:tcW w:w="754"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680" w:type="dxa"/>
            <w:shd w:val="clear" w:color="auto" w:fill="D1D3D4"/>
          </w:tcPr>
          <w:p>
            <w:pPr>
              <w:pStyle w:val="TableParagraph"/>
              <w:spacing w:before="12"/>
              <w:jc w:val="right"/>
              <w:rPr>
                <w:sz w:val="18"/>
              </w:rPr>
            </w:pPr>
            <w:r>
              <w:rPr>
                <w:color w:val="231F20"/>
                <w:sz w:val="18"/>
              </w:rPr>
              <w:t>(301)</w:t>
            </w:r>
          </w:p>
        </w:tc>
      </w:tr>
      <w:tr>
        <w:trPr>
          <w:trHeight w:val="420" w:hRule="exact"/>
        </w:trPr>
        <w:tc>
          <w:tcPr>
            <w:tcW w:w="2612" w:type="dxa"/>
          </w:tcPr>
          <w:p>
            <w:pPr>
              <w:pStyle w:val="TableParagraph"/>
              <w:tabs>
                <w:tab w:pos="2431" w:val="left" w:leader="none"/>
              </w:tabs>
              <w:spacing w:line="180" w:lineRule="exact" w:before="36"/>
              <w:ind w:left="180" w:hanging="90"/>
              <w:rPr>
                <w:sz w:val="18"/>
              </w:rPr>
            </w:pPr>
            <w:r>
              <w:rPr>
                <w:color w:val="231F20"/>
                <w:sz w:val="18"/>
              </w:rPr>
              <w:t>Aircraft collateral</w:t>
              <w:tab/>
              <w:t>— pledged to</w:t>
            </w:r>
            <w:r>
              <w:rPr>
                <w:color w:val="231F20"/>
                <w:spacing w:val="-1"/>
                <w:sz w:val="18"/>
              </w:rPr>
              <w:t> </w:t>
            </w:r>
            <w:r>
              <w:rPr>
                <w:color w:val="231F20"/>
                <w:sz w:val="18"/>
              </w:rPr>
              <w:t>CP</w:t>
            </w:r>
          </w:p>
        </w:tc>
        <w:tc>
          <w:tcPr>
            <w:tcW w:w="240" w:type="dxa"/>
          </w:tcPr>
          <w:p>
            <w:pPr/>
          </w:p>
        </w:tc>
        <w:tc>
          <w:tcPr>
            <w:tcW w:w="760" w:type="dxa"/>
          </w:tcPr>
          <w:p>
            <w:pPr>
              <w:pStyle w:val="TableParagraph"/>
              <w:spacing w:before="12"/>
              <w:jc w:val="right"/>
              <w:rPr>
                <w:sz w:val="18"/>
              </w:rPr>
            </w:pPr>
            <w:r>
              <w:rPr>
                <w:color w:val="231F20"/>
                <w:sz w:val="18"/>
              </w:rPr>
              <w:t>—</w:t>
            </w:r>
          </w:p>
        </w:tc>
        <w:tc>
          <w:tcPr>
            <w:tcW w:w="200" w:type="dxa"/>
          </w:tcPr>
          <w:p>
            <w:pPr/>
          </w:p>
        </w:tc>
        <w:tc>
          <w:tcPr>
            <w:tcW w:w="596" w:type="dxa"/>
          </w:tcPr>
          <w:p>
            <w:pPr>
              <w:pStyle w:val="TableParagraph"/>
              <w:spacing w:before="12"/>
              <w:jc w:val="right"/>
              <w:rPr>
                <w:sz w:val="18"/>
              </w:rPr>
            </w:pPr>
            <w:r>
              <w:rPr>
                <w:color w:val="231F20"/>
                <w:sz w:val="18"/>
              </w:rPr>
              <w:t>—</w:t>
            </w:r>
          </w:p>
        </w:tc>
        <w:tc>
          <w:tcPr>
            <w:tcW w:w="200" w:type="dxa"/>
          </w:tcPr>
          <w:p>
            <w:pPr/>
          </w:p>
        </w:tc>
        <w:tc>
          <w:tcPr>
            <w:tcW w:w="800" w:type="dxa"/>
          </w:tcPr>
          <w:p>
            <w:pPr>
              <w:pStyle w:val="TableParagraph"/>
              <w:spacing w:before="12"/>
              <w:jc w:val="right"/>
              <w:rPr>
                <w:sz w:val="18"/>
              </w:rPr>
            </w:pPr>
            <w:r>
              <w:rPr>
                <w:color w:val="231F20"/>
                <w:sz w:val="18"/>
              </w:rPr>
              <w:t>—</w:t>
            </w:r>
          </w:p>
        </w:tc>
        <w:tc>
          <w:tcPr>
            <w:tcW w:w="200" w:type="dxa"/>
          </w:tcPr>
          <w:p>
            <w:pPr/>
          </w:p>
        </w:tc>
        <w:tc>
          <w:tcPr>
            <w:tcW w:w="900" w:type="dxa"/>
          </w:tcPr>
          <w:p>
            <w:pPr>
              <w:pStyle w:val="TableParagraph"/>
              <w:spacing w:before="12"/>
              <w:jc w:val="right"/>
              <w:rPr>
                <w:sz w:val="18"/>
              </w:rPr>
            </w:pPr>
            <w:r>
              <w:rPr>
                <w:color w:val="231F20"/>
                <w:sz w:val="18"/>
              </w:rPr>
              <w:t>—</w:t>
            </w:r>
          </w:p>
        </w:tc>
        <w:tc>
          <w:tcPr>
            <w:tcW w:w="200" w:type="dxa"/>
          </w:tcPr>
          <w:p>
            <w:pPr/>
          </w:p>
        </w:tc>
        <w:tc>
          <w:tcPr>
            <w:tcW w:w="578" w:type="dxa"/>
          </w:tcPr>
          <w:p>
            <w:pPr>
              <w:pStyle w:val="TableParagraph"/>
              <w:spacing w:before="12"/>
              <w:jc w:val="right"/>
              <w:rPr>
                <w:sz w:val="18"/>
              </w:rPr>
            </w:pPr>
            <w:r>
              <w:rPr>
                <w:color w:val="231F20"/>
                <w:sz w:val="18"/>
              </w:rPr>
              <w:t>—</w:t>
            </w:r>
          </w:p>
        </w:tc>
        <w:tc>
          <w:tcPr>
            <w:tcW w:w="200" w:type="dxa"/>
          </w:tcPr>
          <w:p>
            <w:pPr/>
          </w:p>
        </w:tc>
        <w:tc>
          <w:tcPr>
            <w:tcW w:w="754" w:type="dxa"/>
          </w:tcPr>
          <w:p>
            <w:pPr>
              <w:pStyle w:val="TableParagraph"/>
              <w:spacing w:before="12"/>
              <w:jc w:val="right"/>
              <w:rPr>
                <w:sz w:val="18"/>
              </w:rPr>
            </w:pPr>
            <w:r>
              <w:rPr>
                <w:color w:val="231F20"/>
                <w:sz w:val="18"/>
              </w:rPr>
              <w:t>—</w:t>
            </w:r>
          </w:p>
        </w:tc>
        <w:tc>
          <w:tcPr>
            <w:tcW w:w="200" w:type="dxa"/>
          </w:tcPr>
          <w:p>
            <w:pPr/>
          </w:p>
        </w:tc>
        <w:tc>
          <w:tcPr>
            <w:tcW w:w="680" w:type="dxa"/>
          </w:tcPr>
          <w:p>
            <w:pPr>
              <w:pStyle w:val="TableParagraph"/>
              <w:spacing w:before="12"/>
              <w:ind w:right="44"/>
              <w:jc w:val="right"/>
              <w:rPr>
                <w:sz w:val="18"/>
              </w:rPr>
            </w:pPr>
            <w:r>
              <w:rPr>
                <w:color w:val="231F20"/>
                <w:sz w:val="18"/>
              </w:rPr>
              <w:t>—</w:t>
            </w:r>
          </w:p>
        </w:tc>
      </w:tr>
      <w:tr>
        <w:trPr>
          <w:trHeight w:val="240" w:hRule="exact"/>
        </w:trPr>
        <w:tc>
          <w:tcPr>
            <w:tcW w:w="2612" w:type="dxa"/>
            <w:shd w:val="clear" w:color="auto" w:fill="D1D3D4"/>
          </w:tcPr>
          <w:p>
            <w:pPr>
              <w:pStyle w:val="TableParagraph"/>
              <w:tabs>
                <w:tab w:pos="2431" w:val="left" w:leader="none"/>
              </w:tabs>
              <w:spacing w:before="12"/>
              <w:ind w:left="89"/>
              <w:rPr>
                <w:sz w:val="18"/>
              </w:rPr>
            </w:pPr>
            <w:r>
              <w:rPr>
                <w:color w:val="231F20"/>
                <w:sz w:val="18"/>
              </w:rPr>
              <w:t>Letters of credit (LC)</w:t>
              <w:tab/>
              <w:t>—</w:t>
            </w:r>
          </w:p>
        </w:tc>
        <w:tc>
          <w:tcPr>
            <w:tcW w:w="240" w:type="dxa"/>
            <w:shd w:val="clear" w:color="auto" w:fill="D1D3D4"/>
          </w:tcPr>
          <w:p>
            <w:pPr/>
          </w:p>
        </w:tc>
        <w:tc>
          <w:tcPr>
            <w:tcW w:w="76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596"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8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900"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578"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754" w:type="dxa"/>
            <w:shd w:val="clear" w:color="auto" w:fill="D1D3D4"/>
          </w:tcPr>
          <w:p>
            <w:pPr>
              <w:pStyle w:val="TableParagraph"/>
              <w:spacing w:before="12"/>
              <w:jc w:val="right"/>
              <w:rPr>
                <w:sz w:val="18"/>
              </w:rPr>
            </w:pPr>
            <w:r>
              <w:rPr>
                <w:color w:val="231F20"/>
                <w:sz w:val="18"/>
              </w:rPr>
              <w:t>—</w:t>
            </w:r>
          </w:p>
        </w:tc>
        <w:tc>
          <w:tcPr>
            <w:tcW w:w="200" w:type="dxa"/>
            <w:shd w:val="clear" w:color="auto" w:fill="D1D3D4"/>
          </w:tcPr>
          <w:p>
            <w:pPr/>
          </w:p>
        </w:tc>
        <w:tc>
          <w:tcPr>
            <w:tcW w:w="680" w:type="dxa"/>
            <w:shd w:val="clear" w:color="auto" w:fill="D1D3D4"/>
          </w:tcPr>
          <w:p>
            <w:pPr>
              <w:pStyle w:val="TableParagraph"/>
              <w:spacing w:before="12"/>
              <w:ind w:right="44"/>
              <w:jc w:val="right"/>
              <w:rPr>
                <w:sz w:val="18"/>
              </w:rPr>
            </w:pPr>
            <w:r>
              <w:rPr>
                <w:color w:val="231F20"/>
                <w:sz w:val="18"/>
              </w:rPr>
              <w:t>—</w:t>
            </w:r>
          </w:p>
        </w:tc>
      </w:tr>
    </w:tbl>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5"/>
        <w:rPr>
          <w:b/>
          <w:sz w:val="17"/>
        </w:rPr>
      </w:pPr>
    </w:p>
    <w:p>
      <w:pPr>
        <w:spacing w:line="180" w:lineRule="exact" w:before="0" w:after="23"/>
        <w:ind w:left="209" w:right="7761" w:firstLine="0"/>
        <w:jc w:val="left"/>
        <w:rPr>
          <w:b/>
          <w:sz w:val="18"/>
        </w:rPr>
      </w:pPr>
      <w:r>
        <w:rPr/>
        <w:pict>
          <v:shape style="position:absolute;margin-left:69pt;margin-top:-61.798199pt;width:456pt;height:62pt;mso-position-horizontal-relative:page;mso-position-vertical-relative:paragraph;z-index:56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16"/>
                    <w:gridCol w:w="958"/>
                    <w:gridCol w:w="1041"/>
                    <w:gridCol w:w="2980"/>
                    <w:gridCol w:w="2425"/>
                  </w:tblGrid>
                  <w:tr>
                    <w:trPr>
                      <w:trHeight w:val="420" w:hRule="exact"/>
                    </w:trPr>
                    <w:tc>
                      <w:tcPr>
                        <w:tcW w:w="1716" w:type="dxa"/>
                      </w:tcPr>
                      <w:p>
                        <w:pPr>
                          <w:pStyle w:val="TableParagraph"/>
                          <w:spacing w:line="180" w:lineRule="exact" w:before="36"/>
                          <w:ind w:left="269" w:right="97" w:hanging="90"/>
                          <w:rPr>
                            <w:sz w:val="18"/>
                          </w:rPr>
                        </w:pPr>
                        <w:r>
                          <w:rPr>
                            <w:color w:val="231F20"/>
                            <w:sz w:val="18"/>
                          </w:rPr>
                          <w:t>Option to substitute LC for aircraft</w:t>
                        </w:r>
                      </w:p>
                    </w:tc>
                    <w:tc>
                      <w:tcPr>
                        <w:tcW w:w="958" w:type="dxa"/>
                      </w:tcPr>
                      <w:p>
                        <w:pPr>
                          <w:pStyle w:val="TableParagraph"/>
                          <w:spacing w:line="180" w:lineRule="exact" w:before="36"/>
                          <w:ind w:left="115" w:right="223" w:firstLine="25"/>
                          <w:rPr>
                            <w:sz w:val="18"/>
                          </w:rPr>
                        </w:pPr>
                        <w:r>
                          <w:rPr>
                            <w:color w:val="231F20"/>
                            <w:sz w:val="18"/>
                          </w:rPr>
                          <w:t>(200) to (600)(h)</w:t>
                        </w:r>
                      </w:p>
                    </w:tc>
                    <w:tc>
                      <w:tcPr>
                        <w:tcW w:w="1041" w:type="dxa"/>
                      </w:tcPr>
                      <w:p>
                        <w:pPr>
                          <w:pStyle w:val="TableParagraph"/>
                          <w:spacing w:line="180" w:lineRule="exact" w:before="36"/>
                          <w:ind w:left="337" w:right="84" w:firstLine="25"/>
                          <w:rPr>
                            <w:sz w:val="18"/>
                          </w:rPr>
                        </w:pPr>
                        <w:r>
                          <w:rPr>
                            <w:color w:val="231F20"/>
                            <w:sz w:val="18"/>
                          </w:rPr>
                          <w:t>(100) to (500)(d)</w:t>
                        </w:r>
                      </w:p>
                    </w:tc>
                    <w:tc>
                      <w:tcPr>
                        <w:tcW w:w="2980" w:type="dxa"/>
                      </w:tcPr>
                      <w:p>
                        <w:pPr>
                          <w:pStyle w:val="TableParagraph"/>
                          <w:tabs>
                            <w:tab w:pos="944" w:val="left" w:leader="none"/>
                            <w:tab w:pos="1999" w:val="left" w:leader="none"/>
                          </w:tabs>
                          <w:spacing w:line="193" w:lineRule="exact" w:before="12"/>
                          <w:ind w:left="382"/>
                          <w:rPr>
                            <w:sz w:val="18"/>
                          </w:rPr>
                        </w:pPr>
                        <w:r>
                          <w:rPr>
                            <w:color w:val="231F20"/>
                            <w:sz w:val="18"/>
                          </w:rPr>
                          <w:t>N/A</w:t>
                          <w:tab/>
                          <w:t>(150) to</w:t>
                          <w:tab/>
                          <w:t>(150) to</w:t>
                        </w:r>
                      </w:p>
                      <w:p>
                        <w:pPr>
                          <w:pStyle w:val="TableParagraph"/>
                          <w:tabs>
                            <w:tab w:pos="1987" w:val="left" w:leader="none"/>
                          </w:tabs>
                          <w:spacing w:line="193" w:lineRule="exact" w:before="0"/>
                          <w:ind w:left="932"/>
                          <w:rPr>
                            <w:sz w:val="18"/>
                          </w:rPr>
                        </w:pPr>
                        <w:r>
                          <w:rPr>
                            <w:color w:val="231F20"/>
                            <w:sz w:val="18"/>
                          </w:rPr>
                          <w:t>(550)(d)</w:t>
                          <w:tab/>
                          <w:t>(550)(d)</w:t>
                        </w:r>
                      </w:p>
                    </w:tc>
                    <w:tc>
                      <w:tcPr>
                        <w:tcW w:w="2425" w:type="dxa"/>
                      </w:tcPr>
                      <w:p>
                        <w:pPr>
                          <w:pStyle w:val="TableParagraph"/>
                          <w:spacing w:before="12"/>
                          <w:ind w:left="187"/>
                          <w:rPr>
                            <w:sz w:val="18"/>
                          </w:rPr>
                        </w:pPr>
                        <w:r>
                          <w:rPr>
                            <w:color w:val="231F20"/>
                            <w:sz w:val="18"/>
                          </w:rPr>
                          <w:t>N/A</w:t>
                        </w:r>
                      </w:p>
                    </w:tc>
                  </w:tr>
                  <w:tr>
                    <w:trPr>
                      <w:trHeight w:val="600" w:hRule="exact"/>
                    </w:trPr>
                    <w:tc>
                      <w:tcPr>
                        <w:tcW w:w="1716" w:type="dxa"/>
                        <w:shd w:val="clear" w:color="auto" w:fill="D1D3D4"/>
                      </w:tcPr>
                      <w:p>
                        <w:pPr>
                          <w:pStyle w:val="TableParagraph"/>
                          <w:spacing w:line="180" w:lineRule="exact" w:before="36"/>
                          <w:ind w:left="270" w:right="96" w:hanging="90"/>
                          <w:rPr>
                            <w:sz w:val="18"/>
                          </w:rPr>
                        </w:pPr>
                        <w:r>
                          <w:rPr>
                            <w:color w:val="231F20"/>
                            <w:sz w:val="18"/>
                          </w:rPr>
                          <w:t>Option to substitute LC for cash</w:t>
                        </w:r>
                      </w:p>
                    </w:tc>
                    <w:tc>
                      <w:tcPr>
                        <w:tcW w:w="958" w:type="dxa"/>
                        <w:shd w:val="clear" w:color="auto" w:fill="D1D3D4"/>
                      </w:tcPr>
                      <w:p>
                        <w:pPr>
                          <w:pStyle w:val="TableParagraph"/>
                          <w:spacing w:before="12"/>
                          <w:ind w:left="225"/>
                          <w:rPr>
                            <w:sz w:val="18"/>
                          </w:rPr>
                        </w:pPr>
                        <w:r>
                          <w:rPr>
                            <w:color w:val="231F20"/>
                            <w:sz w:val="18"/>
                          </w:rPr>
                          <w:t>N/A</w:t>
                        </w:r>
                      </w:p>
                    </w:tc>
                    <w:tc>
                      <w:tcPr>
                        <w:tcW w:w="1041" w:type="dxa"/>
                        <w:shd w:val="clear" w:color="auto" w:fill="D1D3D4"/>
                      </w:tcPr>
                      <w:p>
                        <w:pPr>
                          <w:pStyle w:val="TableParagraph"/>
                          <w:spacing w:before="12"/>
                          <w:ind w:left="241"/>
                          <w:rPr>
                            <w:sz w:val="18"/>
                          </w:rPr>
                        </w:pPr>
                        <w:r>
                          <w:rPr>
                            <w:color w:val="231F20"/>
                            <w:sz w:val="18"/>
                          </w:rPr>
                          <w:t>&gt;(500)(e)</w:t>
                        </w:r>
                      </w:p>
                    </w:tc>
                    <w:tc>
                      <w:tcPr>
                        <w:tcW w:w="2980" w:type="dxa"/>
                        <w:shd w:val="clear" w:color="auto" w:fill="D1D3D4"/>
                      </w:tcPr>
                      <w:p>
                        <w:pPr>
                          <w:pStyle w:val="TableParagraph"/>
                          <w:spacing w:line="193" w:lineRule="exact" w:before="12"/>
                          <w:ind w:left="102"/>
                          <w:rPr>
                            <w:sz w:val="18"/>
                          </w:rPr>
                        </w:pPr>
                        <w:r>
                          <w:rPr>
                            <w:color w:val="231F20"/>
                            <w:sz w:val="18"/>
                          </w:rPr>
                          <w:t>(225) to  (75) to (150)  (125) to (150)</w:t>
                        </w:r>
                      </w:p>
                      <w:p>
                        <w:pPr>
                          <w:pStyle w:val="TableParagraph"/>
                          <w:spacing w:line="193" w:lineRule="exact" w:before="0"/>
                          <w:ind w:left="102"/>
                          <w:rPr>
                            <w:sz w:val="18"/>
                          </w:rPr>
                        </w:pPr>
                        <w:r>
                          <w:rPr>
                            <w:color w:val="231F20"/>
                            <w:sz w:val="18"/>
                          </w:rPr>
                          <w:t>(275)(e)  or &gt;(550)(e)    or &gt;(550)(e)</w:t>
                        </w:r>
                      </w:p>
                    </w:tc>
                    <w:tc>
                      <w:tcPr>
                        <w:tcW w:w="2425" w:type="dxa"/>
                        <w:shd w:val="clear" w:color="auto" w:fill="D1D3D4"/>
                      </w:tcPr>
                      <w:p>
                        <w:pPr>
                          <w:pStyle w:val="TableParagraph"/>
                          <w:spacing w:before="12"/>
                          <w:ind w:left="237"/>
                          <w:rPr>
                            <w:sz w:val="18"/>
                          </w:rPr>
                        </w:pPr>
                        <w:r>
                          <w:rPr>
                            <w:color w:val="231F20"/>
                            <w:sz w:val="18"/>
                          </w:rPr>
                          <w:t>(g)</w:t>
                        </w:r>
                      </w:p>
                    </w:tc>
                  </w:tr>
                  <w:tr>
                    <w:trPr>
                      <w:trHeight w:val="219" w:hRule="exact"/>
                    </w:trPr>
                    <w:tc>
                      <w:tcPr>
                        <w:tcW w:w="1716" w:type="dxa"/>
                      </w:tcPr>
                      <w:p>
                        <w:pPr>
                          <w:pStyle w:val="TableParagraph"/>
                          <w:spacing w:before="12"/>
                          <w:ind w:left="89"/>
                          <w:rPr>
                            <w:b/>
                            <w:sz w:val="18"/>
                          </w:rPr>
                        </w:pPr>
                        <w:r>
                          <w:rPr>
                            <w:b/>
                            <w:color w:val="231F20"/>
                            <w:sz w:val="18"/>
                          </w:rPr>
                          <w:t>If credit rating is</w:t>
                        </w:r>
                      </w:p>
                    </w:tc>
                    <w:tc>
                      <w:tcPr>
                        <w:tcW w:w="958" w:type="dxa"/>
                      </w:tcPr>
                      <w:p>
                        <w:pPr/>
                      </w:p>
                    </w:tc>
                    <w:tc>
                      <w:tcPr>
                        <w:tcW w:w="1041" w:type="dxa"/>
                      </w:tcPr>
                      <w:p>
                        <w:pPr/>
                      </w:p>
                    </w:tc>
                    <w:tc>
                      <w:tcPr>
                        <w:tcW w:w="2980" w:type="dxa"/>
                      </w:tcPr>
                      <w:p>
                        <w:pPr/>
                      </w:p>
                    </w:tc>
                    <w:tc>
                      <w:tcPr>
                        <w:tcW w:w="2425" w:type="dxa"/>
                      </w:tcPr>
                      <w:p>
                        <w:pPr/>
                      </w:p>
                    </w:tc>
                  </w:tr>
                </w:tbl>
                <w:p>
                  <w:pPr>
                    <w:pStyle w:val="BodyText"/>
                  </w:pPr>
                </w:p>
              </w:txbxContent>
            </v:textbox>
            <w10:wrap type="none"/>
          </v:shape>
        </w:pict>
      </w:r>
      <w:r>
        <w:rPr>
          <w:b/>
          <w:color w:val="231F20"/>
          <w:sz w:val="18"/>
        </w:rPr>
        <w:t>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48"/>
        <w:gridCol w:w="997"/>
        <w:gridCol w:w="1073"/>
        <w:gridCol w:w="726"/>
        <w:gridCol w:w="1111"/>
        <w:gridCol w:w="991"/>
        <w:gridCol w:w="2574"/>
      </w:tblGrid>
      <w:tr>
        <w:trPr>
          <w:trHeight w:val="600" w:hRule="exact"/>
        </w:trPr>
        <w:tc>
          <w:tcPr>
            <w:tcW w:w="1648" w:type="dxa"/>
            <w:shd w:val="clear" w:color="auto" w:fill="D1D3D4"/>
          </w:tcPr>
          <w:p>
            <w:pPr>
              <w:pStyle w:val="TableParagraph"/>
              <w:spacing w:line="180" w:lineRule="exact" w:before="36"/>
              <w:ind w:left="269" w:right="54" w:hanging="90"/>
              <w:rPr>
                <w:sz w:val="18"/>
              </w:rPr>
            </w:pPr>
            <w:r>
              <w:rPr>
                <w:color w:val="231F20"/>
                <w:sz w:val="18"/>
              </w:rPr>
              <w:t>Cash is provided to CP</w:t>
            </w:r>
          </w:p>
        </w:tc>
        <w:tc>
          <w:tcPr>
            <w:tcW w:w="2070" w:type="dxa"/>
            <w:gridSpan w:val="2"/>
            <w:shd w:val="clear" w:color="auto" w:fill="D1D3D4"/>
          </w:tcPr>
          <w:p>
            <w:pPr>
              <w:pStyle w:val="TableParagraph"/>
              <w:spacing w:line="193" w:lineRule="exact" w:before="12"/>
              <w:ind w:right="60"/>
              <w:jc w:val="center"/>
              <w:rPr>
                <w:sz w:val="18"/>
              </w:rPr>
            </w:pPr>
            <w:r>
              <w:rPr>
                <w:color w:val="231F20"/>
                <w:sz w:val="18"/>
              </w:rPr>
              <w:t>(50) to (200)  (50) to (100)</w:t>
            </w:r>
          </w:p>
          <w:p>
            <w:pPr>
              <w:pStyle w:val="TableParagraph"/>
              <w:tabs>
                <w:tab w:pos="999" w:val="left" w:leader="none"/>
              </w:tabs>
              <w:spacing w:line="193" w:lineRule="exact" w:before="0"/>
              <w:ind w:right="62"/>
              <w:jc w:val="center"/>
              <w:rPr>
                <w:sz w:val="18"/>
              </w:rPr>
            </w:pPr>
            <w:r>
              <w:rPr>
                <w:color w:val="231F20"/>
                <w:sz w:val="18"/>
              </w:rPr>
              <w:t>or</w:t>
            </w:r>
            <w:r>
              <w:rPr>
                <w:color w:val="231F20"/>
                <w:spacing w:val="1"/>
                <w:sz w:val="18"/>
              </w:rPr>
              <w:t> </w:t>
            </w:r>
            <w:r>
              <w:rPr>
                <w:color w:val="231F20"/>
                <w:sz w:val="18"/>
              </w:rPr>
              <w:t>&gt;(600)</w:t>
              <w:tab/>
              <w:t>or</w:t>
            </w:r>
            <w:r>
              <w:rPr>
                <w:color w:val="231F20"/>
                <w:spacing w:val="4"/>
                <w:sz w:val="18"/>
              </w:rPr>
              <w:t> </w:t>
            </w:r>
            <w:r>
              <w:rPr>
                <w:color w:val="231F20"/>
                <w:sz w:val="18"/>
              </w:rPr>
              <w:t>&gt;(500)</w:t>
            </w:r>
          </w:p>
        </w:tc>
        <w:tc>
          <w:tcPr>
            <w:tcW w:w="726" w:type="dxa"/>
            <w:shd w:val="clear" w:color="auto" w:fill="D1D3D4"/>
          </w:tcPr>
          <w:p>
            <w:pPr>
              <w:pStyle w:val="TableParagraph"/>
              <w:spacing w:before="12"/>
              <w:ind w:left="88" w:right="26"/>
              <w:jc w:val="center"/>
              <w:rPr>
                <w:sz w:val="18"/>
              </w:rPr>
            </w:pPr>
            <w:r>
              <w:rPr>
                <w:color w:val="231F20"/>
                <w:sz w:val="18"/>
              </w:rPr>
              <w:t>&gt;(125)</w:t>
            </w:r>
          </w:p>
        </w:tc>
        <w:tc>
          <w:tcPr>
            <w:tcW w:w="1111" w:type="dxa"/>
            <w:shd w:val="clear" w:color="auto" w:fill="D1D3D4"/>
          </w:tcPr>
          <w:p>
            <w:pPr>
              <w:pStyle w:val="TableParagraph"/>
              <w:spacing w:line="193" w:lineRule="exact" w:before="12"/>
              <w:ind w:left="25" w:right="126"/>
              <w:jc w:val="center"/>
              <w:rPr>
                <w:sz w:val="18"/>
              </w:rPr>
            </w:pPr>
            <w:r>
              <w:rPr>
                <w:color w:val="231F20"/>
                <w:sz w:val="18"/>
              </w:rPr>
              <w:t>(75) to (150)</w:t>
            </w:r>
          </w:p>
          <w:p>
            <w:pPr>
              <w:pStyle w:val="TableParagraph"/>
              <w:spacing w:line="193" w:lineRule="exact" w:before="0"/>
              <w:ind w:left="23" w:right="126"/>
              <w:jc w:val="center"/>
              <w:rPr>
                <w:sz w:val="18"/>
              </w:rPr>
            </w:pPr>
            <w:r>
              <w:rPr>
                <w:color w:val="231F20"/>
                <w:sz w:val="18"/>
              </w:rPr>
              <w:t>or &gt;(550)</w:t>
            </w:r>
          </w:p>
        </w:tc>
        <w:tc>
          <w:tcPr>
            <w:tcW w:w="991" w:type="dxa"/>
            <w:shd w:val="clear" w:color="auto" w:fill="D1D3D4"/>
          </w:tcPr>
          <w:p>
            <w:pPr>
              <w:pStyle w:val="TableParagraph"/>
              <w:spacing w:line="193" w:lineRule="exact" w:before="12"/>
              <w:ind w:left="159"/>
              <w:rPr>
                <w:sz w:val="18"/>
              </w:rPr>
            </w:pPr>
            <w:r>
              <w:rPr>
                <w:color w:val="231F20"/>
                <w:sz w:val="18"/>
              </w:rPr>
              <w:t>(125) to</w:t>
            </w:r>
          </w:p>
          <w:p>
            <w:pPr>
              <w:pStyle w:val="TableParagraph"/>
              <w:spacing w:line="180" w:lineRule="exact" w:before="0"/>
              <w:ind w:left="154"/>
              <w:rPr>
                <w:sz w:val="18"/>
              </w:rPr>
            </w:pPr>
            <w:r>
              <w:rPr>
                <w:color w:val="231F20"/>
                <w:sz w:val="18"/>
              </w:rPr>
              <w:t>(150) or</w:t>
            </w:r>
          </w:p>
          <w:p>
            <w:pPr>
              <w:pStyle w:val="TableParagraph"/>
              <w:spacing w:line="193" w:lineRule="exact" w:before="0"/>
              <w:ind w:left="199"/>
              <w:rPr>
                <w:sz w:val="18"/>
              </w:rPr>
            </w:pPr>
            <w:r>
              <w:rPr>
                <w:color w:val="231F20"/>
                <w:sz w:val="18"/>
              </w:rPr>
              <w:t>&gt;(550)</w:t>
            </w:r>
          </w:p>
        </w:tc>
        <w:tc>
          <w:tcPr>
            <w:tcW w:w="2574" w:type="dxa"/>
            <w:shd w:val="clear" w:color="auto" w:fill="D1D3D4"/>
          </w:tcPr>
          <w:p>
            <w:pPr>
              <w:pStyle w:val="TableParagraph"/>
              <w:spacing w:before="12"/>
              <w:ind w:left="243"/>
              <w:rPr>
                <w:sz w:val="18"/>
              </w:rPr>
            </w:pPr>
            <w:r>
              <w:rPr>
                <w:color w:val="231F20"/>
                <w:sz w:val="18"/>
              </w:rPr>
              <w:t>&gt;(100)</w:t>
            </w:r>
          </w:p>
        </w:tc>
      </w:tr>
      <w:tr>
        <w:trPr>
          <w:trHeight w:val="219" w:hRule="exact"/>
        </w:trPr>
        <w:tc>
          <w:tcPr>
            <w:tcW w:w="1648" w:type="dxa"/>
          </w:tcPr>
          <w:p>
            <w:pPr>
              <w:pStyle w:val="TableParagraph"/>
              <w:spacing w:before="12"/>
              <w:ind w:left="179"/>
              <w:rPr>
                <w:sz w:val="18"/>
              </w:rPr>
            </w:pPr>
            <w:r>
              <w:rPr>
                <w:color w:val="231F20"/>
                <w:sz w:val="18"/>
              </w:rPr>
              <w:t>Cash is received</w:t>
            </w:r>
          </w:p>
        </w:tc>
        <w:tc>
          <w:tcPr>
            <w:tcW w:w="2070" w:type="dxa"/>
            <w:gridSpan w:val="2"/>
          </w:tcPr>
          <w:p>
            <w:pPr>
              <w:pStyle w:val="TableParagraph"/>
              <w:tabs>
                <w:tab w:pos="1215" w:val="left" w:leader="none"/>
              </w:tabs>
              <w:spacing w:before="12"/>
              <w:ind w:left="260"/>
              <w:rPr>
                <w:sz w:val="18"/>
              </w:rPr>
            </w:pPr>
            <w:r>
              <w:rPr>
                <w:color w:val="231F20"/>
                <w:sz w:val="18"/>
              </w:rPr>
              <w:t>&gt;50(c)</w:t>
              <w:tab/>
              <w:t>&gt;150(c)</w:t>
            </w:r>
          </w:p>
        </w:tc>
        <w:tc>
          <w:tcPr>
            <w:tcW w:w="726" w:type="dxa"/>
          </w:tcPr>
          <w:p>
            <w:pPr>
              <w:pStyle w:val="TableParagraph"/>
              <w:spacing w:before="12"/>
              <w:ind w:left="88" w:right="26"/>
              <w:jc w:val="center"/>
              <w:rPr>
                <w:sz w:val="18"/>
              </w:rPr>
            </w:pPr>
            <w:r>
              <w:rPr>
                <w:color w:val="231F20"/>
                <w:sz w:val="18"/>
              </w:rPr>
              <w:t>&gt;175(c)</w:t>
            </w:r>
          </w:p>
        </w:tc>
        <w:tc>
          <w:tcPr>
            <w:tcW w:w="1111" w:type="dxa"/>
          </w:tcPr>
          <w:p>
            <w:pPr>
              <w:pStyle w:val="TableParagraph"/>
              <w:spacing w:before="12"/>
              <w:ind w:left="215"/>
              <w:rPr>
                <w:sz w:val="18"/>
              </w:rPr>
            </w:pPr>
            <w:r>
              <w:rPr>
                <w:color w:val="231F20"/>
                <w:sz w:val="18"/>
              </w:rPr>
              <w:t>&gt;250(c)</w:t>
            </w:r>
          </w:p>
        </w:tc>
        <w:tc>
          <w:tcPr>
            <w:tcW w:w="991" w:type="dxa"/>
          </w:tcPr>
          <w:p>
            <w:pPr>
              <w:pStyle w:val="TableParagraph"/>
              <w:spacing w:before="12"/>
              <w:ind w:left="204"/>
              <w:rPr>
                <w:sz w:val="18"/>
              </w:rPr>
            </w:pPr>
            <w:r>
              <w:rPr>
                <w:color w:val="231F20"/>
                <w:sz w:val="18"/>
              </w:rPr>
              <w:t>&gt;75(c)</w:t>
            </w:r>
          </w:p>
        </w:tc>
        <w:tc>
          <w:tcPr>
            <w:tcW w:w="2574" w:type="dxa"/>
          </w:tcPr>
          <w:p>
            <w:pPr>
              <w:pStyle w:val="TableParagraph"/>
              <w:spacing w:before="12"/>
              <w:ind w:left="293"/>
              <w:rPr>
                <w:sz w:val="18"/>
              </w:rPr>
            </w:pPr>
            <w:r>
              <w:rPr>
                <w:color w:val="231F20"/>
                <w:sz w:val="18"/>
              </w:rPr>
              <w:t>&gt;0(c)</w:t>
            </w:r>
          </w:p>
        </w:tc>
      </w:tr>
      <w:tr>
        <w:trPr>
          <w:trHeight w:val="201" w:hRule="exact"/>
        </w:trPr>
        <w:tc>
          <w:tcPr>
            <w:tcW w:w="1648" w:type="dxa"/>
          </w:tcPr>
          <w:p>
            <w:pPr>
              <w:pStyle w:val="TableParagraph"/>
              <w:spacing w:line="180" w:lineRule="exact" w:before="0"/>
              <w:ind w:left="269"/>
              <w:rPr>
                <w:sz w:val="18"/>
              </w:rPr>
            </w:pPr>
            <w:r>
              <w:rPr>
                <w:color w:val="231F20"/>
                <w:sz w:val="18"/>
              </w:rPr>
              <w:t>from CP</w:t>
            </w:r>
          </w:p>
        </w:tc>
        <w:tc>
          <w:tcPr>
            <w:tcW w:w="2070" w:type="dxa"/>
            <w:gridSpan w:val="2"/>
          </w:tcPr>
          <w:p>
            <w:pPr/>
          </w:p>
        </w:tc>
        <w:tc>
          <w:tcPr>
            <w:tcW w:w="726" w:type="dxa"/>
          </w:tcPr>
          <w:p>
            <w:pPr/>
          </w:p>
        </w:tc>
        <w:tc>
          <w:tcPr>
            <w:tcW w:w="1111" w:type="dxa"/>
          </w:tcPr>
          <w:p>
            <w:pPr/>
          </w:p>
        </w:tc>
        <w:tc>
          <w:tcPr>
            <w:tcW w:w="991" w:type="dxa"/>
          </w:tcPr>
          <w:p>
            <w:pPr/>
          </w:p>
        </w:tc>
        <w:tc>
          <w:tcPr>
            <w:tcW w:w="2574" w:type="dxa"/>
          </w:tcPr>
          <w:p>
            <w:pPr/>
          </w:p>
        </w:tc>
      </w:tr>
      <w:tr>
        <w:trPr>
          <w:trHeight w:val="209" w:hRule="exact"/>
        </w:trPr>
        <w:tc>
          <w:tcPr>
            <w:tcW w:w="1648" w:type="dxa"/>
            <w:shd w:val="clear" w:color="auto" w:fill="D1D3D4"/>
          </w:tcPr>
          <w:p>
            <w:pPr>
              <w:pStyle w:val="TableParagraph"/>
              <w:spacing w:before="12"/>
              <w:ind w:left="179"/>
              <w:rPr>
                <w:sz w:val="18"/>
              </w:rPr>
            </w:pPr>
            <w:r>
              <w:rPr>
                <w:color w:val="231F20"/>
                <w:sz w:val="18"/>
              </w:rPr>
              <w:t>Aircraft or cash can</w:t>
            </w:r>
          </w:p>
        </w:tc>
        <w:tc>
          <w:tcPr>
            <w:tcW w:w="997" w:type="dxa"/>
            <w:shd w:val="clear" w:color="auto" w:fill="D1D3D4"/>
          </w:tcPr>
          <w:p>
            <w:pPr>
              <w:pStyle w:val="TableParagraph"/>
              <w:spacing w:before="12"/>
              <w:ind w:right="204"/>
              <w:jc w:val="right"/>
              <w:rPr>
                <w:sz w:val="18"/>
              </w:rPr>
            </w:pPr>
            <w:r>
              <w:rPr>
                <w:color w:val="231F20"/>
                <w:sz w:val="18"/>
              </w:rPr>
              <w:t>(200) to</w:t>
            </w:r>
          </w:p>
        </w:tc>
        <w:tc>
          <w:tcPr>
            <w:tcW w:w="1073" w:type="dxa"/>
            <w:shd w:val="clear" w:color="auto" w:fill="D1D3D4"/>
          </w:tcPr>
          <w:p>
            <w:pPr>
              <w:pStyle w:val="TableParagraph"/>
              <w:spacing w:before="12"/>
              <w:ind w:left="218"/>
              <w:rPr>
                <w:sz w:val="18"/>
              </w:rPr>
            </w:pPr>
            <w:r>
              <w:rPr>
                <w:color w:val="231F20"/>
                <w:sz w:val="18"/>
              </w:rPr>
              <w:t>(100) to</w:t>
            </w:r>
          </w:p>
        </w:tc>
        <w:tc>
          <w:tcPr>
            <w:tcW w:w="726" w:type="dxa"/>
            <w:shd w:val="clear" w:color="auto" w:fill="D1D3D4"/>
          </w:tcPr>
          <w:p>
            <w:pPr>
              <w:pStyle w:val="TableParagraph"/>
              <w:spacing w:before="12"/>
              <w:ind w:left="88" w:right="25"/>
              <w:jc w:val="center"/>
              <w:rPr>
                <w:sz w:val="18"/>
              </w:rPr>
            </w:pPr>
            <w:r>
              <w:rPr>
                <w:color w:val="231F20"/>
                <w:sz w:val="18"/>
              </w:rPr>
              <w:t>N/A</w:t>
            </w:r>
          </w:p>
        </w:tc>
        <w:tc>
          <w:tcPr>
            <w:tcW w:w="1111" w:type="dxa"/>
            <w:shd w:val="clear" w:color="auto" w:fill="D1D3D4"/>
          </w:tcPr>
          <w:p>
            <w:pPr>
              <w:pStyle w:val="TableParagraph"/>
              <w:spacing w:before="12"/>
              <w:ind w:left="215"/>
              <w:rPr>
                <w:sz w:val="18"/>
              </w:rPr>
            </w:pPr>
            <w:r>
              <w:rPr>
                <w:color w:val="231F20"/>
                <w:sz w:val="18"/>
              </w:rPr>
              <w:t>(150) to</w:t>
            </w:r>
          </w:p>
        </w:tc>
        <w:tc>
          <w:tcPr>
            <w:tcW w:w="991" w:type="dxa"/>
            <w:shd w:val="clear" w:color="auto" w:fill="D1D3D4"/>
          </w:tcPr>
          <w:p>
            <w:pPr>
              <w:pStyle w:val="TableParagraph"/>
              <w:spacing w:before="12"/>
              <w:ind w:left="159"/>
              <w:rPr>
                <w:sz w:val="18"/>
              </w:rPr>
            </w:pPr>
            <w:r>
              <w:rPr>
                <w:color w:val="231F20"/>
                <w:sz w:val="18"/>
              </w:rPr>
              <w:t>(150) to</w:t>
            </w:r>
          </w:p>
        </w:tc>
        <w:tc>
          <w:tcPr>
            <w:tcW w:w="2574" w:type="dxa"/>
            <w:shd w:val="clear" w:color="auto" w:fill="D1D3D4"/>
          </w:tcPr>
          <w:p>
            <w:pPr>
              <w:pStyle w:val="TableParagraph"/>
              <w:spacing w:before="12"/>
              <w:ind w:left="336"/>
              <w:rPr>
                <w:sz w:val="18"/>
              </w:rPr>
            </w:pPr>
            <w:r>
              <w:rPr>
                <w:color w:val="231F20"/>
                <w:sz w:val="18"/>
              </w:rPr>
              <w:t>N/A</w:t>
            </w:r>
          </w:p>
        </w:tc>
      </w:tr>
      <w:tr>
        <w:trPr>
          <w:trHeight w:val="391" w:hRule="exact"/>
        </w:trPr>
        <w:tc>
          <w:tcPr>
            <w:tcW w:w="1648" w:type="dxa"/>
            <w:shd w:val="clear" w:color="auto" w:fill="D1D3D4"/>
          </w:tcPr>
          <w:p>
            <w:pPr>
              <w:pStyle w:val="TableParagraph"/>
              <w:spacing w:line="180" w:lineRule="exact" w:before="7"/>
              <w:ind w:left="269" w:right="124"/>
              <w:rPr>
                <w:sz w:val="18"/>
              </w:rPr>
            </w:pPr>
            <w:r>
              <w:rPr>
                <w:color w:val="231F20"/>
                <w:sz w:val="18"/>
              </w:rPr>
              <w:t>be pledged to CP as collateral</w:t>
            </w:r>
          </w:p>
        </w:tc>
        <w:tc>
          <w:tcPr>
            <w:tcW w:w="997" w:type="dxa"/>
            <w:shd w:val="clear" w:color="auto" w:fill="D1D3D4"/>
          </w:tcPr>
          <w:p>
            <w:pPr>
              <w:pStyle w:val="TableParagraph"/>
              <w:spacing w:line="190" w:lineRule="exact" w:before="0"/>
              <w:ind w:right="206"/>
              <w:jc w:val="right"/>
              <w:rPr>
                <w:sz w:val="18"/>
              </w:rPr>
            </w:pPr>
            <w:r>
              <w:rPr>
                <w:color w:val="231F20"/>
                <w:sz w:val="18"/>
              </w:rPr>
              <w:t>(600)(f)</w:t>
            </w:r>
          </w:p>
        </w:tc>
        <w:tc>
          <w:tcPr>
            <w:tcW w:w="1073" w:type="dxa"/>
            <w:shd w:val="clear" w:color="auto" w:fill="D1D3D4"/>
          </w:tcPr>
          <w:p>
            <w:pPr>
              <w:pStyle w:val="TableParagraph"/>
              <w:spacing w:line="190" w:lineRule="exact" w:before="0"/>
              <w:ind w:left="206"/>
              <w:rPr>
                <w:sz w:val="18"/>
              </w:rPr>
            </w:pPr>
            <w:r>
              <w:rPr>
                <w:color w:val="231F20"/>
                <w:sz w:val="18"/>
              </w:rPr>
              <w:t>(500)(d)</w:t>
            </w:r>
          </w:p>
        </w:tc>
        <w:tc>
          <w:tcPr>
            <w:tcW w:w="726" w:type="dxa"/>
            <w:shd w:val="clear" w:color="auto" w:fill="D1D3D4"/>
          </w:tcPr>
          <w:p>
            <w:pPr/>
          </w:p>
        </w:tc>
        <w:tc>
          <w:tcPr>
            <w:tcW w:w="1111" w:type="dxa"/>
            <w:shd w:val="clear" w:color="auto" w:fill="D1D3D4"/>
          </w:tcPr>
          <w:p>
            <w:pPr>
              <w:pStyle w:val="TableParagraph"/>
              <w:spacing w:line="190" w:lineRule="exact" w:before="0"/>
              <w:ind w:left="203"/>
              <w:rPr>
                <w:sz w:val="18"/>
              </w:rPr>
            </w:pPr>
            <w:r>
              <w:rPr>
                <w:color w:val="231F20"/>
                <w:sz w:val="18"/>
              </w:rPr>
              <w:t>(550)(d)</w:t>
            </w:r>
          </w:p>
        </w:tc>
        <w:tc>
          <w:tcPr>
            <w:tcW w:w="991" w:type="dxa"/>
            <w:shd w:val="clear" w:color="auto" w:fill="D1D3D4"/>
          </w:tcPr>
          <w:p>
            <w:pPr>
              <w:pStyle w:val="TableParagraph"/>
              <w:spacing w:line="190" w:lineRule="exact" w:before="0"/>
              <w:ind w:left="147"/>
              <w:rPr>
                <w:sz w:val="18"/>
              </w:rPr>
            </w:pPr>
            <w:r>
              <w:rPr>
                <w:color w:val="231F20"/>
                <w:sz w:val="18"/>
              </w:rPr>
              <w:t>(550)(d)</w:t>
            </w:r>
          </w:p>
        </w:tc>
        <w:tc>
          <w:tcPr>
            <w:tcW w:w="2574" w:type="dxa"/>
            <w:shd w:val="clear" w:color="auto" w:fill="D1D3D4"/>
          </w:tcPr>
          <w:p>
            <w:pPr/>
          </w:p>
        </w:tc>
      </w:tr>
    </w:tbl>
    <w:p>
      <w:pPr>
        <w:spacing w:line="193" w:lineRule="exact" w:before="12"/>
        <w:ind w:left="209" w:right="0" w:firstLine="0"/>
        <w:jc w:val="left"/>
        <w:rPr>
          <w:b/>
          <w:sz w:val="18"/>
        </w:rPr>
      </w:pPr>
      <w:r>
        <w:rPr>
          <w:b/>
          <w:color w:val="231F20"/>
          <w:sz w:val="18"/>
        </w:rPr>
        <w:t>If credit rating</w:t>
      </w:r>
    </w:p>
    <w:p>
      <w:pPr>
        <w:spacing w:line="180" w:lineRule="exact" w:before="10" w:after="23"/>
        <w:ind w:left="209" w:right="7775" w:firstLine="0"/>
        <w:jc w:val="left"/>
        <w:rPr>
          <w:b/>
          <w:sz w:val="18"/>
        </w:rPr>
      </w:pPr>
      <w:r>
        <w:rPr>
          <w:b/>
          <w:color w:val="231F20"/>
          <w:sz w:val="18"/>
        </w:rPr>
        <w:t>is non-investment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56"/>
        <w:gridCol w:w="996"/>
        <w:gridCol w:w="1111"/>
        <w:gridCol w:w="638"/>
        <w:gridCol w:w="1075"/>
        <w:gridCol w:w="1175"/>
        <w:gridCol w:w="2470"/>
      </w:tblGrid>
      <w:tr>
        <w:trPr>
          <w:trHeight w:val="420" w:hRule="exact"/>
        </w:trPr>
        <w:tc>
          <w:tcPr>
            <w:tcW w:w="1656" w:type="dxa"/>
            <w:shd w:val="clear" w:color="auto" w:fill="D1D3D4"/>
          </w:tcPr>
          <w:p>
            <w:pPr>
              <w:pStyle w:val="TableParagraph"/>
              <w:spacing w:line="180" w:lineRule="exact" w:before="36"/>
              <w:ind w:left="269" w:right="62" w:hanging="90"/>
              <w:rPr>
                <w:sz w:val="18"/>
              </w:rPr>
            </w:pPr>
            <w:r>
              <w:rPr>
                <w:color w:val="231F20"/>
                <w:sz w:val="18"/>
              </w:rPr>
              <w:t>Cash is provided to CP</w:t>
            </w:r>
          </w:p>
        </w:tc>
        <w:tc>
          <w:tcPr>
            <w:tcW w:w="996" w:type="dxa"/>
            <w:shd w:val="clear" w:color="auto" w:fill="D1D3D4"/>
          </w:tcPr>
          <w:p>
            <w:pPr>
              <w:pStyle w:val="TableParagraph"/>
              <w:spacing w:line="193" w:lineRule="exact" w:before="12"/>
              <w:ind w:left="80"/>
              <w:rPr>
                <w:sz w:val="18"/>
              </w:rPr>
            </w:pPr>
            <w:r>
              <w:rPr>
                <w:color w:val="231F20"/>
                <w:sz w:val="18"/>
              </w:rPr>
              <w:t>(0) to (200)</w:t>
            </w:r>
          </w:p>
          <w:p>
            <w:pPr>
              <w:pStyle w:val="TableParagraph"/>
              <w:spacing w:line="193" w:lineRule="exact" w:before="0"/>
              <w:ind w:left="149"/>
              <w:rPr>
                <w:sz w:val="18"/>
              </w:rPr>
            </w:pPr>
            <w:r>
              <w:rPr>
                <w:color w:val="231F20"/>
                <w:sz w:val="18"/>
              </w:rPr>
              <w:t>or &gt;(600)</w:t>
            </w:r>
          </w:p>
        </w:tc>
        <w:tc>
          <w:tcPr>
            <w:tcW w:w="1111" w:type="dxa"/>
            <w:shd w:val="clear" w:color="auto" w:fill="D1D3D4"/>
          </w:tcPr>
          <w:p>
            <w:pPr>
              <w:pStyle w:val="TableParagraph"/>
              <w:spacing w:line="193" w:lineRule="exact" w:before="12"/>
              <w:ind w:left="85"/>
              <w:rPr>
                <w:sz w:val="18"/>
              </w:rPr>
            </w:pPr>
            <w:r>
              <w:rPr>
                <w:color w:val="231F20"/>
                <w:sz w:val="18"/>
              </w:rPr>
              <w:t>(0) to (100)</w:t>
            </w:r>
          </w:p>
          <w:p>
            <w:pPr>
              <w:pStyle w:val="TableParagraph"/>
              <w:spacing w:line="193" w:lineRule="exact" w:before="0"/>
              <w:ind w:left="154"/>
              <w:rPr>
                <w:sz w:val="18"/>
              </w:rPr>
            </w:pPr>
            <w:r>
              <w:rPr>
                <w:color w:val="231F20"/>
                <w:sz w:val="18"/>
              </w:rPr>
              <w:t>or &gt;(500)</w:t>
            </w:r>
          </w:p>
        </w:tc>
        <w:tc>
          <w:tcPr>
            <w:tcW w:w="638" w:type="dxa"/>
            <w:shd w:val="clear" w:color="auto" w:fill="D1D3D4"/>
          </w:tcPr>
          <w:p>
            <w:pPr>
              <w:pStyle w:val="TableParagraph"/>
              <w:spacing w:before="12"/>
              <w:ind w:left="245"/>
              <w:rPr>
                <w:sz w:val="18"/>
              </w:rPr>
            </w:pPr>
            <w:r>
              <w:rPr>
                <w:color w:val="231F20"/>
                <w:sz w:val="18"/>
              </w:rPr>
              <w:t>(b)</w:t>
            </w:r>
          </w:p>
        </w:tc>
        <w:tc>
          <w:tcPr>
            <w:tcW w:w="1075" w:type="dxa"/>
            <w:shd w:val="clear" w:color="auto" w:fill="D1D3D4"/>
          </w:tcPr>
          <w:p>
            <w:pPr>
              <w:pStyle w:val="TableParagraph"/>
              <w:spacing w:line="193" w:lineRule="exact" w:before="12"/>
              <w:ind w:left="132"/>
              <w:rPr>
                <w:sz w:val="18"/>
              </w:rPr>
            </w:pPr>
            <w:r>
              <w:rPr>
                <w:color w:val="231F20"/>
                <w:sz w:val="18"/>
              </w:rPr>
              <w:t>(0) to (150)</w:t>
            </w:r>
          </w:p>
          <w:p>
            <w:pPr>
              <w:pStyle w:val="TableParagraph"/>
              <w:spacing w:line="193" w:lineRule="exact" w:before="0"/>
              <w:ind w:left="201"/>
              <w:rPr>
                <w:sz w:val="18"/>
              </w:rPr>
            </w:pPr>
            <w:r>
              <w:rPr>
                <w:color w:val="231F20"/>
                <w:sz w:val="18"/>
              </w:rPr>
              <w:t>or &gt;(550)</w:t>
            </w:r>
          </w:p>
        </w:tc>
        <w:tc>
          <w:tcPr>
            <w:tcW w:w="1175" w:type="dxa"/>
            <w:shd w:val="clear" w:color="auto" w:fill="D1D3D4"/>
          </w:tcPr>
          <w:p>
            <w:pPr>
              <w:pStyle w:val="TableParagraph"/>
              <w:spacing w:line="193" w:lineRule="exact" w:before="12"/>
              <w:ind w:left="112"/>
              <w:rPr>
                <w:sz w:val="18"/>
              </w:rPr>
            </w:pPr>
            <w:r>
              <w:rPr>
                <w:color w:val="231F20"/>
                <w:sz w:val="18"/>
              </w:rPr>
              <w:t>(0) to (150)</w:t>
            </w:r>
          </w:p>
          <w:p>
            <w:pPr>
              <w:pStyle w:val="TableParagraph"/>
              <w:spacing w:line="193" w:lineRule="exact" w:before="0"/>
              <w:ind w:left="181"/>
              <w:rPr>
                <w:sz w:val="18"/>
              </w:rPr>
            </w:pPr>
            <w:r>
              <w:rPr>
                <w:color w:val="231F20"/>
                <w:sz w:val="18"/>
              </w:rPr>
              <w:t>or &gt;(550)</w:t>
            </w:r>
          </w:p>
        </w:tc>
        <w:tc>
          <w:tcPr>
            <w:tcW w:w="2470" w:type="dxa"/>
            <w:shd w:val="clear" w:color="auto" w:fill="D1D3D4"/>
          </w:tcPr>
          <w:p>
            <w:pPr>
              <w:pStyle w:val="TableParagraph"/>
              <w:spacing w:before="12"/>
              <w:ind w:left="282"/>
              <w:rPr>
                <w:sz w:val="18"/>
              </w:rPr>
            </w:pPr>
            <w:r>
              <w:rPr>
                <w:color w:val="231F20"/>
                <w:sz w:val="18"/>
              </w:rPr>
              <w:t>(b)</w:t>
            </w:r>
          </w:p>
        </w:tc>
      </w:tr>
      <w:tr>
        <w:trPr>
          <w:trHeight w:val="219" w:hRule="exact"/>
        </w:trPr>
        <w:tc>
          <w:tcPr>
            <w:tcW w:w="1656" w:type="dxa"/>
          </w:tcPr>
          <w:p>
            <w:pPr>
              <w:pStyle w:val="TableParagraph"/>
              <w:spacing w:before="12"/>
              <w:ind w:left="179"/>
              <w:rPr>
                <w:sz w:val="18"/>
              </w:rPr>
            </w:pPr>
            <w:r>
              <w:rPr>
                <w:color w:val="231F20"/>
                <w:sz w:val="18"/>
              </w:rPr>
              <w:t>Cash is received</w:t>
            </w:r>
          </w:p>
        </w:tc>
        <w:tc>
          <w:tcPr>
            <w:tcW w:w="996" w:type="dxa"/>
          </w:tcPr>
          <w:p>
            <w:pPr>
              <w:pStyle w:val="TableParagraph"/>
              <w:spacing w:before="12"/>
              <w:ind w:left="282" w:right="284"/>
              <w:jc w:val="center"/>
              <w:rPr>
                <w:sz w:val="18"/>
              </w:rPr>
            </w:pPr>
            <w:r>
              <w:rPr>
                <w:color w:val="231F20"/>
                <w:sz w:val="18"/>
              </w:rPr>
              <w:t>(b)</w:t>
            </w:r>
          </w:p>
        </w:tc>
        <w:tc>
          <w:tcPr>
            <w:tcW w:w="1111" w:type="dxa"/>
          </w:tcPr>
          <w:p>
            <w:pPr>
              <w:pStyle w:val="TableParagraph"/>
              <w:spacing w:before="12"/>
              <w:ind w:left="286" w:right="394"/>
              <w:jc w:val="center"/>
              <w:rPr>
                <w:sz w:val="18"/>
              </w:rPr>
            </w:pPr>
            <w:r>
              <w:rPr>
                <w:color w:val="231F20"/>
                <w:sz w:val="18"/>
              </w:rPr>
              <w:t>(b)</w:t>
            </w:r>
          </w:p>
        </w:tc>
        <w:tc>
          <w:tcPr>
            <w:tcW w:w="638" w:type="dxa"/>
          </w:tcPr>
          <w:p>
            <w:pPr>
              <w:pStyle w:val="TableParagraph"/>
              <w:spacing w:before="12"/>
              <w:ind w:left="245"/>
              <w:rPr>
                <w:sz w:val="18"/>
              </w:rPr>
            </w:pPr>
            <w:r>
              <w:rPr>
                <w:color w:val="231F20"/>
                <w:sz w:val="18"/>
              </w:rPr>
              <w:t>(b)</w:t>
            </w:r>
          </w:p>
        </w:tc>
        <w:tc>
          <w:tcPr>
            <w:tcW w:w="1075" w:type="dxa"/>
          </w:tcPr>
          <w:p>
            <w:pPr>
              <w:pStyle w:val="TableParagraph"/>
              <w:spacing w:before="12"/>
              <w:ind w:left="332" w:right="313"/>
              <w:jc w:val="center"/>
              <w:rPr>
                <w:sz w:val="18"/>
              </w:rPr>
            </w:pPr>
            <w:r>
              <w:rPr>
                <w:color w:val="231F20"/>
                <w:sz w:val="18"/>
              </w:rPr>
              <w:t>(b)</w:t>
            </w:r>
          </w:p>
        </w:tc>
        <w:tc>
          <w:tcPr>
            <w:tcW w:w="1175" w:type="dxa"/>
          </w:tcPr>
          <w:p>
            <w:pPr>
              <w:pStyle w:val="TableParagraph"/>
              <w:spacing w:before="12"/>
              <w:ind w:left="313" w:right="431"/>
              <w:jc w:val="center"/>
              <w:rPr>
                <w:sz w:val="18"/>
              </w:rPr>
            </w:pPr>
            <w:r>
              <w:rPr>
                <w:color w:val="231F20"/>
                <w:sz w:val="18"/>
              </w:rPr>
              <w:t>(b)</w:t>
            </w:r>
          </w:p>
        </w:tc>
        <w:tc>
          <w:tcPr>
            <w:tcW w:w="2470" w:type="dxa"/>
          </w:tcPr>
          <w:p>
            <w:pPr>
              <w:pStyle w:val="TableParagraph"/>
              <w:spacing w:before="12"/>
              <w:ind w:left="282"/>
              <w:rPr>
                <w:sz w:val="18"/>
              </w:rPr>
            </w:pPr>
            <w:r>
              <w:rPr>
                <w:color w:val="231F20"/>
                <w:sz w:val="18"/>
              </w:rPr>
              <w:t>(b)</w:t>
            </w:r>
          </w:p>
        </w:tc>
      </w:tr>
      <w:tr>
        <w:trPr>
          <w:trHeight w:val="201" w:hRule="exact"/>
        </w:trPr>
        <w:tc>
          <w:tcPr>
            <w:tcW w:w="1656" w:type="dxa"/>
          </w:tcPr>
          <w:p>
            <w:pPr>
              <w:pStyle w:val="TableParagraph"/>
              <w:spacing w:line="180" w:lineRule="exact" w:before="0"/>
              <w:ind w:left="269"/>
              <w:rPr>
                <w:sz w:val="18"/>
              </w:rPr>
            </w:pPr>
            <w:r>
              <w:rPr>
                <w:color w:val="231F20"/>
                <w:sz w:val="18"/>
              </w:rPr>
              <w:t>from CP</w:t>
            </w:r>
          </w:p>
        </w:tc>
        <w:tc>
          <w:tcPr>
            <w:tcW w:w="996" w:type="dxa"/>
          </w:tcPr>
          <w:p>
            <w:pPr/>
          </w:p>
        </w:tc>
        <w:tc>
          <w:tcPr>
            <w:tcW w:w="1111" w:type="dxa"/>
          </w:tcPr>
          <w:p>
            <w:pPr/>
          </w:p>
        </w:tc>
        <w:tc>
          <w:tcPr>
            <w:tcW w:w="638" w:type="dxa"/>
          </w:tcPr>
          <w:p>
            <w:pPr/>
          </w:p>
        </w:tc>
        <w:tc>
          <w:tcPr>
            <w:tcW w:w="1075" w:type="dxa"/>
          </w:tcPr>
          <w:p>
            <w:pPr/>
          </w:p>
        </w:tc>
        <w:tc>
          <w:tcPr>
            <w:tcW w:w="1175" w:type="dxa"/>
          </w:tcPr>
          <w:p>
            <w:pPr/>
          </w:p>
        </w:tc>
        <w:tc>
          <w:tcPr>
            <w:tcW w:w="2470" w:type="dxa"/>
          </w:tcPr>
          <w:p>
            <w:pPr/>
          </w:p>
        </w:tc>
      </w:tr>
      <w:tr>
        <w:trPr>
          <w:trHeight w:val="209" w:hRule="exact"/>
        </w:trPr>
        <w:tc>
          <w:tcPr>
            <w:tcW w:w="1656" w:type="dxa"/>
            <w:shd w:val="clear" w:color="auto" w:fill="D1D3D4"/>
          </w:tcPr>
          <w:p>
            <w:pPr>
              <w:pStyle w:val="TableParagraph"/>
              <w:spacing w:before="12"/>
              <w:ind w:left="179"/>
              <w:rPr>
                <w:sz w:val="18"/>
              </w:rPr>
            </w:pPr>
            <w:r>
              <w:rPr>
                <w:color w:val="231F20"/>
                <w:sz w:val="18"/>
              </w:rPr>
              <w:t>Aircraft or cash</w:t>
            </w:r>
          </w:p>
        </w:tc>
        <w:tc>
          <w:tcPr>
            <w:tcW w:w="996" w:type="dxa"/>
            <w:shd w:val="clear" w:color="auto" w:fill="D1D3D4"/>
          </w:tcPr>
          <w:p>
            <w:pPr>
              <w:pStyle w:val="TableParagraph"/>
              <w:spacing w:before="12"/>
              <w:ind w:left="207"/>
              <w:rPr>
                <w:sz w:val="18"/>
              </w:rPr>
            </w:pPr>
            <w:r>
              <w:rPr>
                <w:color w:val="231F20"/>
                <w:sz w:val="18"/>
              </w:rPr>
              <w:t>(200) to</w:t>
            </w:r>
          </w:p>
        </w:tc>
        <w:tc>
          <w:tcPr>
            <w:tcW w:w="1111" w:type="dxa"/>
            <w:shd w:val="clear" w:color="auto" w:fill="D1D3D4"/>
          </w:tcPr>
          <w:p>
            <w:pPr>
              <w:pStyle w:val="TableParagraph"/>
              <w:spacing w:before="12"/>
              <w:ind w:left="212"/>
              <w:rPr>
                <w:sz w:val="18"/>
              </w:rPr>
            </w:pPr>
            <w:r>
              <w:rPr>
                <w:color w:val="231F20"/>
                <w:sz w:val="18"/>
              </w:rPr>
              <w:t>(100) to</w:t>
            </w:r>
          </w:p>
        </w:tc>
        <w:tc>
          <w:tcPr>
            <w:tcW w:w="638" w:type="dxa"/>
            <w:shd w:val="clear" w:color="auto" w:fill="D1D3D4"/>
          </w:tcPr>
          <w:p>
            <w:pPr>
              <w:pStyle w:val="TableParagraph"/>
              <w:spacing w:before="12"/>
              <w:ind w:left="195"/>
              <w:rPr>
                <w:sz w:val="18"/>
              </w:rPr>
            </w:pPr>
            <w:r>
              <w:rPr>
                <w:color w:val="231F20"/>
                <w:sz w:val="18"/>
              </w:rPr>
              <w:t>N/A</w:t>
            </w:r>
          </w:p>
        </w:tc>
        <w:tc>
          <w:tcPr>
            <w:tcW w:w="1075" w:type="dxa"/>
            <w:shd w:val="clear" w:color="auto" w:fill="D1D3D4"/>
          </w:tcPr>
          <w:p>
            <w:pPr>
              <w:pStyle w:val="TableParagraph"/>
              <w:spacing w:before="12"/>
              <w:ind w:left="259"/>
              <w:rPr>
                <w:sz w:val="18"/>
              </w:rPr>
            </w:pPr>
            <w:r>
              <w:rPr>
                <w:color w:val="231F20"/>
                <w:sz w:val="18"/>
              </w:rPr>
              <w:t>(150) to</w:t>
            </w:r>
          </w:p>
        </w:tc>
        <w:tc>
          <w:tcPr>
            <w:tcW w:w="1175" w:type="dxa"/>
            <w:shd w:val="clear" w:color="auto" w:fill="D1D3D4"/>
          </w:tcPr>
          <w:p>
            <w:pPr>
              <w:pStyle w:val="TableParagraph"/>
              <w:spacing w:before="12"/>
              <w:ind w:left="239"/>
              <w:rPr>
                <w:sz w:val="18"/>
              </w:rPr>
            </w:pPr>
            <w:r>
              <w:rPr>
                <w:color w:val="231F20"/>
                <w:sz w:val="18"/>
              </w:rPr>
              <w:t>(150) to</w:t>
            </w:r>
          </w:p>
        </w:tc>
        <w:tc>
          <w:tcPr>
            <w:tcW w:w="2470" w:type="dxa"/>
            <w:shd w:val="clear" w:color="auto" w:fill="D1D3D4"/>
          </w:tcPr>
          <w:p>
            <w:pPr>
              <w:pStyle w:val="TableParagraph"/>
              <w:spacing w:before="12"/>
              <w:ind w:left="232"/>
              <w:rPr>
                <w:sz w:val="18"/>
              </w:rPr>
            </w:pPr>
            <w:r>
              <w:rPr>
                <w:color w:val="231F20"/>
                <w:sz w:val="18"/>
              </w:rPr>
              <w:t>N/A</w:t>
            </w:r>
          </w:p>
        </w:tc>
      </w:tr>
      <w:tr>
        <w:trPr>
          <w:trHeight w:val="180" w:hRule="exact"/>
        </w:trPr>
        <w:tc>
          <w:tcPr>
            <w:tcW w:w="1656" w:type="dxa"/>
            <w:shd w:val="clear" w:color="auto" w:fill="D1D3D4"/>
          </w:tcPr>
          <w:p>
            <w:pPr>
              <w:pStyle w:val="TableParagraph"/>
              <w:spacing w:line="190" w:lineRule="exact" w:before="0"/>
              <w:ind w:left="269"/>
              <w:rPr>
                <w:sz w:val="18"/>
              </w:rPr>
            </w:pPr>
            <w:r>
              <w:rPr>
                <w:color w:val="231F20"/>
                <w:sz w:val="18"/>
              </w:rPr>
              <w:t>can be pledged to</w:t>
            </w:r>
          </w:p>
        </w:tc>
        <w:tc>
          <w:tcPr>
            <w:tcW w:w="996" w:type="dxa"/>
            <w:shd w:val="clear" w:color="auto" w:fill="D1D3D4"/>
          </w:tcPr>
          <w:p>
            <w:pPr>
              <w:pStyle w:val="TableParagraph"/>
              <w:spacing w:line="190" w:lineRule="exact" w:before="0"/>
              <w:ind w:left="282" w:right="284"/>
              <w:jc w:val="center"/>
              <w:rPr>
                <w:sz w:val="18"/>
              </w:rPr>
            </w:pPr>
            <w:r>
              <w:rPr>
                <w:color w:val="231F20"/>
                <w:sz w:val="18"/>
              </w:rPr>
              <w:t>(600)</w:t>
            </w:r>
          </w:p>
        </w:tc>
        <w:tc>
          <w:tcPr>
            <w:tcW w:w="1111" w:type="dxa"/>
            <w:shd w:val="clear" w:color="auto" w:fill="D1D3D4"/>
          </w:tcPr>
          <w:p>
            <w:pPr>
              <w:pStyle w:val="TableParagraph"/>
              <w:spacing w:line="190" w:lineRule="exact" w:before="0"/>
              <w:ind w:left="286" w:right="394"/>
              <w:jc w:val="center"/>
              <w:rPr>
                <w:sz w:val="18"/>
              </w:rPr>
            </w:pPr>
            <w:r>
              <w:rPr>
                <w:color w:val="231F20"/>
                <w:sz w:val="18"/>
              </w:rPr>
              <w:t>(500)</w:t>
            </w:r>
          </w:p>
        </w:tc>
        <w:tc>
          <w:tcPr>
            <w:tcW w:w="638" w:type="dxa"/>
            <w:shd w:val="clear" w:color="auto" w:fill="D1D3D4"/>
          </w:tcPr>
          <w:p>
            <w:pPr/>
          </w:p>
        </w:tc>
        <w:tc>
          <w:tcPr>
            <w:tcW w:w="1075" w:type="dxa"/>
            <w:shd w:val="clear" w:color="auto" w:fill="D1D3D4"/>
          </w:tcPr>
          <w:p>
            <w:pPr>
              <w:pStyle w:val="TableParagraph"/>
              <w:spacing w:line="190" w:lineRule="exact" w:before="0"/>
              <w:ind w:left="332" w:right="313"/>
              <w:jc w:val="center"/>
              <w:rPr>
                <w:sz w:val="18"/>
              </w:rPr>
            </w:pPr>
            <w:r>
              <w:rPr>
                <w:color w:val="231F20"/>
                <w:sz w:val="18"/>
              </w:rPr>
              <w:t>(550)</w:t>
            </w:r>
          </w:p>
        </w:tc>
        <w:tc>
          <w:tcPr>
            <w:tcW w:w="1175" w:type="dxa"/>
            <w:shd w:val="clear" w:color="auto" w:fill="D1D3D4"/>
          </w:tcPr>
          <w:p>
            <w:pPr>
              <w:pStyle w:val="TableParagraph"/>
              <w:spacing w:line="190" w:lineRule="exact" w:before="0"/>
              <w:ind w:left="313" w:right="432"/>
              <w:jc w:val="center"/>
              <w:rPr>
                <w:sz w:val="18"/>
              </w:rPr>
            </w:pPr>
            <w:r>
              <w:rPr>
                <w:color w:val="231F20"/>
                <w:sz w:val="18"/>
              </w:rPr>
              <w:t>(550)</w:t>
            </w:r>
          </w:p>
        </w:tc>
        <w:tc>
          <w:tcPr>
            <w:tcW w:w="2470" w:type="dxa"/>
            <w:shd w:val="clear" w:color="auto" w:fill="D1D3D4"/>
          </w:tcPr>
          <w:p>
            <w:pPr/>
          </w:p>
        </w:tc>
      </w:tr>
      <w:tr>
        <w:trPr>
          <w:trHeight w:val="211" w:hRule="exact"/>
        </w:trPr>
        <w:tc>
          <w:tcPr>
            <w:tcW w:w="1656" w:type="dxa"/>
            <w:shd w:val="clear" w:color="auto" w:fill="D1D3D4"/>
          </w:tcPr>
          <w:p>
            <w:pPr>
              <w:pStyle w:val="TableParagraph"/>
              <w:spacing w:line="190" w:lineRule="exact" w:before="0"/>
              <w:ind w:left="269"/>
              <w:rPr>
                <w:sz w:val="18"/>
              </w:rPr>
            </w:pPr>
            <w:r>
              <w:rPr>
                <w:color w:val="231F20"/>
                <w:sz w:val="18"/>
              </w:rPr>
              <w:t>CP as collateral</w:t>
            </w:r>
          </w:p>
        </w:tc>
        <w:tc>
          <w:tcPr>
            <w:tcW w:w="996" w:type="dxa"/>
            <w:shd w:val="clear" w:color="auto" w:fill="D1D3D4"/>
          </w:tcPr>
          <w:p>
            <w:pPr/>
          </w:p>
        </w:tc>
        <w:tc>
          <w:tcPr>
            <w:tcW w:w="1111" w:type="dxa"/>
            <w:shd w:val="clear" w:color="auto" w:fill="D1D3D4"/>
          </w:tcPr>
          <w:p>
            <w:pPr/>
          </w:p>
        </w:tc>
        <w:tc>
          <w:tcPr>
            <w:tcW w:w="638" w:type="dxa"/>
            <w:shd w:val="clear" w:color="auto" w:fill="D1D3D4"/>
          </w:tcPr>
          <w:p>
            <w:pPr/>
          </w:p>
        </w:tc>
        <w:tc>
          <w:tcPr>
            <w:tcW w:w="1075" w:type="dxa"/>
            <w:shd w:val="clear" w:color="auto" w:fill="D1D3D4"/>
          </w:tcPr>
          <w:p>
            <w:pPr/>
          </w:p>
        </w:tc>
        <w:tc>
          <w:tcPr>
            <w:tcW w:w="1175" w:type="dxa"/>
            <w:shd w:val="clear" w:color="auto" w:fill="D1D3D4"/>
          </w:tcPr>
          <w:p>
            <w:pPr/>
          </w:p>
        </w:tc>
        <w:tc>
          <w:tcPr>
            <w:tcW w:w="2470" w:type="dxa"/>
            <w:shd w:val="clear" w:color="auto" w:fill="D1D3D4"/>
          </w:tcPr>
          <w:p>
            <w:pPr/>
          </w:p>
        </w:tc>
      </w:tr>
    </w:tbl>
    <w:p>
      <w:pPr>
        <w:pStyle w:val="BodyText"/>
        <w:spacing w:before="4"/>
        <w:rPr>
          <w:b/>
          <w:sz w:val="25"/>
        </w:rPr>
      </w:pPr>
    </w:p>
    <w:p>
      <w:pPr>
        <w:pStyle w:val="ListParagraph"/>
        <w:numPr>
          <w:ilvl w:val="0"/>
          <w:numId w:val="20"/>
        </w:numPr>
        <w:tabs>
          <w:tab w:pos="380" w:val="left" w:leader="none"/>
        </w:tabs>
        <w:spacing w:line="240" w:lineRule="auto" w:before="0" w:after="0"/>
        <w:ind w:left="360" w:right="0" w:hanging="241"/>
        <w:jc w:val="left"/>
        <w:rPr>
          <w:sz w:val="18"/>
        </w:rPr>
      </w:pPr>
      <w:r>
        <w:rPr>
          <w:color w:val="231F20"/>
          <w:sz w:val="18"/>
        </w:rPr>
        <w:t>Individual counterparties with fair value of fuel derivatives &lt;$3</w:t>
      </w:r>
      <w:r>
        <w:rPr>
          <w:color w:val="231F20"/>
          <w:spacing w:val="3"/>
          <w:sz w:val="18"/>
        </w:rPr>
        <w:t> </w:t>
      </w:r>
      <w:r>
        <w:rPr>
          <w:color w:val="231F20"/>
          <w:sz w:val="18"/>
        </w:rPr>
        <w:t>million.</w:t>
      </w:r>
    </w:p>
    <w:p>
      <w:pPr>
        <w:pStyle w:val="ListParagraph"/>
        <w:numPr>
          <w:ilvl w:val="0"/>
          <w:numId w:val="20"/>
        </w:numPr>
        <w:tabs>
          <w:tab w:pos="380" w:val="left" w:leader="none"/>
        </w:tabs>
        <w:spacing w:line="240" w:lineRule="auto" w:before="52" w:after="0"/>
        <w:ind w:left="379" w:right="0" w:hanging="260"/>
        <w:jc w:val="left"/>
        <w:rPr>
          <w:sz w:val="18"/>
        </w:rPr>
      </w:pPr>
      <w:r>
        <w:rPr>
          <w:color w:val="231F20"/>
          <w:sz w:val="18"/>
        </w:rPr>
        <w:t>Cash collateral is provided at 100 percent of fair value of fuel derivative</w:t>
      </w:r>
      <w:r>
        <w:rPr>
          <w:color w:val="231F20"/>
          <w:spacing w:val="-1"/>
          <w:sz w:val="18"/>
        </w:rPr>
        <w:t> </w:t>
      </w:r>
      <w:r>
        <w:rPr>
          <w:color w:val="231F20"/>
          <w:sz w:val="18"/>
        </w:rPr>
        <w:t>contracts.</w:t>
      </w:r>
    </w:p>
    <w:p>
      <w:pPr>
        <w:spacing w:after="0" w:line="240" w:lineRule="auto"/>
        <w:jc w:val="left"/>
        <w:rPr>
          <w:sz w:val="18"/>
        </w:rPr>
        <w:sectPr>
          <w:pgSz w:w="11880" w:h="15480"/>
          <w:pgMar w:header="0" w:footer="1240" w:top="1240" w:bottom="1420" w:left="1260" w:right="1260"/>
        </w:sectPr>
      </w:pPr>
    </w:p>
    <w:p>
      <w:pPr>
        <w:pStyle w:val="ListParagraph"/>
        <w:numPr>
          <w:ilvl w:val="0"/>
          <w:numId w:val="20"/>
        </w:numPr>
        <w:tabs>
          <w:tab w:pos="360" w:val="left" w:leader="none"/>
        </w:tabs>
        <w:spacing w:line="240" w:lineRule="auto" w:before="72" w:after="0"/>
        <w:ind w:left="360" w:right="0" w:hanging="260"/>
        <w:jc w:val="both"/>
        <w:rPr>
          <w:sz w:val="18"/>
        </w:rPr>
      </w:pPr>
      <w:bookmarkStart w:name="11. FAIR VALUE MEASUREMENTS" w:id="35"/>
      <w:bookmarkEnd w:id="35"/>
      <w:r>
        <w:rPr/>
      </w:r>
      <w:bookmarkStart w:name="11. FAIR VALUE MEASUREMENTS" w:id="36"/>
      <w:bookmarkEnd w:id="36"/>
      <w:r>
        <w:rPr>
          <w:color w:val="231F20"/>
          <w:sz w:val="18"/>
        </w:rPr>
        <w:t>Thresholds</w:t>
      </w:r>
      <w:r>
        <w:rPr>
          <w:color w:val="231F20"/>
          <w:sz w:val="18"/>
        </w:rPr>
        <w:t> may vary based on changes in credit ratings within investment</w:t>
      </w:r>
      <w:r>
        <w:rPr>
          <w:color w:val="231F20"/>
          <w:spacing w:val="-2"/>
          <w:sz w:val="18"/>
        </w:rPr>
        <w:t> </w:t>
      </w:r>
      <w:r>
        <w:rPr>
          <w:color w:val="231F20"/>
          <w:sz w:val="18"/>
        </w:rPr>
        <w:t>grade.</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of providing cash, letters of credit, or pledging aircraft as</w:t>
      </w:r>
      <w:r>
        <w:rPr>
          <w:color w:val="231F20"/>
          <w:spacing w:val="-1"/>
          <w:sz w:val="18"/>
        </w:rPr>
        <w:t> </w:t>
      </w:r>
      <w:r>
        <w:rPr>
          <w:color w:val="231F20"/>
          <w:sz w:val="18"/>
        </w:rPr>
        <w:t>collateral.</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of providing cash or letters of credit as</w:t>
      </w:r>
      <w:r>
        <w:rPr>
          <w:color w:val="231F20"/>
          <w:spacing w:val="-1"/>
          <w:sz w:val="18"/>
        </w:rPr>
        <w:t> </w:t>
      </w:r>
      <w:r>
        <w:rPr>
          <w:color w:val="231F20"/>
          <w:sz w:val="18"/>
        </w:rPr>
        <w:t>collateral.</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of providing cash or pledging aircraft as</w:t>
      </w:r>
      <w:r>
        <w:rPr>
          <w:color w:val="231F20"/>
          <w:spacing w:val="-1"/>
          <w:sz w:val="18"/>
        </w:rPr>
        <w:t> </w:t>
      </w:r>
      <w:r>
        <w:rPr>
          <w:color w:val="231F20"/>
          <w:sz w:val="18"/>
        </w:rPr>
        <w:t>collateral.</w:t>
      </w:r>
    </w:p>
    <w:p>
      <w:pPr>
        <w:pStyle w:val="ListParagraph"/>
        <w:numPr>
          <w:ilvl w:val="0"/>
          <w:numId w:val="20"/>
        </w:numPr>
        <w:tabs>
          <w:tab w:pos="360" w:val="left" w:leader="none"/>
        </w:tabs>
        <w:spacing w:line="240" w:lineRule="auto" w:before="53" w:after="0"/>
        <w:ind w:left="360" w:right="0" w:hanging="260"/>
        <w:jc w:val="both"/>
        <w:rPr>
          <w:sz w:val="18"/>
        </w:rPr>
      </w:pPr>
      <w:r>
        <w:rPr>
          <w:color w:val="231F20"/>
          <w:sz w:val="18"/>
        </w:rPr>
        <w:t>The Company has the option to substitute letters of credit for 100 percent of cash collateral</w:t>
      </w:r>
      <w:r>
        <w:rPr>
          <w:color w:val="231F20"/>
          <w:spacing w:val="-2"/>
          <w:sz w:val="18"/>
        </w:rPr>
        <w:t> </w:t>
      </w:r>
      <w:r>
        <w:rPr>
          <w:color w:val="231F20"/>
          <w:sz w:val="18"/>
        </w:rPr>
        <w:t>requirement.</w:t>
      </w:r>
    </w:p>
    <w:p>
      <w:pPr>
        <w:pStyle w:val="ListParagraph"/>
        <w:numPr>
          <w:ilvl w:val="0"/>
          <w:numId w:val="20"/>
        </w:numPr>
        <w:tabs>
          <w:tab w:pos="360" w:val="left" w:leader="none"/>
        </w:tabs>
        <w:spacing w:line="254" w:lineRule="auto" w:before="53" w:after="0"/>
        <w:ind w:left="360" w:right="118" w:hanging="260"/>
        <w:jc w:val="left"/>
        <w:rPr>
          <w:sz w:val="18"/>
        </w:rPr>
      </w:pPr>
      <w:r>
        <w:rPr>
          <w:color w:val="231F20"/>
          <w:sz w:val="18"/>
        </w:rPr>
        <w:t>The Company has the option of providing letters of credit in addition to aircraft collateral if the appraised value of the aircraft does not meet the collateral</w:t>
      </w:r>
      <w:r>
        <w:rPr>
          <w:color w:val="231F20"/>
          <w:spacing w:val="-1"/>
          <w:sz w:val="18"/>
        </w:rPr>
        <w:t> </w:t>
      </w:r>
      <w:r>
        <w:rPr>
          <w:color w:val="231F20"/>
          <w:sz w:val="18"/>
        </w:rPr>
        <w:t>requirement.</w:t>
      </w:r>
    </w:p>
    <w:p>
      <w:pPr>
        <w:pStyle w:val="BodyText"/>
        <w:spacing w:before="2"/>
        <w:rPr>
          <w:sz w:val="21"/>
        </w:rPr>
      </w:pPr>
    </w:p>
    <w:p>
      <w:pPr>
        <w:pStyle w:val="Heading1"/>
        <w:numPr>
          <w:ilvl w:val="0"/>
          <w:numId w:val="16"/>
        </w:numPr>
        <w:tabs>
          <w:tab w:pos="430" w:val="left" w:leader="none"/>
        </w:tabs>
        <w:spacing w:line="240" w:lineRule="auto" w:before="0" w:after="0"/>
        <w:ind w:left="430" w:right="0" w:hanging="330"/>
        <w:jc w:val="both"/>
      </w:pPr>
      <w:r>
        <w:rPr>
          <w:color w:val="231F20"/>
        </w:rPr>
        <w:t>FAIR VALUE MEASUREMENTS</w:t>
      </w:r>
    </w:p>
    <w:p>
      <w:pPr>
        <w:pStyle w:val="BodyText"/>
        <w:spacing w:before="5"/>
        <w:rPr>
          <w:b/>
          <w:sz w:val="21"/>
        </w:rPr>
      </w:pPr>
    </w:p>
    <w:p>
      <w:pPr>
        <w:pStyle w:val="BodyText"/>
        <w:spacing w:line="247" w:lineRule="auto"/>
        <w:ind w:left="100" w:right="118"/>
        <w:jc w:val="both"/>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9"/>
        <w:rPr>
          <w:sz w:val="20"/>
        </w:rPr>
      </w:pPr>
    </w:p>
    <w:p>
      <w:pPr>
        <w:pStyle w:val="BodyText"/>
        <w:spacing w:line="247" w:lineRule="auto"/>
        <w:ind w:left="100" w:right="117"/>
        <w:jc w:val="both"/>
      </w:pPr>
      <w:r>
        <w:rPr>
          <w:color w:val="231F20"/>
        </w:rPr>
        <w:t>As of December 31, 2016, the Company held certain items that are required to be measured at fair value on a recurring basis. These included cash equivalents, short-term investments (primarily treasury bills  and  certificates  of  deposit),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Other available-for- sale securities primarily consist of investments associated with the Company’s excess benefit plan.</w:t>
      </w:r>
    </w:p>
    <w:p>
      <w:pPr>
        <w:pStyle w:val="BodyText"/>
        <w:spacing w:before="9"/>
        <w:rPr>
          <w:sz w:val="20"/>
        </w:rPr>
      </w:pPr>
    </w:p>
    <w:p>
      <w:pPr>
        <w:pStyle w:val="BodyText"/>
        <w:spacing w:line="247" w:lineRule="auto"/>
        <w:ind w:left="100" w:right="117"/>
        <w:jc w:val="both"/>
      </w:pPr>
      <w:r>
        <w:rPr>
          <w:color w:val="231F20"/>
        </w:rPr>
        <w:t>The Company’s fuel and interest rate derivative instruments consist of over-the-counter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w:t>
      </w:r>
      <w:r>
        <w:rPr>
          <w:color w:val="231F20"/>
          <w:spacing w:val="3"/>
        </w:rPr>
        <w:t> </w:t>
      </w:r>
      <w:r>
        <w:rPr>
          <w:color w:val="231F20"/>
        </w:rPr>
        <w:t>to</w:t>
      </w:r>
    </w:p>
    <w:p>
      <w:pPr>
        <w:spacing w:after="0" w:line="247" w:lineRule="auto"/>
        <w:jc w:val="both"/>
        <w:sectPr>
          <w:pgSz w:w="11880" w:h="15480"/>
          <w:pgMar w:header="0" w:footer="1240" w:top="1240" w:bottom="1420" w:left="1280" w:right="1260"/>
        </w:sectPr>
      </w:pPr>
    </w:p>
    <w:p>
      <w:pPr>
        <w:pStyle w:val="BodyText"/>
        <w:spacing w:line="247" w:lineRule="auto" w:before="74"/>
        <w:ind w:left="120" w:right="118"/>
        <w:jc w:val="both"/>
      </w:pPr>
      <w:r>
        <w:rPr>
          <w:color w:val="231F20"/>
        </w:rPr>
        <w:t>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 holds.</w:t>
      </w:r>
    </w:p>
    <w:p>
      <w:pPr>
        <w:pStyle w:val="BodyText"/>
        <w:spacing w:before="4"/>
        <w:rPr>
          <w:sz w:val="19"/>
        </w:rPr>
      </w:pPr>
    </w:p>
    <w:p>
      <w:pPr>
        <w:pStyle w:val="BodyText"/>
        <w:spacing w:line="247" w:lineRule="auto"/>
        <w:ind w:left="120" w:right="121"/>
        <w:jc w:val="both"/>
      </w:pPr>
      <w:r>
        <w:rPr>
          <w:color w:val="231F20"/>
          <w:spacing w:val="-4"/>
        </w:rPr>
        <w:t>Included </w:t>
      </w:r>
      <w:r>
        <w:rPr>
          <w:color w:val="231F20"/>
          <w:spacing w:val="-3"/>
        </w:rPr>
        <w:t>in </w:t>
      </w:r>
      <w:r>
        <w:rPr>
          <w:color w:val="231F20"/>
          <w:spacing w:val="-4"/>
        </w:rPr>
        <w:t>Other available-for-sale securities </w:t>
      </w:r>
      <w:r>
        <w:rPr>
          <w:color w:val="231F20"/>
          <w:spacing w:val="-3"/>
        </w:rPr>
        <w:t>are the </w:t>
      </w:r>
      <w:r>
        <w:rPr>
          <w:color w:val="231F20"/>
          <w:spacing w:val="-4"/>
        </w:rPr>
        <w:t>Company’s investments associated </w:t>
      </w:r>
      <w:r>
        <w:rPr>
          <w:color w:val="231F20"/>
          <w:spacing w:val="-3"/>
        </w:rPr>
        <w:t>with its </w:t>
      </w:r>
      <w:r>
        <w:rPr>
          <w:color w:val="231F20"/>
          <w:spacing w:val="-4"/>
        </w:rPr>
        <w:t>deferred compensation plans, which consist </w:t>
      </w:r>
      <w:r>
        <w:rPr>
          <w:color w:val="231F20"/>
        </w:rPr>
        <w:t>of </w:t>
      </w:r>
      <w:r>
        <w:rPr>
          <w:color w:val="231F20"/>
          <w:spacing w:val="-4"/>
        </w:rPr>
        <w:t>mutual funds </w:t>
      </w:r>
      <w:r>
        <w:rPr>
          <w:color w:val="231F20"/>
          <w:spacing w:val="-3"/>
        </w:rPr>
        <w:t>that are </w:t>
      </w:r>
      <w:r>
        <w:rPr>
          <w:color w:val="231F20"/>
          <w:spacing w:val="-4"/>
        </w:rPr>
        <w:t>publicly traded </w:t>
      </w:r>
      <w:r>
        <w:rPr>
          <w:color w:val="231F20"/>
          <w:spacing w:val="-3"/>
        </w:rPr>
        <w:t>and for </w:t>
      </w:r>
      <w:r>
        <w:rPr>
          <w:color w:val="231F20"/>
          <w:spacing w:val="-4"/>
        </w:rPr>
        <w:t>which market prices are readily available. These plans </w:t>
      </w:r>
      <w:r>
        <w:rPr>
          <w:color w:val="231F20"/>
          <w:spacing w:val="-3"/>
        </w:rPr>
        <w:t>are </w:t>
      </w:r>
      <w:r>
        <w:rPr>
          <w:color w:val="231F20"/>
          <w:spacing w:val="-4"/>
        </w:rPr>
        <w:t>non-qualified deferred compensation plans designed </w:t>
      </w:r>
      <w:r>
        <w:rPr>
          <w:color w:val="231F20"/>
          <w:spacing w:val="-3"/>
        </w:rPr>
        <w:t>to hold </w:t>
      </w:r>
      <w:r>
        <w:rPr>
          <w:color w:val="231F20"/>
          <w:spacing w:val="-4"/>
        </w:rPr>
        <w:t>contributions </w:t>
      </w:r>
      <w:r>
        <w:rPr>
          <w:color w:val="231F20"/>
        </w:rPr>
        <w:t>in </w:t>
      </w:r>
      <w:r>
        <w:rPr>
          <w:color w:val="231F20"/>
          <w:spacing w:val="-4"/>
        </w:rPr>
        <w:t>excess </w:t>
      </w:r>
      <w:r>
        <w:rPr>
          <w:color w:val="231F20"/>
        </w:rPr>
        <w:t>of </w:t>
      </w:r>
      <w:r>
        <w:rPr>
          <w:color w:val="231F20"/>
          <w:spacing w:val="-4"/>
        </w:rPr>
        <w:t>limits established </w:t>
      </w:r>
      <w:r>
        <w:rPr>
          <w:color w:val="231F20"/>
        </w:rPr>
        <w:t>by </w:t>
      </w:r>
      <w:r>
        <w:rPr>
          <w:color w:val="231F20"/>
          <w:spacing w:val="-3"/>
        </w:rPr>
        <w:t>the </w:t>
      </w:r>
      <w:r>
        <w:rPr>
          <w:color w:val="231F20"/>
          <w:spacing w:val="-4"/>
        </w:rPr>
        <w:t>Internal Revenue </w:t>
      </w:r>
      <w:r>
        <w:rPr>
          <w:color w:val="231F20"/>
          <w:spacing w:val="-3"/>
        </w:rPr>
        <w:t>Code </w:t>
      </w:r>
      <w:r>
        <w:rPr>
          <w:color w:val="231F20"/>
        </w:rPr>
        <w:t>of </w:t>
      </w:r>
      <w:r>
        <w:rPr>
          <w:color w:val="231F20"/>
          <w:spacing w:val="-4"/>
        </w:rPr>
        <w:t>1986, </w:t>
      </w:r>
      <w:r>
        <w:rPr>
          <w:color w:val="231F20"/>
        </w:rPr>
        <w:t>as </w:t>
      </w:r>
      <w:r>
        <w:rPr>
          <w:color w:val="231F20"/>
          <w:spacing w:val="-4"/>
        </w:rPr>
        <w:t>amended. </w:t>
      </w:r>
      <w:r>
        <w:rPr>
          <w:color w:val="231F20"/>
          <w:spacing w:val="-3"/>
        </w:rPr>
        <w:t>The </w:t>
      </w:r>
      <w:r>
        <w:rPr>
          <w:color w:val="231F20"/>
          <w:spacing w:val="-4"/>
        </w:rPr>
        <w:t>distribution timing </w:t>
      </w:r>
      <w:r>
        <w:rPr>
          <w:color w:val="231F20"/>
          <w:spacing w:val="-3"/>
        </w:rPr>
        <w:t>and </w:t>
      </w:r>
      <w:r>
        <w:rPr>
          <w:color w:val="231F20"/>
          <w:spacing w:val="-4"/>
        </w:rPr>
        <w:t>payment amounts under these plans </w:t>
      </w:r>
      <w:r>
        <w:rPr>
          <w:color w:val="231F20"/>
          <w:spacing w:val="-3"/>
        </w:rPr>
        <w:t>are made </w:t>
      </w:r>
      <w:r>
        <w:rPr>
          <w:color w:val="231F20"/>
          <w:spacing w:val="-4"/>
        </w:rPr>
        <w:t>based </w:t>
      </w:r>
      <w:r>
        <w:rPr>
          <w:color w:val="231F20"/>
        </w:rPr>
        <w:t>on </w:t>
      </w:r>
      <w:r>
        <w:rPr>
          <w:color w:val="231F20"/>
          <w:spacing w:val="-3"/>
        </w:rPr>
        <w:t>the </w:t>
      </w:r>
      <w:r>
        <w:rPr>
          <w:color w:val="231F20"/>
          <w:spacing w:val="-4"/>
        </w:rPr>
        <w:t>participant’s distribution election </w:t>
      </w:r>
      <w:r>
        <w:rPr>
          <w:color w:val="231F20"/>
          <w:spacing w:val="-3"/>
        </w:rPr>
        <w:t>and </w:t>
      </w:r>
      <w:r>
        <w:rPr>
          <w:color w:val="231F20"/>
          <w:spacing w:val="-4"/>
        </w:rPr>
        <w:t>plan balance. Assets related </w:t>
      </w:r>
      <w:r>
        <w:rPr>
          <w:color w:val="231F20"/>
          <w:spacing w:val="-3"/>
        </w:rPr>
        <w:t>to the </w:t>
      </w:r>
      <w:r>
        <w:rPr>
          <w:color w:val="231F20"/>
          <w:spacing w:val="-4"/>
        </w:rPr>
        <w:t>funded portions </w:t>
      </w:r>
      <w:r>
        <w:rPr>
          <w:color w:val="231F20"/>
        </w:rPr>
        <w:t>of </w:t>
      </w:r>
      <w:r>
        <w:rPr>
          <w:color w:val="231F20"/>
          <w:spacing w:val="-3"/>
        </w:rPr>
        <w:t>the </w:t>
      </w:r>
      <w:r>
        <w:rPr>
          <w:color w:val="231F20"/>
          <w:spacing w:val="-4"/>
        </w:rPr>
        <w:t>deferred compensation plans </w:t>
      </w:r>
      <w:r>
        <w:rPr>
          <w:color w:val="231F20"/>
          <w:spacing w:val="-3"/>
        </w:rPr>
        <w:t>are held in </w:t>
      </w:r>
      <w:r>
        <w:rPr>
          <w:color w:val="231F20"/>
        </w:rPr>
        <w:t>a </w:t>
      </w:r>
      <w:r>
        <w:rPr>
          <w:color w:val="231F20"/>
          <w:spacing w:val="-4"/>
        </w:rPr>
        <w:t>rabbi trust, </w:t>
      </w:r>
      <w:r>
        <w:rPr>
          <w:color w:val="231F20"/>
          <w:spacing w:val="-3"/>
        </w:rPr>
        <w:t>and the </w:t>
      </w:r>
      <w:r>
        <w:rPr>
          <w:color w:val="231F20"/>
          <w:spacing w:val="-4"/>
        </w:rPr>
        <w:t>Company remains liable </w:t>
      </w:r>
      <w:r>
        <w:rPr>
          <w:color w:val="231F20"/>
          <w:spacing w:val="-3"/>
        </w:rPr>
        <w:t>to </w:t>
      </w:r>
      <w:r>
        <w:rPr>
          <w:color w:val="231F20"/>
          <w:spacing w:val="-4"/>
        </w:rPr>
        <w:t>these participants </w:t>
      </w:r>
      <w:r>
        <w:rPr>
          <w:color w:val="231F20"/>
          <w:spacing w:val="-3"/>
        </w:rPr>
        <w:t>for the </w:t>
      </w:r>
      <w:r>
        <w:rPr>
          <w:color w:val="231F20"/>
          <w:spacing w:val="-4"/>
        </w:rPr>
        <w:t>unfunded portion </w:t>
      </w:r>
      <w:r>
        <w:rPr>
          <w:color w:val="231F20"/>
        </w:rPr>
        <w:t>of </w:t>
      </w:r>
      <w:r>
        <w:rPr>
          <w:color w:val="231F20"/>
          <w:spacing w:val="-3"/>
        </w:rPr>
        <w:t>the </w:t>
      </w:r>
      <w:r>
        <w:rPr>
          <w:color w:val="231F20"/>
          <w:spacing w:val="-4"/>
        </w:rPr>
        <w:t>plans. </w:t>
      </w:r>
      <w:r>
        <w:rPr>
          <w:color w:val="231F20"/>
          <w:spacing w:val="-3"/>
        </w:rPr>
        <w:t>The </w:t>
      </w:r>
      <w:r>
        <w:rPr>
          <w:color w:val="231F20"/>
          <w:spacing w:val="-4"/>
        </w:rPr>
        <w:t>Company records changes </w:t>
      </w:r>
      <w:r>
        <w:rPr>
          <w:color w:val="231F20"/>
          <w:spacing w:val="-3"/>
        </w:rPr>
        <w:t>in the fair </w:t>
      </w:r>
      <w:r>
        <w:rPr>
          <w:color w:val="231F20"/>
          <w:spacing w:val="-4"/>
        </w:rPr>
        <w:t>value </w:t>
      </w:r>
      <w:r>
        <w:rPr>
          <w:color w:val="231F20"/>
        </w:rPr>
        <w:t>of </w:t>
      </w:r>
      <w:r>
        <w:rPr>
          <w:color w:val="231F20"/>
          <w:spacing w:val="-3"/>
        </w:rPr>
        <w:t>the </w:t>
      </w:r>
      <w:r>
        <w:rPr>
          <w:color w:val="231F20"/>
          <w:spacing w:val="-4"/>
        </w:rPr>
        <w:t>assets </w:t>
      </w:r>
      <w:r>
        <w:rPr>
          <w:color w:val="231F20"/>
        </w:rPr>
        <w:t>in </w:t>
      </w:r>
      <w:r>
        <w:rPr>
          <w:color w:val="231F20"/>
          <w:spacing w:val="-3"/>
        </w:rPr>
        <w:t>the </w:t>
      </w:r>
      <w:r>
        <w:rPr>
          <w:color w:val="231F20"/>
          <w:spacing w:val="-4"/>
        </w:rPr>
        <w:t>Company’s earnings.</w:t>
      </w:r>
    </w:p>
    <w:p>
      <w:pPr>
        <w:pStyle w:val="BodyText"/>
        <w:spacing w:before="4"/>
        <w:rPr>
          <w:sz w:val="19"/>
        </w:rPr>
      </w:pPr>
    </w:p>
    <w:p>
      <w:pPr>
        <w:pStyle w:val="BodyText"/>
        <w:spacing w:line="247" w:lineRule="auto"/>
        <w:ind w:left="120" w:right="118"/>
        <w:jc w:val="both"/>
      </w:pPr>
      <w:r>
        <w:rPr>
          <w:color w:val="231F20"/>
        </w:rPr>
        <w:t>The following tables present the Company’s assets and liabilities that are measured at fair value on a recurring basis at December 31, 2016, and December 31, 2015:</w:t>
      </w:r>
    </w:p>
    <w:p>
      <w:pPr>
        <w:spacing w:before="182"/>
        <w:ind w:left="4854" w:right="0" w:firstLine="0"/>
        <w:jc w:val="left"/>
        <w:rPr>
          <w:b/>
          <w:sz w:val="20"/>
        </w:rPr>
      </w:pPr>
      <w:r>
        <w:rPr/>
        <w:pict>
          <v:line style="position:absolute;mso-position-horizontal-relative:page;mso-position-vertical-relative:paragraph;z-index:6016" from="297.75pt,21.935932pt" to="525pt,21.935932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pStyle w:val="BodyText"/>
        <w:rPr>
          <w:b/>
        </w:rPr>
      </w:pPr>
    </w:p>
    <w:p>
      <w:pPr>
        <w:pStyle w:val="BodyText"/>
        <w:rPr>
          <w:b/>
        </w:rPr>
      </w:pPr>
    </w:p>
    <w:p>
      <w:pPr>
        <w:tabs>
          <w:tab w:pos="2907" w:val="left" w:leader="none"/>
        </w:tabs>
        <w:spacing w:before="144"/>
        <w:ind w:left="120" w:right="0" w:firstLine="0"/>
        <w:jc w:val="left"/>
        <w:rPr>
          <w:b/>
          <w:sz w:val="20"/>
        </w:rPr>
      </w:pPr>
      <w:r>
        <w:rPr>
          <w:b/>
          <w:color w:val="231F20"/>
          <w:sz w:val="20"/>
        </w:rPr>
        <w:t>Description</w:t>
        <w:tab/>
        <w:t>December 31, 2016</w:t>
      </w:r>
    </w:p>
    <w:p>
      <w:pPr>
        <w:spacing w:line="200" w:lineRule="exact" w:before="77"/>
        <w:ind w:left="123" w:right="0" w:firstLine="0"/>
        <w:jc w:val="center"/>
        <w:rPr>
          <w:b/>
          <w:sz w:val="20"/>
        </w:rPr>
      </w:pPr>
      <w:r>
        <w:rPr/>
        <w:br w:type="column"/>
      </w:r>
      <w:r>
        <w:rPr>
          <w:b/>
          <w:color w:val="231F20"/>
          <w:sz w:val="20"/>
        </w:rPr>
        <w:t>Quoted prices in active markets</w:t>
      </w:r>
    </w:p>
    <w:p>
      <w:pPr>
        <w:spacing w:line="200" w:lineRule="exact" w:before="0"/>
        <w:ind w:left="119" w:right="0" w:firstLine="0"/>
        <w:jc w:val="center"/>
        <w:rPr>
          <w:b/>
          <w:sz w:val="20"/>
        </w:rPr>
      </w:pPr>
      <w:r>
        <w:rPr>
          <w:b/>
          <w:color w:val="231F20"/>
          <w:sz w:val="20"/>
        </w:rPr>
        <w:t>for identical assets</w:t>
      </w:r>
      <w:r>
        <w:rPr>
          <w:b/>
          <w:color w:val="231F20"/>
          <w:w w:val="99"/>
          <w:sz w:val="20"/>
        </w:rPr>
        <w:t> </w:t>
      </w:r>
      <w:r>
        <w:rPr>
          <w:b/>
          <w:color w:val="231F20"/>
          <w:sz w:val="20"/>
        </w:rPr>
        <w:t>(Level 1)</w:t>
      </w:r>
    </w:p>
    <w:p>
      <w:pPr>
        <w:spacing w:line="200" w:lineRule="exact" w:before="77"/>
        <w:ind w:left="106" w:right="-19" w:firstLine="252"/>
        <w:jc w:val="left"/>
        <w:rPr>
          <w:b/>
          <w:sz w:val="20"/>
        </w:rPr>
      </w:pPr>
      <w:r>
        <w:rPr/>
        <w:br w:type="column"/>
      </w:r>
      <w:r>
        <w:rPr>
          <w:b/>
          <w:color w:val="231F20"/>
          <w:sz w:val="20"/>
        </w:rPr>
        <w:t>Significant other observable</w:t>
      </w:r>
    </w:p>
    <w:p>
      <w:pPr>
        <w:spacing w:line="200" w:lineRule="exact" w:before="0"/>
        <w:ind w:left="445" w:right="320" w:firstLine="108"/>
        <w:jc w:val="left"/>
        <w:rPr>
          <w:b/>
          <w:sz w:val="20"/>
        </w:rPr>
      </w:pPr>
      <w:r>
        <w:rPr>
          <w:b/>
          <w:color w:val="231F20"/>
          <w:sz w:val="20"/>
        </w:rPr>
        <w:t>inputs (Level 2)</w:t>
      </w:r>
    </w:p>
    <w:p>
      <w:pPr>
        <w:spacing w:line="200" w:lineRule="exact" w:before="77"/>
        <w:ind w:left="105" w:right="218" w:firstLine="97"/>
        <w:jc w:val="center"/>
        <w:rPr>
          <w:b/>
          <w:sz w:val="20"/>
        </w:rPr>
      </w:pPr>
      <w:r>
        <w:rPr/>
        <w:br w:type="column"/>
      </w:r>
      <w:r>
        <w:rPr>
          <w:b/>
          <w:color w:val="231F20"/>
          <w:sz w:val="20"/>
        </w:rPr>
        <w:t>Significant unobservable</w:t>
      </w:r>
      <w:r>
        <w:rPr>
          <w:b/>
          <w:color w:val="231F20"/>
          <w:w w:val="100"/>
          <w:sz w:val="20"/>
        </w:rPr>
        <w:t> </w:t>
      </w:r>
      <w:r>
        <w:rPr>
          <w:b/>
          <w:color w:val="231F20"/>
          <w:sz w:val="20"/>
        </w:rPr>
        <w:t>inputs</w:t>
      </w:r>
    </w:p>
    <w:p>
      <w:pPr>
        <w:spacing w:line="203" w:lineRule="exact" w:before="0"/>
        <w:ind w:left="334" w:right="346" w:firstLine="0"/>
        <w:jc w:val="center"/>
        <w:rPr>
          <w:b/>
          <w:sz w:val="20"/>
        </w:rPr>
      </w:pPr>
      <w:r>
        <w:rPr>
          <w:b/>
          <w:color w:val="231F20"/>
          <w:sz w:val="20"/>
        </w:rPr>
        <w:t>(Level 3)</w:t>
      </w:r>
    </w:p>
    <w:p>
      <w:pPr>
        <w:spacing w:after="0" w:line="203" w:lineRule="exact"/>
        <w:jc w:val="center"/>
        <w:rPr>
          <w:sz w:val="20"/>
        </w:rPr>
        <w:sectPr>
          <w:type w:val="continuous"/>
          <w:pgSz w:w="11880" w:h="15480"/>
          <w:pgMar w:top="1260" w:bottom="280" w:left="1260" w:right="1260"/>
          <w:cols w:num="4" w:equalWidth="0">
            <w:col w:w="4526" w:space="49"/>
            <w:col w:w="1700" w:space="40"/>
            <w:col w:w="1535" w:space="40"/>
            <w:col w:w="1470"/>
          </w:cols>
        </w:sectPr>
      </w:pPr>
    </w:p>
    <w:p>
      <w:pPr>
        <w:spacing w:line="20" w:lineRule="exact"/>
        <w:ind w:left="110" w:right="0" w:firstLine="0"/>
        <w:rPr>
          <w:sz w:val="2"/>
        </w:rPr>
      </w:pPr>
      <w:r>
        <w:rPr>
          <w:sz w:val="2"/>
        </w:rPr>
        <w:pict>
          <v:group style="width:131.9pt;height:1pt;mso-position-horizontal-relative:char;mso-position-vertical-relative:line" coordorigin="0,0" coordsize="2638,20">
            <v:line style="position:absolute" from="10,10" to="2628,10" stroked="true" strokeweight="1pt" strokecolor="#231f20">
              <v:stroke dashstyle="solid"/>
            </v:line>
          </v:group>
        </w:pict>
      </w:r>
      <w:r>
        <w:rPr>
          <w:sz w:val="2"/>
        </w:rPr>
      </w:r>
      <w:r>
        <w:rPr>
          <w:spacing w:val="93"/>
          <w:sz w:val="2"/>
        </w:rPr>
        <w:t> </w:t>
      </w:r>
      <w:r>
        <w:rPr>
          <w:spacing w:val="93"/>
          <w:sz w:val="2"/>
        </w:rPr>
        <w:pict>
          <v:group style="width:86.85pt;height:1pt;mso-position-horizontal-relative:char;mso-position-vertical-relative:line" coordorigin="0,0" coordsize="1737,20">
            <v:line style="position:absolute" from="10,10" to="1727,10" stroked="true" strokeweight="1pt" strokecolor="#231f20">
              <v:stroke dashstyle="solid"/>
            </v:line>
          </v:group>
        </w:pict>
      </w:r>
      <w:r>
        <w:rPr>
          <w:spacing w:val="93"/>
          <w:sz w:val="2"/>
        </w:rPr>
      </w:r>
      <w:r>
        <w:rPr>
          <w:spacing w:val="92"/>
          <w:sz w:val="2"/>
        </w:rPr>
        <w:t> </w:t>
      </w:r>
      <w:r>
        <w:rPr>
          <w:spacing w:val="92"/>
          <w:sz w:val="2"/>
        </w:rPr>
        <w:pict>
          <v:group style="width:80.05pt;height:1pt;mso-position-horizontal-relative:char;mso-position-vertical-relative:line" coordorigin="0,0" coordsize="1601,20">
            <v:line style="position:absolute" from="10,10" to="1591,10" stroked="true" strokeweight="1pt" strokecolor="#231f20">
              <v:stroke dashstyle="solid"/>
            </v:line>
          </v:group>
        </w:pict>
      </w:r>
      <w:r>
        <w:rPr>
          <w:spacing w:val="92"/>
          <w:sz w:val="2"/>
        </w:rPr>
      </w:r>
      <w:r>
        <w:rPr>
          <w:spacing w:val="91"/>
          <w:sz w:val="2"/>
        </w:rPr>
        <w:t> </w:t>
      </w:r>
      <w:r>
        <w:rPr>
          <w:spacing w:val="91"/>
          <w:sz w:val="2"/>
        </w:rPr>
        <w:pict>
          <v:group style="width:74.95pt;height:1pt;mso-position-horizontal-relative:char;mso-position-vertical-relative:line" coordorigin="0,0" coordsize="1499,20">
            <v:line style="position:absolute" from="10,10" to="1489,10" stroked="true" strokeweight="1pt" strokecolor="#231f20">
              <v:stroke dashstyle="solid"/>
            </v:line>
          </v:group>
        </w:pict>
      </w:r>
      <w:r>
        <w:rPr>
          <w:spacing w:val="91"/>
          <w:sz w:val="2"/>
        </w:rPr>
      </w:r>
      <w:r>
        <w:rPr>
          <w:spacing w:val="94"/>
          <w:sz w:val="2"/>
        </w:rPr>
        <w:t> </w:t>
      </w:r>
      <w:r>
        <w:rPr>
          <w:spacing w:val="94"/>
          <w:sz w:val="2"/>
        </w:rPr>
        <w:pict>
          <v:group style="width:63.25pt;height:1pt;mso-position-horizontal-relative:char;mso-position-vertical-relative:line" coordorigin="0,0" coordsize="1265,20">
            <v:line style="position:absolute" from="10,10" to="1255,10" stroked="true" strokeweight="1pt" strokecolor="#231f20">
              <v:stroke dashstyle="solid"/>
            </v:line>
          </v:group>
        </w:pict>
      </w:r>
      <w:r>
        <w:rPr>
          <w:spacing w:val="94"/>
          <w:sz w:val="2"/>
        </w:rPr>
      </w:r>
    </w:p>
    <w:p>
      <w:pPr>
        <w:tabs>
          <w:tab w:pos="5574" w:val="left" w:leader="none"/>
        </w:tabs>
        <w:spacing w:before="21"/>
        <w:ind w:left="200" w:right="0" w:firstLine="0"/>
        <w:jc w:val="left"/>
        <w:rPr>
          <w:sz w:val="20"/>
        </w:rPr>
      </w:pPr>
      <w:r>
        <w:rPr>
          <w:b/>
          <w:color w:val="231F20"/>
          <w:sz w:val="20"/>
        </w:rPr>
        <w:t>Assets</w:t>
        <w:tab/>
      </w:r>
      <w:r>
        <w:rPr>
          <w:color w:val="231F20"/>
          <w:sz w:val="20"/>
        </w:rPr>
        <w:t>(in millions)</w:t>
      </w:r>
    </w:p>
    <w:p>
      <w:pPr>
        <w:spacing w:before="21"/>
        <w:ind w:left="200" w:right="0" w:firstLine="0"/>
        <w:jc w:val="left"/>
        <w:rPr>
          <w:sz w:val="20"/>
        </w:rPr>
      </w:pPr>
      <w:r>
        <w:rPr>
          <w:color w:val="231F20"/>
          <w:sz w:val="20"/>
        </w:rPr>
        <w:t>Cash equivalents</w:t>
      </w:r>
    </w:p>
    <w:p>
      <w:pPr>
        <w:tabs>
          <w:tab w:pos="2857" w:val="left" w:leader="none"/>
          <w:tab w:pos="4057" w:val="left" w:leader="none"/>
          <w:tab w:pos="4207" w:val="left" w:leader="none"/>
          <w:tab w:pos="5758" w:val="left" w:leader="none"/>
          <w:tab w:pos="6008" w:val="left" w:leader="none"/>
          <w:tab w:pos="7507" w:val="left" w:leader="none"/>
          <w:tab w:pos="7607" w:val="left" w:leader="none"/>
          <w:tab w:pos="8972" w:val="left" w:leader="none"/>
        </w:tabs>
        <w:spacing w:line="264" w:lineRule="auto" w:before="21"/>
        <w:ind w:left="320" w:right="184" w:firstLine="0"/>
        <w:jc w:val="left"/>
        <w:rPr>
          <w:sz w:val="20"/>
        </w:rPr>
      </w:pPr>
      <w:r>
        <w:rPr/>
        <w:pict>
          <v:rect style="position:absolute;margin-left:69pt;margin-top:.785944pt;width:456pt;height:12.6pt;mso-position-horizontal-relative:page;mso-position-vertical-relative:paragraph;z-index:-373288" filled="true" fillcolor="#d1d3d4" stroked="false">
            <v:fill type="solid"/>
            <w10:wrap type="none"/>
          </v:rect>
        </w:pict>
      </w:r>
      <w:r>
        <w:rPr/>
        <w:pict>
          <v:rect style="position:absolute;margin-left:69pt;margin-top:25.985943pt;width:456pt;height:12.6pt;mso-position-horizontal-relative:page;mso-position-vertical-relative:paragraph;z-index:-373264" filled="true" fillcolor="#d1d3d4" stroked="false">
            <v:fill type="solid"/>
            <w10:wrap type="none"/>
          </v:rect>
        </w:pict>
      </w:r>
      <w:r>
        <w:rPr>
          <w:color w:val="231F20"/>
          <w:sz w:val="20"/>
        </w:rPr>
        <w:t>Cash equivalents</w:t>
      </w:r>
      <w:r>
        <w:rPr>
          <w:color w:val="231F20"/>
          <w:spacing w:val="2"/>
          <w:sz w:val="20"/>
        </w:rPr>
        <w:t> </w:t>
      </w:r>
      <w:r>
        <w:rPr>
          <w:color w:val="231F20"/>
          <w:sz w:val="20"/>
        </w:rPr>
        <w:t>(a)</w:t>
        <w:tab/>
        <w:t>$</w:t>
        <w:tab/>
        <w:t>1,344  </w:t>
      </w:r>
      <w:r>
        <w:rPr>
          <w:color w:val="231F20"/>
          <w:spacing w:val="37"/>
          <w:sz w:val="20"/>
        </w:rPr>
        <w:t> </w:t>
      </w:r>
      <w:r>
        <w:rPr>
          <w:color w:val="231F20"/>
          <w:sz w:val="20"/>
        </w:rPr>
        <w:t>$</w:t>
        <w:tab/>
        <w:t>1,344  </w:t>
      </w:r>
      <w:r>
        <w:rPr>
          <w:color w:val="231F20"/>
          <w:spacing w:val="37"/>
          <w:sz w:val="20"/>
        </w:rPr>
        <w:t> </w:t>
      </w:r>
      <w:r>
        <w:rPr>
          <w:color w:val="231F20"/>
          <w:sz w:val="20"/>
        </w:rPr>
        <w:t>$</w:t>
        <w:tab/>
        <w:tab/>
        <w:t>—  </w:t>
      </w:r>
      <w:r>
        <w:rPr>
          <w:color w:val="231F20"/>
          <w:spacing w:val="37"/>
          <w:sz w:val="20"/>
        </w:rPr>
        <w:t> </w:t>
      </w:r>
      <w:r>
        <w:rPr>
          <w:color w:val="231F20"/>
          <w:sz w:val="20"/>
        </w:rPr>
        <w:t>$</w:t>
        <w:tab/>
        <w:t>— Commercial</w:t>
      </w:r>
      <w:r>
        <w:rPr>
          <w:color w:val="231F20"/>
          <w:spacing w:val="2"/>
          <w:sz w:val="20"/>
        </w:rPr>
        <w:t> </w:t>
      </w:r>
      <w:r>
        <w:rPr>
          <w:color w:val="231F20"/>
          <w:sz w:val="20"/>
        </w:rPr>
        <w:t>paper</w:t>
        <w:tab/>
        <w:tab/>
        <w:tab/>
        <w:t>325</w:t>
        <w:tab/>
        <w:tab/>
        <w:t>—</w:t>
        <w:tab/>
        <w:t>325</w:t>
        <w:tab/>
        <w:t>—</w:t>
      </w:r>
    </w:p>
    <w:p>
      <w:pPr>
        <w:tabs>
          <w:tab w:pos="4307" w:val="left" w:leader="none"/>
          <w:tab w:pos="6008" w:val="left" w:leader="none"/>
          <w:tab w:pos="7607" w:val="left" w:leader="none"/>
          <w:tab w:pos="8972" w:val="left" w:leader="none"/>
        </w:tabs>
        <w:spacing w:line="264" w:lineRule="auto" w:before="0"/>
        <w:ind w:left="120" w:right="184" w:firstLine="200"/>
        <w:jc w:val="left"/>
        <w:rPr>
          <w:sz w:val="20"/>
        </w:rPr>
      </w:pPr>
      <w:r>
        <w:rPr/>
        <w:pict>
          <v:rect style="position:absolute;margin-left:69pt;margin-top:24.935932pt;width:456pt;height:12.6pt;mso-position-horizontal-relative:page;mso-position-vertical-relative:paragraph;z-index:-373240" filled="true" fillcolor="#d1d3d4" stroked="false">
            <v:fill type="solid"/>
            <w10:wrap type="none"/>
          </v:rect>
        </w:pict>
      </w:r>
      <w:r>
        <w:rPr>
          <w:color w:val="231F20"/>
          <w:sz w:val="20"/>
        </w:rPr>
        <w:t>Certificates</w:t>
      </w:r>
      <w:r>
        <w:rPr>
          <w:color w:val="231F20"/>
          <w:spacing w:val="3"/>
          <w:sz w:val="20"/>
        </w:rPr>
        <w:t> </w:t>
      </w:r>
      <w:r>
        <w:rPr>
          <w:color w:val="231F20"/>
          <w:sz w:val="20"/>
        </w:rPr>
        <w:t>of deposit</w:t>
        <w:tab/>
        <w:t>11</w:t>
        <w:tab/>
        <w:t>—</w:t>
        <w:tab/>
        <w:t>11</w:t>
        <w:tab/>
        <w:t>— Short-term</w:t>
      </w:r>
      <w:r>
        <w:rPr>
          <w:color w:val="231F20"/>
          <w:spacing w:val="2"/>
          <w:sz w:val="20"/>
        </w:rPr>
        <w:t> </w:t>
      </w:r>
      <w:r>
        <w:rPr>
          <w:color w:val="231F20"/>
          <w:sz w:val="20"/>
        </w:rPr>
        <w:t>investments:</w:t>
      </w:r>
    </w:p>
    <w:p>
      <w:pPr>
        <w:tabs>
          <w:tab w:pos="4057" w:val="left" w:leader="none"/>
          <w:tab w:pos="5758" w:val="left" w:leader="none"/>
          <w:tab w:pos="7607" w:val="left" w:leader="none"/>
          <w:tab w:pos="8972" w:val="left" w:leader="none"/>
        </w:tabs>
        <w:spacing w:before="0"/>
        <w:ind w:left="320" w:right="0" w:firstLine="0"/>
        <w:jc w:val="left"/>
        <w:rPr>
          <w:sz w:val="20"/>
        </w:rPr>
      </w:pPr>
      <w:r>
        <w:rPr>
          <w:color w:val="231F20"/>
          <w:sz w:val="20"/>
        </w:rPr>
        <w:t>Treasury</w:t>
      </w:r>
      <w:r>
        <w:rPr>
          <w:color w:val="231F20"/>
          <w:spacing w:val="1"/>
          <w:sz w:val="20"/>
        </w:rPr>
        <w:t> </w:t>
      </w:r>
      <w:r>
        <w:rPr>
          <w:color w:val="231F20"/>
          <w:sz w:val="20"/>
        </w:rPr>
        <w:t>bills</w:t>
        <w:tab/>
        <w:t>1,345</w:t>
        <w:tab/>
        <w:t>1,345</w:t>
        <w:tab/>
        <w:t>—</w:t>
        <w:tab/>
        <w:t>—</w:t>
      </w:r>
    </w:p>
    <w:p>
      <w:pPr>
        <w:tabs>
          <w:tab w:pos="4207" w:val="left" w:leader="none"/>
          <w:tab w:pos="6008" w:val="left" w:leader="none"/>
          <w:tab w:pos="7507" w:val="left" w:leader="none"/>
          <w:tab w:pos="8972" w:val="left" w:leader="none"/>
        </w:tabs>
        <w:spacing w:line="264" w:lineRule="auto" w:before="21"/>
        <w:ind w:left="120" w:right="184" w:firstLine="200"/>
        <w:jc w:val="left"/>
        <w:rPr>
          <w:sz w:val="20"/>
        </w:rPr>
      </w:pPr>
      <w:r>
        <w:rPr/>
        <w:pict>
          <v:rect style="position:absolute;margin-left:69pt;margin-top:13.385943pt;width:456pt;height:12.6pt;mso-position-horizontal-relative:page;mso-position-vertical-relative:paragraph;z-index:-373216" filled="true" fillcolor="#d1d3d4" stroked="false">
            <v:fill type="solid"/>
            <w10:wrap type="none"/>
          </v:rect>
        </w:pict>
      </w:r>
      <w:r>
        <w:rPr>
          <w:color w:val="231F20"/>
          <w:sz w:val="20"/>
        </w:rPr>
        <w:t>Certificates</w:t>
      </w:r>
      <w:r>
        <w:rPr>
          <w:color w:val="231F20"/>
          <w:spacing w:val="3"/>
          <w:sz w:val="20"/>
        </w:rPr>
        <w:t> </w:t>
      </w:r>
      <w:r>
        <w:rPr>
          <w:color w:val="231F20"/>
          <w:sz w:val="20"/>
        </w:rPr>
        <w:t>of deposit</w:t>
        <w:tab/>
        <w:t>280</w:t>
        <w:tab/>
        <w:t>—</w:t>
        <w:tab/>
        <w:t>280</w:t>
        <w:tab/>
        <w:t>— Fuel derivatives:</w:t>
      </w:r>
    </w:p>
    <w:p>
      <w:pPr>
        <w:tabs>
          <w:tab w:pos="4307" w:val="left" w:leader="none"/>
          <w:tab w:pos="6008" w:val="left" w:leader="none"/>
          <w:tab w:pos="7607" w:val="left" w:leader="none"/>
          <w:tab w:pos="8972" w:val="left" w:leader="none"/>
        </w:tabs>
        <w:spacing w:before="0"/>
        <w:ind w:left="320" w:right="0" w:firstLine="0"/>
        <w:jc w:val="left"/>
        <w:rPr>
          <w:sz w:val="20"/>
        </w:rPr>
      </w:pPr>
      <w:r>
        <w:rPr>
          <w:color w:val="231F20"/>
          <w:sz w:val="20"/>
        </w:rPr>
        <w:t>Swap</w:t>
      </w:r>
      <w:r>
        <w:rPr>
          <w:color w:val="231F20"/>
          <w:spacing w:val="-1"/>
          <w:sz w:val="20"/>
        </w:rPr>
        <w:t> </w:t>
      </w:r>
      <w:r>
        <w:rPr>
          <w:color w:val="231F20"/>
          <w:sz w:val="20"/>
        </w:rPr>
        <w:t>contracts</w:t>
      </w:r>
      <w:r>
        <w:rPr>
          <w:color w:val="231F20"/>
          <w:spacing w:val="2"/>
          <w:sz w:val="20"/>
        </w:rPr>
        <w:t> </w:t>
      </w:r>
      <w:r>
        <w:rPr>
          <w:color w:val="231F20"/>
          <w:sz w:val="20"/>
        </w:rPr>
        <w:t>(c)</w:t>
        <w:tab/>
        <w:t>42</w:t>
        <w:tab/>
        <w:t>—</w:t>
        <w:tab/>
        <w:t>42</w:t>
        <w:tab/>
        <w:t>—</w:t>
      </w:r>
    </w:p>
    <w:p>
      <w:pPr>
        <w:tabs>
          <w:tab w:pos="4207" w:val="left" w:leader="none"/>
          <w:tab w:pos="6008" w:val="left" w:leader="none"/>
          <w:tab w:pos="7607" w:val="left" w:leader="none"/>
          <w:tab w:pos="9172" w:val="right" w:leader="none"/>
        </w:tabs>
        <w:spacing w:before="22"/>
        <w:ind w:left="320" w:right="0" w:firstLine="0"/>
        <w:jc w:val="left"/>
        <w:rPr>
          <w:sz w:val="20"/>
        </w:rPr>
      </w:pPr>
      <w:r>
        <w:rPr/>
        <w:pict>
          <v:rect style="position:absolute;margin-left:69pt;margin-top:.835925pt;width:456pt;height:12.6pt;mso-position-horizontal-relative:page;mso-position-vertical-relative:paragraph;z-index:-373192" filled="true" fillcolor="#d1d3d4" stroked="false">
            <v:fill type="solid"/>
            <w10:wrap type="none"/>
          </v:rect>
        </w:pict>
      </w:r>
      <w:r>
        <w:rPr>
          <w:color w:val="231F20"/>
          <w:sz w:val="20"/>
        </w:rPr>
        <w:t>Option contracts</w:t>
      </w:r>
      <w:r>
        <w:rPr>
          <w:color w:val="231F20"/>
          <w:spacing w:val="2"/>
          <w:sz w:val="20"/>
        </w:rPr>
        <w:t> </w:t>
      </w:r>
      <w:r>
        <w:rPr>
          <w:color w:val="231F20"/>
          <w:sz w:val="20"/>
        </w:rPr>
        <w:t>(b)</w:t>
        <w:tab/>
        <w:t>239</w:t>
        <w:tab/>
        <w:t>—</w:t>
        <w:tab/>
        <w:t>—</w:t>
        <w:tab/>
        <w:t>239</w:t>
      </w:r>
    </w:p>
    <w:p>
      <w:pPr>
        <w:tabs>
          <w:tab w:pos="4207" w:val="left" w:leader="none"/>
          <w:tab w:pos="6008" w:val="left" w:leader="none"/>
          <w:tab w:pos="7607" w:val="left" w:leader="none"/>
          <w:tab w:pos="9172" w:val="right" w:leader="none"/>
        </w:tabs>
        <w:spacing w:before="21"/>
        <w:ind w:left="320" w:right="0" w:firstLine="0"/>
        <w:jc w:val="left"/>
        <w:rPr>
          <w:sz w:val="20"/>
        </w:rPr>
      </w:pPr>
      <w:r>
        <w:rPr>
          <w:color w:val="231F20"/>
          <w:sz w:val="20"/>
        </w:rPr>
        <w:t>Option contracts</w:t>
      </w:r>
      <w:r>
        <w:rPr>
          <w:color w:val="231F20"/>
          <w:spacing w:val="2"/>
          <w:sz w:val="20"/>
        </w:rPr>
        <w:t> </w:t>
      </w:r>
      <w:r>
        <w:rPr>
          <w:color w:val="231F20"/>
          <w:sz w:val="20"/>
        </w:rPr>
        <w:t>(c)</w:t>
        <w:tab/>
        <w:t>163</w:t>
        <w:tab/>
        <w:t>—</w:t>
        <w:tab/>
        <w:t>—</w:t>
        <w:tab/>
        <w:t>163</w:t>
      </w:r>
    </w:p>
    <w:p>
      <w:pPr>
        <w:spacing w:line="211" w:lineRule="exact" w:before="21"/>
        <w:ind w:left="120" w:right="0" w:firstLine="0"/>
        <w:jc w:val="left"/>
        <w:rPr>
          <w:sz w:val="20"/>
        </w:rPr>
      </w:pPr>
      <w:r>
        <w:rPr/>
        <w:pict>
          <v:group style="position:absolute;margin-left:69pt;margin-top:.785944pt;width:456.25pt;height:23.2pt;mso-position-horizontal-relative:page;mso-position-vertical-relative:paragraph;z-index:-373168" coordorigin="1380,16" coordsize="9125,464">
            <v:rect style="position:absolute;left:1380;top:16;width:9120;height:444" filled="true" fillcolor="#d1d3d4" stroked="false">
              <v:fill type="solid"/>
            </v:rect>
            <v:line style="position:absolute" from="4118,475" to="5835,475" stroked="true" strokeweight=".5pt" strokecolor="#231f20">
              <v:stroke dashstyle="solid"/>
            </v:line>
            <v:line style="position:absolute" from="5955,475" to="7536,475" stroked="true" strokeweight=".5pt" strokecolor="#231f20">
              <v:stroke dashstyle="solid"/>
            </v:line>
            <v:line style="position:absolute" from="7656,475" to="9135,475" stroked="true" strokeweight=".5pt" strokecolor="#231f20">
              <v:stroke dashstyle="solid"/>
            </v:line>
            <v:line style="position:absolute" from="9255,475" to="10500,475" stroked="true" strokeweight=".5pt" strokecolor="#231f20">
              <v:stroke dashstyle="solid"/>
            </v:line>
            <w10:wrap type="none"/>
          </v:group>
        </w:pict>
      </w:r>
      <w:r>
        <w:rPr>
          <w:color w:val="231F20"/>
          <w:sz w:val="20"/>
        </w:rPr>
        <w:t>Other available-for-sale</w:t>
      </w:r>
    </w:p>
    <w:p>
      <w:pPr>
        <w:tabs>
          <w:tab w:pos="4307" w:val="left" w:leader="none"/>
          <w:tab w:pos="6008" w:val="left" w:leader="none"/>
          <w:tab w:pos="7607" w:val="left" w:leader="none"/>
          <w:tab w:pos="8972" w:val="left" w:leader="none"/>
        </w:tabs>
        <w:spacing w:line="211" w:lineRule="exact" w:before="0"/>
        <w:ind w:left="320" w:right="0" w:firstLine="0"/>
        <w:jc w:val="left"/>
        <w:rPr>
          <w:sz w:val="20"/>
        </w:rPr>
      </w:pPr>
      <w:r>
        <w:rPr>
          <w:color w:val="231F20"/>
          <w:sz w:val="20"/>
        </w:rPr>
        <w:t>securities</w:t>
        <w:tab/>
        <w:t>83</w:t>
        <w:tab/>
        <w:t>83</w:t>
        <w:tab/>
        <w:t>—</w:t>
        <w:tab/>
        <w:t>—</w:t>
      </w:r>
    </w:p>
    <w:p>
      <w:pPr>
        <w:tabs>
          <w:tab w:pos="2857" w:val="left" w:leader="none"/>
          <w:tab w:pos="4057" w:val="left" w:leader="none"/>
          <w:tab w:pos="5758" w:val="left" w:leader="none"/>
          <w:tab w:pos="7507" w:val="left" w:leader="none"/>
          <w:tab w:pos="9172" w:val="right" w:leader="none"/>
        </w:tabs>
        <w:spacing w:before="42"/>
        <w:ind w:left="120" w:right="0" w:firstLine="0"/>
        <w:jc w:val="left"/>
        <w:rPr>
          <w:sz w:val="20"/>
        </w:rPr>
      </w:pPr>
      <w:r>
        <w:rPr/>
        <w:pict>
          <v:shape style="position:absolute;margin-left:69pt;margin-top:17.435932pt;width:456pt;height:12.6pt;mso-position-horizontal-relative:page;mso-position-vertical-relative:paragraph;z-index:5776;mso-wrap-distance-left:0;mso-wrap-distance-right:0" type="#_x0000_t202" filled="true" fillcolor="#d1d3d4" stroked="false">
            <v:textbox inset="0,0,0,0">
              <w:txbxContent>
                <w:p>
                  <w:pPr>
                    <w:spacing w:before="5"/>
                    <w:ind w:left="0" w:right="0" w:firstLine="0"/>
                    <w:jc w:val="left"/>
                    <w:rPr>
                      <w:b/>
                      <w:sz w:val="20"/>
                    </w:rPr>
                  </w:pPr>
                  <w:r>
                    <w:rPr>
                      <w:b/>
                      <w:color w:val="231F20"/>
                      <w:sz w:val="20"/>
                    </w:rPr>
                    <w:t>Liabilities</w:t>
                  </w:r>
                </w:p>
              </w:txbxContent>
            </v:textbox>
            <v:fill type="solid"/>
            <w10:wrap type="topAndBottom"/>
          </v:shape>
        </w:pict>
      </w:r>
      <w:r>
        <w:rPr/>
        <w:pict>
          <v:group style="position:absolute;margin-left:205.649994pt;margin-top:14.935931pt;width:86.35pt;height:2.5pt;mso-position-horizontal-relative:page;mso-position-vertical-relative:paragraph;z-index:-373048" coordorigin="4113,299" coordsize="1727,50">
            <v:line style="position:absolute" from="4118,304" to="5835,304" stroked="true" strokeweight=".5pt" strokecolor="#231f20">
              <v:stroke dashstyle="solid"/>
            </v:line>
            <v:line style="position:absolute" from="4118,344" to="5835,344" stroked="true" strokeweight=".5pt" strokecolor="#231f20">
              <v:stroke dashstyle="solid"/>
            </v:line>
            <w10:wrap type="none"/>
          </v:group>
        </w:pict>
      </w:r>
      <w:r>
        <w:rPr/>
        <w:pict>
          <v:group style="position:absolute;margin-left:297.5pt;margin-top:14.935931pt;width:79.55pt;height:2.5pt;mso-position-horizontal-relative:page;mso-position-vertical-relative:paragraph;z-index:-373024" coordorigin="5950,299" coordsize="1591,50">
            <v:line style="position:absolute" from="5955,304" to="7536,304" stroked="true" strokeweight=".5pt" strokecolor="#231f20">
              <v:stroke dashstyle="solid"/>
            </v:line>
            <v:line style="position:absolute" from="5955,344" to="7536,344" stroked="true" strokeweight=".5pt" strokecolor="#231f20">
              <v:stroke dashstyle="solid"/>
            </v:line>
            <w10:wrap type="none"/>
          </v:group>
        </w:pict>
      </w:r>
      <w:r>
        <w:rPr/>
        <w:pict>
          <v:group style="position:absolute;margin-left:382.549988pt;margin-top:14.935931pt;width:74.45pt;height:2.5pt;mso-position-horizontal-relative:page;mso-position-vertical-relative:paragraph;z-index:-373000" coordorigin="7651,299" coordsize="1489,50">
            <v:line style="position:absolute" from="7656,304" to="9135,304" stroked="true" strokeweight=".5pt" strokecolor="#231f20">
              <v:stroke dashstyle="solid"/>
            </v:line>
            <v:line style="position:absolute" from="7656,344" to="9135,344" stroked="true" strokeweight=".5pt" strokecolor="#231f20">
              <v:stroke dashstyle="solid"/>
            </v:line>
            <w10:wrap type="none"/>
          </v:group>
        </w:pict>
      </w:r>
      <w:r>
        <w:rPr/>
        <w:pict>
          <v:group style="position:absolute;margin-left:462.5pt;margin-top:14.935931pt;width:62.75pt;height:2.5pt;mso-position-horizontal-relative:page;mso-position-vertical-relative:paragraph;z-index:-372976" coordorigin="9250,299" coordsize="1255,50">
            <v:line style="position:absolute" from="9255,304" to="10500,304" stroked="true" strokeweight=".5pt" strokecolor="#231f20">
              <v:stroke dashstyle="solid"/>
            </v:line>
            <v:line style="position:absolute" from="9255,344" to="10500,344" stroked="true" strokeweight=".5pt" strokecolor="#231f20">
              <v:stroke dashstyle="solid"/>
            </v:line>
            <w10:wrap type="none"/>
          </v:group>
        </w:pict>
      </w:r>
      <w:r>
        <w:rPr>
          <w:b/>
          <w:color w:val="231F20"/>
          <w:sz w:val="20"/>
        </w:rPr>
        <w:t>Total assets</w:t>
        <w:tab/>
      </w:r>
      <w:r>
        <w:rPr>
          <w:color w:val="231F20"/>
          <w:sz w:val="20"/>
        </w:rPr>
        <w:t>$</w:t>
        <w:tab/>
        <w:t>3,832  </w:t>
      </w:r>
      <w:r>
        <w:rPr>
          <w:color w:val="231F20"/>
          <w:spacing w:val="37"/>
          <w:sz w:val="20"/>
        </w:rPr>
        <w:t> </w:t>
      </w:r>
      <w:r>
        <w:rPr>
          <w:color w:val="231F20"/>
          <w:sz w:val="20"/>
        </w:rPr>
        <w:t>$</w:t>
        <w:tab/>
        <w:t>2,772  </w:t>
      </w:r>
      <w:r>
        <w:rPr>
          <w:color w:val="231F20"/>
          <w:spacing w:val="37"/>
          <w:sz w:val="20"/>
        </w:rPr>
        <w:t> </w:t>
      </w:r>
      <w:r>
        <w:rPr>
          <w:color w:val="231F20"/>
          <w:sz w:val="20"/>
        </w:rPr>
        <w:t>$</w:t>
        <w:tab/>
        <w:t>658  </w:t>
      </w:r>
      <w:r>
        <w:rPr>
          <w:color w:val="231F20"/>
          <w:spacing w:val="37"/>
          <w:sz w:val="20"/>
        </w:rPr>
        <w:t> </w:t>
      </w:r>
      <w:r>
        <w:rPr>
          <w:color w:val="231F20"/>
          <w:sz w:val="20"/>
        </w:rPr>
        <w:t>$</w:t>
        <w:tab/>
        <w:t>402</w:t>
      </w:r>
    </w:p>
    <w:p>
      <w:pPr>
        <w:spacing w:before="0"/>
        <w:ind w:left="120" w:right="0" w:firstLine="0"/>
        <w:jc w:val="left"/>
        <w:rPr>
          <w:sz w:val="20"/>
        </w:rPr>
      </w:pPr>
      <w:r>
        <w:rPr>
          <w:color w:val="231F20"/>
          <w:sz w:val="20"/>
        </w:rPr>
        <w:t>Fuel derivatives:</w:t>
      </w:r>
    </w:p>
    <w:p>
      <w:pPr>
        <w:tabs>
          <w:tab w:pos="2857" w:val="left" w:leader="none"/>
          <w:tab w:pos="4140" w:val="left" w:leader="none"/>
          <w:tab w:pos="4240" w:val="left" w:leader="none"/>
          <w:tab w:pos="6008" w:val="left" w:leader="none"/>
          <w:tab w:pos="7440" w:val="left" w:leader="none"/>
          <w:tab w:pos="7607" w:val="left" w:leader="none"/>
          <w:tab w:pos="8905" w:val="left" w:leader="none"/>
          <w:tab w:pos="8972" w:val="left" w:leader="none"/>
        </w:tabs>
        <w:spacing w:line="264" w:lineRule="auto" w:before="22"/>
        <w:ind w:left="320" w:right="118" w:firstLine="0"/>
        <w:jc w:val="left"/>
        <w:rPr>
          <w:sz w:val="20"/>
        </w:rPr>
      </w:pPr>
      <w:r>
        <w:rPr/>
        <w:pict>
          <v:rect style="position:absolute;margin-left:69pt;margin-top:.835944pt;width:456pt;height:12.6pt;mso-position-horizontal-relative:page;mso-position-vertical-relative:paragraph;z-index:-373144" filled="true" fillcolor="#d1d3d4" stroked="false">
            <v:fill type="solid"/>
            <w10:wrap type="none"/>
          </v:rect>
        </w:pict>
      </w:r>
      <w:r>
        <w:rPr/>
        <w:pict>
          <v:rect style="position:absolute;margin-left:69pt;margin-top:26.035944pt;width:456pt;height:12.6pt;mso-position-horizontal-relative:page;mso-position-vertical-relative:paragraph;z-index:-373120" filled="true" fillcolor="#d1d3d4" stroked="false">
            <v:fill type="solid"/>
            <w10:wrap type="none"/>
          </v:rect>
        </w:pict>
      </w:r>
      <w:r>
        <w:rPr>
          <w:color w:val="231F20"/>
          <w:sz w:val="20"/>
        </w:rPr>
        <w:t>Swap</w:t>
      </w:r>
      <w:r>
        <w:rPr>
          <w:color w:val="231F20"/>
          <w:spacing w:val="-1"/>
          <w:sz w:val="20"/>
        </w:rPr>
        <w:t> </w:t>
      </w:r>
      <w:r>
        <w:rPr>
          <w:color w:val="231F20"/>
          <w:sz w:val="20"/>
        </w:rPr>
        <w:t>contracts</w:t>
      </w:r>
      <w:r>
        <w:rPr>
          <w:color w:val="231F20"/>
          <w:spacing w:val="2"/>
          <w:sz w:val="20"/>
        </w:rPr>
        <w:t> </w:t>
      </w:r>
      <w:r>
        <w:rPr>
          <w:color w:val="231F20"/>
          <w:sz w:val="20"/>
        </w:rPr>
        <w:t>(c)</w:t>
        <w:tab/>
        <w:t>$</w:t>
        <w:tab/>
        <w:t>(110) </w:t>
      </w:r>
      <w:r>
        <w:rPr>
          <w:color w:val="231F20"/>
          <w:spacing w:val="20"/>
          <w:sz w:val="20"/>
        </w:rPr>
        <w:t> </w:t>
      </w:r>
      <w:r>
        <w:rPr>
          <w:color w:val="231F20"/>
          <w:sz w:val="20"/>
        </w:rPr>
        <w:t>$</w:t>
        <w:tab/>
        <w:t>—  </w:t>
      </w:r>
      <w:r>
        <w:rPr>
          <w:color w:val="231F20"/>
          <w:spacing w:val="37"/>
          <w:sz w:val="20"/>
        </w:rPr>
        <w:t> </w:t>
      </w:r>
      <w:r>
        <w:rPr>
          <w:color w:val="231F20"/>
          <w:sz w:val="20"/>
        </w:rPr>
        <w:t>$</w:t>
        <w:tab/>
        <w:t>(110) </w:t>
      </w:r>
      <w:r>
        <w:rPr>
          <w:color w:val="231F20"/>
          <w:spacing w:val="20"/>
          <w:sz w:val="20"/>
        </w:rPr>
        <w:t> </w:t>
      </w:r>
      <w:r>
        <w:rPr>
          <w:color w:val="231F20"/>
          <w:sz w:val="20"/>
        </w:rPr>
        <w:t>$</w:t>
        <w:tab/>
        <w:tab/>
        <w:t>— Option contracts</w:t>
      </w:r>
      <w:r>
        <w:rPr>
          <w:color w:val="231F20"/>
          <w:spacing w:val="2"/>
          <w:sz w:val="20"/>
        </w:rPr>
        <w:t> </w:t>
      </w:r>
      <w:r>
        <w:rPr>
          <w:color w:val="231F20"/>
          <w:sz w:val="20"/>
        </w:rPr>
        <w:t>(b)</w:t>
        <w:tab/>
        <w:tab/>
        <w:tab/>
        <w:t>(96)</w:t>
        <w:tab/>
        <w:t>—</w:t>
        <w:tab/>
        <w:tab/>
        <w:t>—</w:t>
        <w:tab/>
        <w:t>(96)</w:t>
      </w:r>
    </w:p>
    <w:p>
      <w:pPr>
        <w:tabs>
          <w:tab w:pos="4140" w:val="left" w:leader="none"/>
          <w:tab w:pos="6008" w:val="left" w:leader="none"/>
          <w:tab w:pos="7607" w:val="left" w:leader="none"/>
          <w:tab w:pos="8805" w:val="left" w:leader="none"/>
        </w:tabs>
        <w:spacing w:before="0"/>
        <w:ind w:left="320" w:right="0" w:firstLine="0"/>
        <w:jc w:val="left"/>
        <w:rPr>
          <w:sz w:val="20"/>
        </w:rPr>
      </w:pPr>
      <w:r>
        <w:rPr>
          <w:color w:val="231F20"/>
          <w:sz w:val="20"/>
        </w:rPr>
        <w:t>Option contracts</w:t>
      </w:r>
      <w:r>
        <w:rPr>
          <w:color w:val="231F20"/>
          <w:spacing w:val="2"/>
          <w:sz w:val="20"/>
        </w:rPr>
        <w:t> </w:t>
      </w:r>
      <w:r>
        <w:rPr>
          <w:color w:val="231F20"/>
          <w:sz w:val="20"/>
        </w:rPr>
        <w:t>(c)</w:t>
        <w:tab/>
        <w:t>(564)</w:t>
        <w:tab/>
        <w:t>—</w:t>
        <w:tab/>
        <w:t>—</w:t>
        <w:tab/>
        <w:t>(564)</w:t>
      </w:r>
    </w:p>
    <w:p>
      <w:pPr>
        <w:spacing w:line="211" w:lineRule="exact" w:before="22"/>
        <w:ind w:left="120" w:right="0" w:firstLine="0"/>
        <w:jc w:val="left"/>
        <w:rPr>
          <w:sz w:val="20"/>
        </w:rPr>
      </w:pPr>
      <w:r>
        <w:rPr>
          <w:color w:val="231F20"/>
          <w:sz w:val="20"/>
        </w:rPr>
        <w:t>Interest rate derivatives (see</w:t>
      </w:r>
    </w:p>
    <w:p>
      <w:pPr>
        <w:tabs>
          <w:tab w:pos="4240" w:val="left" w:leader="none"/>
          <w:tab w:pos="6008" w:val="left" w:leader="none"/>
          <w:tab w:pos="7540" w:val="left" w:leader="none"/>
          <w:tab w:pos="8972" w:val="left" w:leader="none"/>
        </w:tabs>
        <w:spacing w:line="211" w:lineRule="exact" w:before="0"/>
        <w:ind w:left="320" w:right="0" w:firstLine="0"/>
        <w:jc w:val="left"/>
        <w:rPr>
          <w:sz w:val="20"/>
        </w:rPr>
      </w:pPr>
      <w:r>
        <w:rPr>
          <w:color w:val="231F20"/>
          <w:sz w:val="20"/>
        </w:rPr>
        <w:t>Note 10)</w:t>
        <w:tab/>
        <w:t>(35)</w:t>
        <w:tab/>
        <w:t>—</w:t>
        <w:tab/>
        <w:t>(35)</w:t>
        <w:tab/>
        <w:t>—</w:t>
      </w:r>
    </w:p>
    <w:p>
      <w:pPr>
        <w:tabs>
          <w:tab w:pos="2857" w:val="left" w:leader="none"/>
          <w:tab w:pos="4140" w:val="left" w:leader="none"/>
          <w:tab w:pos="6008" w:val="left" w:leader="none"/>
          <w:tab w:pos="7440" w:val="left" w:leader="none"/>
          <w:tab w:pos="8805" w:val="left" w:leader="none"/>
        </w:tabs>
        <w:spacing w:before="42"/>
        <w:ind w:left="120" w:right="0" w:firstLine="0"/>
        <w:jc w:val="left"/>
        <w:rPr>
          <w:sz w:val="20"/>
        </w:rPr>
      </w:pPr>
      <w:r>
        <w:rPr/>
        <w:pict>
          <v:group style="position:absolute;margin-left:69pt;margin-top:1.335944pt;width:456.25pt;height:16.1pt;mso-position-horizontal-relative:page;mso-position-vertical-relative:paragraph;z-index:-373096" coordorigin="1380,27" coordsize="9125,322">
            <v:rect style="position:absolute;left:1380;top:37;width:9120;height:252" filled="true" fillcolor="#d1d3d4" stroked="false">
              <v:fill type="solid"/>
            </v:rect>
            <v:line style="position:absolute" from="4118,32" to="5835,32" stroked="true" strokeweight=".5pt" strokecolor="#231f20">
              <v:stroke dashstyle="solid"/>
            </v:line>
            <v:line style="position:absolute" from="5955,32" to="7536,32" stroked="true" strokeweight=".5pt" strokecolor="#231f20">
              <v:stroke dashstyle="solid"/>
            </v:line>
            <v:line style="position:absolute" from="7656,32" to="9135,32" stroked="true" strokeweight=".5pt" strokecolor="#231f20">
              <v:stroke dashstyle="solid"/>
            </v:line>
            <v:line style="position:absolute" from="9255,32" to="10500,32" stroked="true" strokeweight=".5pt" strokecolor="#231f20">
              <v:stroke dashstyle="solid"/>
            </v:line>
            <v:line style="position:absolute" from="4118,304" to="5835,304" stroked="true" strokeweight=".5pt" strokecolor="#231f20">
              <v:stroke dashstyle="solid"/>
            </v:line>
            <v:line style="position:absolute" from="4118,344" to="5835,344" stroked="true" strokeweight=".5pt" strokecolor="#231f20">
              <v:stroke dashstyle="solid"/>
            </v:line>
            <v:line style="position:absolute" from="5955,304" to="7536,304" stroked="true" strokeweight=".5pt" strokecolor="#231f20">
              <v:stroke dashstyle="solid"/>
            </v:line>
            <v:line style="position:absolute" from="5955,344" to="7536,344" stroked="true" strokeweight=".5pt" strokecolor="#231f20">
              <v:stroke dashstyle="solid"/>
            </v:line>
            <v:line style="position:absolute" from="7656,304" to="9135,304" stroked="true" strokeweight=".5pt" strokecolor="#231f20">
              <v:stroke dashstyle="solid"/>
            </v:line>
            <v:line style="position:absolute" from="7656,344" to="9135,344" stroked="true" strokeweight=".5pt" strokecolor="#231f20">
              <v:stroke dashstyle="solid"/>
            </v:line>
            <v:line style="position:absolute" from="9255,304" to="10500,304" stroked="true" strokeweight=".5pt" strokecolor="#231f20">
              <v:stroke dashstyle="solid"/>
            </v:line>
            <v:line style="position:absolute" from="9255,344" to="10500,344" stroked="true" strokeweight=".5pt" strokecolor="#231f20">
              <v:stroke dashstyle="solid"/>
            </v:line>
            <w10:wrap type="none"/>
          </v:group>
        </w:pict>
      </w:r>
      <w:r>
        <w:rPr>
          <w:b/>
          <w:color w:val="231F20"/>
          <w:sz w:val="20"/>
        </w:rPr>
        <w:t>Total liabilities</w:t>
        <w:tab/>
      </w:r>
      <w:r>
        <w:rPr>
          <w:color w:val="231F20"/>
          <w:sz w:val="20"/>
        </w:rPr>
        <w:t>$</w:t>
        <w:tab/>
        <w:t>(805) </w:t>
      </w:r>
      <w:r>
        <w:rPr>
          <w:color w:val="231F20"/>
          <w:spacing w:val="20"/>
          <w:sz w:val="20"/>
        </w:rPr>
        <w:t> </w:t>
      </w:r>
      <w:r>
        <w:rPr>
          <w:color w:val="231F20"/>
          <w:sz w:val="20"/>
        </w:rPr>
        <w:t>$</w:t>
        <w:tab/>
        <w:t>—  </w:t>
      </w:r>
      <w:r>
        <w:rPr>
          <w:color w:val="231F20"/>
          <w:spacing w:val="37"/>
          <w:sz w:val="20"/>
        </w:rPr>
        <w:t> </w:t>
      </w:r>
      <w:r>
        <w:rPr>
          <w:color w:val="231F20"/>
          <w:sz w:val="20"/>
        </w:rPr>
        <w:t>$</w:t>
        <w:tab/>
        <w:t>(145) </w:t>
      </w:r>
      <w:r>
        <w:rPr>
          <w:color w:val="231F20"/>
          <w:spacing w:val="20"/>
          <w:sz w:val="20"/>
        </w:rPr>
        <w:t> </w:t>
      </w:r>
      <w:r>
        <w:rPr>
          <w:color w:val="231F20"/>
          <w:sz w:val="20"/>
        </w:rPr>
        <w:t>$</w:t>
        <w:tab/>
        <w:t>(660)</w:t>
      </w:r>
    </w:p>
    <w:p>
      <w:pPr>
        <w:pStyle w:val="BodyText"/>
        <w:spacing w:before="7"/>
      </w:pPr>
    </w:p>
    <w:p>
      <w:pPr>
        <w:pStyle w:val="ListParagraph"/>
        <w:numPr>
          <w:ilvl w:val="0"/>
          <w:numId w:val="21"/>
        </w:numPr>
        <w:tabs>
          <w:tab w:pos="393" w:val="left" w:leader="none"/>
        </w:tabs>
        <w:spacing w:line="240" w:lineRule="auto" w:before="94" w:after="0"/>
        <w:ind w:left="393" w:right="0" w:hanging="273"/>
        <w:jc w:val="left"/>
        <w:rPr>
          <w:sz w:val="20"/>
        </w:rPr>
      </w:pP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21"/>
        </w:numPr>
        <w:tabs>
          <w:tab w:pos="404" w:val="left" w:leader="none"/>
        </w:tabs>
        <w:spacing w:line="240" w:lineRule="auto" w:before="122" w:after="0"/>
        <w:ind w:left="404" w:right="0" w:hanging="284"/>
        <w:jc w:val="left"/>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21"/>
        </w:numPr>
        <w:tabs>
          <w:tab w:pos="393" w:val="left" w:leader="none"/>
        </w:tabs>
        <w:spacing w:line="240" w:lineRule="auto" w:before="122" w:after="0"/>
        <w:ind w:left="393" w:right="0" w:hanging="273"/>
        <w:jc w:val="left"/>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spacing w:after="0" w:line="240" w:lineRule="auto"/>
        <w:jc w:val="left"/>
        <w:rPr>
          <w:sz w:val="20"/>
        </w:rPr>
        <w:sectPr>
          <w:type w:val="continuous"/>
          <w:pgSz w:w="11880" w:h="15480"/>
          <w:pgMar w:top="1260" w:bottom="280" w:left="1260" w:right="1260"/>
        </w:sectPr>
      </w:pPr>
    </w:p>
    <w:p>
      <w:pPr>
        <w:spacing w:before="73"/>
        <w:ind w:left="4986" w:right="0" w:firstLine="0"/>
        <w:jc w:val="left"/>
        <w:rPr>
          <w:b/>
          <w:sz w:val="20"/>
        </w:rPr>
      </w:pPr>
      <w:r>
        <w:rPr/>
        <w:pict>
          <v:line style="position:absolute;mso-position-horizontal-relative:page;mso-position-vertical-relative:paragraph;z-index:6328" from="311pt,16.485937pt" to="525pt,16.485937pt" stroked="true" strokeweight="1pt" strokecolor="#231f20">
            <v:stroke dashstyle="solid"/>
            <w10:wrap type="none"/>
          </v:line>
        </w:pict>
      </w:r>
      <w:r>
        <w:rPr>
          <w:b/>
          <w:color w:val="231F20"/>
          <w:sz w:val="20"/>
        </w:rPr>
        <w:t>Fair value measurements at reporting date using:</w:t>
      </w:r>
    </w:p>
    <w:p>
      <w:pPr>
        <w:spacing w:after="0"/>
        <w:jc w:val="left"/>
        <w:rPr>
          <w:sz w:val="20"/>
        </w:rPr>
        <w:sectPr>
          <w:pgSz w:w="11880" w:h="15480"/>
          <w:pgMar w:header="0" w:footer="1240" w:top="1240" w:bottom="1420" w:left="1260" w:right="1260"/>
        </w:sectPr>
      </w:pPr>
    </w:p>
    <w:p>
      <w:pPr>
        <w:spacing w:line="249" w:lineRule="auto" w:before="89"/>
        <w:ind w:left="5074" w:right="-19" w:hanging="81"/>
        <w:jc w:val="left"/>
        <w:rPr>
          <w:b/>
          <w:sz w:val="20"/>
        </w:rPr>
      </w:pPr>
      <w:r>
        <w:rPr>
          <w:b/>
          <w:color w:val="231F20"/>
          <w:sz w:val="20"/>
        </w:rPr>
        <w:t>Quoted prices in active markets</w:t>
      </w:r>
    </w:p>
    <w:p>
      <w:pPr>
        <w:spacing w:line="249" w:lineRule="auto" w:before="89"/>
        <w:ind w:left="40" w:right="-19" w:firstLine="252"/>
        <w:jc w:val="left"/>
        <w:rPr>
          <w:b/>
          <w:sz w:val="20"/>
        </w:rPr>
      </w:pPr>
      <w:r>
        <w:rPr/>
        <w:br w:type="column"/>
      </w:r>
      <w:r>
        <w:rPr>
          <w:b/>
          <w:color w:val="231F20"/>
          <w:sz w:val="20"/>
        </w:rPr>
        <w:t>Significant other observable</w:t>
      </w:r>
    </w:p>
    <w:p>
      <w:pPr>
        <w:spacing w:line="249" w:lineRule="auto" w:before="89"/>
        <w:ind w:left="72" w:right="168" w:firstLine="111"/>
        <w:jc w:val="left"/>
        <w:rPr>
          <w:b/>
          <w:sz w:val="20"/>
        </w:rPr>
      </w:pPr>
      <w:r>
        <w:rPr/>
        <w:br w:type="column"/>
      </w:r>
      <w:r>
        <w:rPr>
          <w:b/>
          <w:color w:val="231F20"/>
          <w:sz w:val="20"/>
        </w:rPr>
        <w:t>Significant unobservable</w:t>
      </w:r>
    </w:p>
    <w:p>
      <w:pPr>
        <w:spacing w:after="0" w:line="249" w:lineRule="auto"/>
        <w:jc w:val="left"/>
        <w:rPr>
          <w:sz w:val="20"/>
        </w:rPr>
        <w:sectPr>
          <w:type w:val="continuous"/>
          <w:pgSz w:w="11880" w:h="15480"/>
          <w:pgMar w:top="1260" w:bottom="280" w:left="1260" w:right="1260"/>
          <w:cols w:num="3" w:equalWidth="0">
            <w:col w:w="6406" w:space="40"/>
            <w:col w:w="1469" w:space="40"/>
            <w:col w:w="1405"/>
          </w:cols>
        </w:sectPr>
      </w:pPr>
    </w:p>
    <w:p>
      <w:pPr>
        <w:pStyle w:val="BodyText"/>
        <w:spacing w:before="10"/>
        <w:rPr>
          <w:b/>
          <w:sz w:val="20"/>
        </w:rPr>
      </w:pPr>
    </w:p>
    <w:p>
      <w:pPr>
        <w:spacing w:before="0"/>
        <w:ind w:left="200" w:right="0" w:firstLine="0"/>
        <w:jc w:val="left"/>
        <w:rPr>
          <w:b/>
          <w:sz w:val="20"/>
        </w:rPr>
      </w:pPr>
      <w:r>
        <w:rPr>
          <w:b/>
          <w:color w:val="231F20"/>
          <w:sz w:val="20"/>
        </w:rPr>
        <w:t>Description</w:t>
      </w:r>
    </w:p>
    <w:p>
      <w:pPr>
        <w:spacing w:before="0"/>
        <w:ind w:left="200" w:right="0" w:firstLine="0"/>
        <w:jc w:val="center"/>
        <w:rPr>
          <w:b/>
          <w:sz w:val="20"/>
        </w:rPr>
      </w:pPr>
      <w:r>
        <w:rPr/>
        <w:br w:type="column"/>
      </w:r>
      <w:r>
        <w:rPr>
          <w:b/>
          <w:color w:val="231F20"/>
          <w:sz w:val="20"/>
        </w:rPr>
        <w:t>December 31,</w:t>
      </w:r>
    </w:p>
    <w:p>
      <w:pPr>
        <w:spacing w:before="9"/>
        <w:ind w:left="200" w:right="0" w:firstLine="0"/>
        <w:jc w:val="center"/>
        <w:rPr>
          <w:b/>
          <w:sz w:val="20"/>
        </w:rPr>
      </w:pPr>
      <w:r>
        <w:rPr>
          <w:b/>
          <w:color w:val="231F20"/>
          <w:sz w:val="20"/>
        </w:rPr>
        <w:t>2015</w:t>
      </w:r>
    </w:p>
    <w:p>
      <w:pPr>
        <w:spacing w:line="249" w:lineRule="auto" w:before="0"/>
        <w:ind w:left="550" w:right="-17" w:hanging="414"/>
        <w:jc w:val="left"/>
        <w:rPr>
          <w:b/>
          <w:sz w:val="20"/>
        </w:rPr>
      </w:pPr>
      <w:r>
        <w:rPr/>
        <w:br w:type="column"/>
      </w:r>
      <w:r>
        <w:rPr>
          <w:b/>
          <w:color w:val="231F20"/>
          <w:sz w:val="20"/>
        </w:rPr>
        <w:t>for identical assets (Level 1)</w:t>
      </w:r>
    </w:p>
    <w:p>
      <w:pPr>
        <w:spacing w:line="249" w:lineRule="auto" w:before="0"/>
        <w:ind w:left="200" w:right="-19" w:firstLine="109"/>
        <w:jc w:val="left"/>
        <w:rPr>
          <w:b/>
          <w:sz w:val="20"/>
        </w:rPr>
      </w:pPr>
      <w:r>
        <w:rPr/>
        <w:br w:type="column"/>
      </w:r>
      <w:r>
        <w:rPr>
          <w:b/>
          <w:color w:val="231F20"/>
          <w:sz w:val="20"/>
        </w:rPr>
        <w:t>inputs (Level 2)</w:t>
      </w:r>
    </w:p>
    <w:p>
      <w:pPr>
        <w:spacing w:line="249" w:lineRule="auto" w:before="0"/>
        <w:ind w:left="200" w:right="365" w:firstLine="109"/>
        <w:jc w:val="left"/>
        <w:rPr>
          <w:b/>
          <w:sz w:val="20"/>
        </w:rPr>
      </w:pPr>
      <w:r>
        <w:rPr/>
        <w:br w:type="column"/>
      </w:r>
      <w:r>
        <w:rPr>
          <w:b/>
          <w:color w:val="231F20"/>
          <w:sz w:val="20"/>
        </w:rPr>
        <w:t>inputs (Level 3)</w:t>
      </w:r>
    </w:p>
    <w:p>
      <w:pPr>
        <w:spacing w:after="0" w:line="249" w:lineRule="auto"/>
        <w:jc w:val="left"/>
        <w:rPr>
          <w:sz w:val="20"/>
        </w:rPr>
        <w:sectPr>
          <w:type w:val="continuous"/>
          <w:pgSz w:w="11880" w:h="15480"/>
          <w:pgMar w:top="1260" w:bottom="280" w:left="1260" w:right="1260"/>
          <w:cols w:num="5" w:equalWidth="0">
            <w:col w:w="1189" w:space="2177"/>
            <w:col w:w="1368" w:space="40"/>
            <w:col w:w="1717" w:space="134"/>
            <w:col w:w="951" w:space="449"/>
            <w:col w:w="1335"/>
          </w:cols>
        </w:sectPr>
      </w:pPr>
    </w:p>
    <w:p>
      <w:pPr>
        <w:spacing w:line="20" w:lineRule="exact"/>
        <w:ind w:left="110" w:right="0" w:firstLine="0"/>
        <w:rPr>
          <w:sz w:val="2"/>
        </w:rPr>
      </w:pPr>
      <w:r>
        <w:rPr>
          <w:sz w:val="2"/>
        </w:rPr>
        <w:pict>
          <v:group style="width:162pt;height:1pt;mso-position-horizontal-relative:char;mso-position-vertical-relative:line" coordorigin="0,0" coordsize="3240,20">
            <v:line style="position:absolute" from="10,10" to="3230,10" stroked="true" strokeweight="1pt" strokecolor="#231f20">
              <v:stroke dashstyle="solid"/>
            </v:line>
          </v:group>
        </w:pict>
      </w:r>
      <w:r>
        <w:rPr>
          <w:sz w:val="2"/>
        </w:rPr>
      </w:r>
      <w:r>
        <w:rPr>
          <w:spacing w:val="80"/>
          <w:sz w:val="2"/>
        </w:rPr>
        <w:t> </w:t>
      </w:r>
      <w:r>
        <w:rPr>
          <w:spacing w:val="80"/>
          <w:sz w:val="2"/>
        </w:rPr>
        <w:pict>
          <v:group style="width:70pt;height:1pt;mso-position-horizontal-relative:char;mso-position-vertical-relative:line" coordorigin="0,0" coordsize="1400,20">
            <v:line style="position:absolute" from="10,10" to="1390,10" stroked="true" strokeweight="1pt" strokecolor="#231f20">
              <v:stroke dashstyle="solid"/>
            </v:line>
          </v:group>
        </w:pict>
      </w:r>
      <w:r>
        <w:rPr>
          <w:spacing w:val="80"/>
          <w:sz w:val="2"/>
        </w:rPr>
      </w:r>
      <w:r>
        <w:rPr>
          <w:spacing w:val="85"/>
          <w:sz w:val="2"/>
        </w:rPr>
        <w:t> </w:t>
      </w:r>
      <w:r>
        <w:rPr>
          <w:spacing w:val="85"/>
          <w:sz w:val="2"/>
        </w:rPr>
        <w:pict>
          <v:group style="width:75pt;height:1pt;mso-position-horizontal-relative:char;mso-position-vertical-relative:line" coordorigin="0,0" coordsize="1500,20">
            <v:line style="position:absolute" from="10,10" to="1490,10" stroked="true" strokeweight="1pt" strokecolor="#231f20">
              <v:stroke dashstyle="solid"/>
            </v:line>
          </v:group>
        </w:pict>
      </w:r>
      <w:r>
        <w:rPr>
          <w:spacing w:val="85"/>
          <w:sz w:val="2"/>
        </w:rPr>
      </w:r>
      <w:r>
        <w:rPr>
          <w:spacing w:val="80"/>
          <w:sz w:val="2"/>
        </w:rPr>
        <w:t> </w:t>
      </w:r>
      <w:r>
        <w:rPr>
          <w:spacing w:val="80"/>
          <w:sz w:val="2"/>
        </w:rPr>
        <w:pict>
          <v:group style="width:65pt;height:1pt;mso-position-horizontal-relative:char;mso-position-vertical-relative:line" coordorigin="0,0" coordsize="1300,20">
            <v:line style="position:absolute" from="10,10" to="1290,10" stroked="true" strokeweight="1pt" strokecolor="#231f20">
              <v:stroke dashstyle="solid"/>
            </v:line>
          </v:group>
        </w:pict>
      </w:r>
      <w:r>
        <w:rPr>
          <w:spacing w:val="80"/>
          <w:sz w:val="2"/>
        </w:rPr>
      </w:r>
      <w:r>
        <w:rPr>
          <w:spacing w:val="90"/>
          <w:sz w:val="2"/>
        </w:rPr>
        <w:t> </w:t>
      </w:r>
      <w:r>
        <w:rPr>
          <w:spacing w:val="90"/>
          <w:sz w:val="2"/>
        </w:rPr>
        <w:pict>
          <v:group style="width:65pt;height:1pt;mso-position-horizontal-relative:char;mso-position-vertical-relative:line" coordorigin="0,0" coordsize="1300,20">
            <v:line style="position:absolute" from="10,10" to="1290,10" stroked="true" strokeweight="1pt" strokecolor="#231f20">
              <v:stroke dashstyle="solid"/>
            </v:line>
          </v:group>
        </w:pict>
      </w:r>
      <w:r>
        <w:rPr>
          <w:spacing w:val="90"/>
          <w:sz w:val="2"/>
        </w:rPr>
      </w:r>
    </w:p>
    <w:p>
      <w:pPr>
        <w:tabs>
          <w:tab w:pos="6256" w:val="left" w:leader="none"/>
        </w:tabs>
        <w:spacing w:before="60"/>
        <w:ind w:left="200" w:right="0" w:firstLine="0"/>
        <w:jc w:val="both"/>
        <w:rPr>
          <w:sz w:val="20"/>
        </w:rPr>
      </w:pPr>
      <w:r>
        <w:rPr>
          <w:b/>
          <w:color w:val="231F20"/>
          <w:sz w:val="20"/>
        </w:rPr>
        <w:t>Assets</w:t>
        <w:tab/>
      </w:r>
      <w:r>
        <w:rPr>
          <w:color w:val="231F20"/>
          <w:sz w:val="20"/>
        </w:rPr>
        <w:t>(in millions)</w:t>
      </w:r>
    </w:p>
    <w:p>
      <w:pPr>
        <w:spacing w:before="69" w:after="16"/>
        <w:ind w:left="200" w:right="0" w:firstLine="0"/>
        <w:jc w:val="both"/>
        <w:rPr>
          <w:sz w:val="20"/>
        </w:rPr>
      </w:pPr>
      <w:r>
        <w:rPr>
          <w:color w:val="231F20"/>
          <w:sz w:val="20"/>
        </w:rPr>
        <w:t>Cash equivalents</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40"/>
        <w:gridCol w:w="1440"/>
        <w:gridCol w:w="1567"/>
        <w:gridCol w:w="1433"/>
        <w:gridCol w:w="1340"/>
      </w:tblGrid>
      <w:tr>
        <w:trPr>
          <w:trHeight w:val="300" w:hRule="exact"/>
        </w:trPr>
        <w:tc>
          <w:tcPr>
            <w:tcW w:w="3340" w:type="dxa"/>
            <w:shd w:val="clear" w:color="auto" w:fill="D1D3D4"/>
          </w:tcPr>
          <w:p>
            <w:pPr>
              <w:pStyle w:val="TableParagraph"/>
              <w:ind w:left="280"/>
              <w:rPr>
                <w:sz w:val="20"/>
              </w:rPr>
            </w:pPr>
            <w:r>
              <w:rPr>
                <w:color w:val="231F20"/>
                <w:sz w:val="20"/>
              </w:rPr>
              <w:t>Cash equivalents (a)</w:t>
            </w:r>
          </w:p>
        </w:tc>
        <w:tc>
          <w:tcPr>
            <w:tcW w:w="1440" w:type="dxa"/>
            <w:shd w:val="clear" w:color="auto" w:fill="D1D3D4"/>
          </w:tcPr>
          <w:p>
            <w:pPr>
              <w:pStyle w:val="TableParagraph"/>
              <w:tabs>
                <w:tab w:pos="862" w:val="left" w:leader="none"/>
              </w:tabs>
              <w:rPr>
                <w:sz w:val="20"/>
              </w:rPr>
            </w:pPr>
            <w:r>
              <w:rPr>
                <w:color w:val="231F20"/>
                <w:sz w:val="20"/>
              </w:rPr>
              <w:t>$</w:t>
              <w:tab/>
              <w:t>1,337</w:t>
            </w:r>
          </w:p>
        </w:tc>
        <w:tc>
          <w:tcPr>
            <w:tcW w:w="1567" w:type="dxa"/>
            <w:shd w:val="clear" w:color="auto" w:fill="D1D3D4"/>
          </w:tcPr>
          <w:p>
            <w:pPr>
              <w:pStyle w:val="TableParagraph"/>
              <w:tabs>
                <w:tab w:pos="962" w:val="left" w:leader="none"/>
              </w:tabs>
              <w:ind w:right="91"/>
              <w:jc w:val="right"/>
              <w:rPr>
                <w:sz w:val="20"/>
              </w:rPr>
            </w:pPr>
            <w:r>
              <w:rPr>
                <w:color w:val="231F20"/>
                <w:sz w:val="20"/>
              </w:rPr>
              <w:t>$</w:t>
              <w:tab/>
              <w:t>1,337</w:t>
            </w:r>
          </w:p>
        </w:tc>
        <w:tc>
          <w:tcPr>
            <w:tcW w:w="1433" w:type="dxa"/>
            <w:shd w:val="clear" w:color="auto" w:fill="D1D3D4"/>
          </w:tcPr>
          <w:p>
            <w:pPr>
              <w:pStyle w:val="TableParagraph"/>
              <w:tabs>
                <w:tab w:pos="1012" w:val="left" w:leader="none"/>
              </w:tabs>
              <w:ind w:right="124"/>
              <w:jc w:val="right"/>
              <w:rPr>
                <w:sz w:val="20"/>
              </w:rPr>
            </w:pPr>
            <w:r>
              <w:rPr>
                <w:color w:val="231F20"/>
                <w:sz w:val="20"/>
              </w:rPr>
              <w:t>$</w:t>
              <w:tab/>
              <w:t>—</w:t>
            </w:r>
          </w:p>
        </w:tc>
        <w:tc>
          <w:tcPr>
            <w:tcW w:w="1340" w:type="dxa"/>
            <w:shd w:val="clear" w:color="auto" w:fill="D1D3D4"/>
          </w:tcPr>
          <w:p>
            <w:pPr>
              <w:pStyle w:val="TableParagraph"/>
              <w:tabs>
                <w:tab w:pos="1072" w:val="left" w:leader="none"/>
              </w:tabs>
              <w:ind w:left="60"/>
              <w:rPr>
                <w:sz w:val="20"/>
              </w:rPr>
            </w:pPr>
            <w:r>
              <w:rPr>
                <w:color w:val="231F20"/>
                <w:sz w:val="20"/>
              </w:rPr>
              <w:t>$</w:t>
              <w:tab/>
              <w:t>—</w:t>
            </w:r>
          </w:p>
        </w:tc>
      </w:tr>
      <w:tr>
        <w:trPr>
          <w:trHeight w:val="300" w:hRule="exact"/>
        </w:trPr>
        <w:tc>
          <w:tcPr>
            <w:tcW w:w="3340" w:type="dxa"/>
          </w:tcPr>
          <w:p>
            <w:pPr>
              <w:pStyle w:val="TableParagraph"/>
              <w:ind w:left="280"/>
              <w:rPr>
                <w:sz w:val="20"/>
              </w:rPr>
            </w:pPr>
            <w:r>
              <w:rPr>
                <w:color w:val="231F20"/>
                <w:sz w:val="20"/>
              </w:rPr>
              <w:t>Commercial paper</w:t>
            </w:r>
          </w:p>
        </w:tc>
        <w:tc>
          <w:tcPr>
            <w:tcW w:w="1440" w:type="dxa"/>
          </w:tcPr>
          <w:p>
            <w:pPr>
              <w:pStyle w:val="TableParagraph"/>
              <w:ind w:right="124"/>
              <w:jc w:val="right"/>
              <w:rPr>
                <w:sz w:val="20"/>
              </w:rPr>
            </w:pPr>
            <w:r>
              <w:rPr>
                <w:color w:val="231F20"/>
                <w:sz w:val="20"/>
              </w:rPr>
              <w:t>200</w:t>
            </w:r>
          </w:p>
        </w:tc>
        <w:tc>
          <w:tcPr>
            <w:tcW w:w="1567" w:type="dxa"/>
          </w:tcPr>
          <w:p>
            <w:pPr>
              <w:pStyle w:val="TableParagraph"/>
              <w:ind w:right="91"/>
              <w:jc w:val="right"/>
              <w:rPr>
                <w:sz w:val="20"/>
              </w:rPr>
            </w:pPr>
            <w:r>
              <w:rPr>
                <w:color w:val="231F20"/>
                <w:sz w:val="20"/>
              </w:rPr>
              <w:t>—</w:t>
            </w:r>
          </w:p>
        </w:tc>
        <w:tc>
          <w:tcPr>
            <w:tcW w:w="1433" w:type="dxa"/>
          </w:tcPr>
          <w:p>
            <w:pPr>
              <w:pStyle w:val="TableParagraph"/>
              <w:ind w:right="124"/>
              <w:jc w:val="right"/>
              <w:rPr>
                <w:sz w:val="20"/>
              </w:rPr>
            </w:pPr>
            <w:r>
              <w:rPr>
                <w:color w:val="231F20"/>
                <w:sz w:val="20"/>
              </w:rPr>
              <w:t>200</w:t>
            </w:r>
          </w:p>
        </w:tc>
        <w:tc>
          <w:tcPr>
            <w:tcW w:w="1340" w:type="dxa"/>
          </w:tcPr>
          <w:p>
            <w:pPr>
              <w:pStyle w:val="TableParagraph"/>
              <w:ind w:right="64"/>
              <w:jc w:val="right"/>
              <w:rPr>
                <w:sz w:val="20"/>
              </w:rPr>
            </w:pPr>
            <w:r>
              <w:rPr>
                <w:color w:val="231F20"/>
                <w:sz w:val="20"/>
              </w:rPr>
              <w:t>—</w:t>
            </w:r>
          </w:p>
        </w:tc>
      </w:tr>
      <w:tr>
        <w:trPr>
          <w:trHeight w:val="300" w:hRule="exact"/>
        </w:trPr>
        <w:tc>
          <w:tcPr>
            <w:tcW w:w="3340" w:type="dxa"/>
            <w:shd w:val="clear" w:color="auto" w:fill="D1D3D4"/>
          </w:tcPr>
          <w:p>
            <w:pPr>
              <w:pStyle w:val="TableParagraph"/>
              <w:ind w:left="280"/>
              <w:rPr>
                <w:sz w:val="20"/>
              </w:rPr>
            </w:pPr>
            <w:r>
              <w:rPr>
                <w:color w:val="231F20"/>
                <w:sz w:val="20"/>
              </w:rPr>
              <w:t>Certificates of deposit</w:t>
            </w:r>
          </w:p>
        </w:tc>
        <w:tc>
          <w:tcPr>
            <w:tcW w:w="1440" w:type="dxa"/>
            <w:shd w:val="clear" w:color="auto" w:fill="D1D3D4"/>
          </w:tcPr>
          <w:p>
            <w:pPr>
              <w:pStyle w:val="TableParagraph"/>
              <w:ind w:right="124"/>
              <w:jc w:val="right"/>
              <w:rPr>
                <w:sz w:val="20"/>
              </w:rPr>
            </w:pPr>
            <w:r>
              <w:rPr>
                <w:color w:val="231F20"/>
                <w:sz w:val="20"/>
              </w:rPr>
              <w:t>13</w:t>
            </w:r>
          </w:p>
        </w:tc>
        <w:tc>
          <w:tcPr>
            <w:tcW w:w="1567" w:type="dxa"/>
            <w:shd w:val="clear" w:color="auto" w:fill="D1D3D4"/>
          </w:tcPr>
          <w:p>
            <w:pPr>
              <w:pStyle w:val="TableParagraph"/>
              <w:ind w:right="91"/>
              <w:jc w:val="right"/>
              <w:rPr>
                <w:sz w:val="20"/>
              </w:rPr>
            </w:pPr>
            <w:r>
              <w:rPr>
                <w:color w:val="231F20"/>
                <w:sz w:val="20"/>
              </w:rPr>
              <w:t>—</w:t>
            </w:r>
          </w:p>
        </w:tc>
        <w:tc>
          <w:tcPr>
            <w:tcW w:w="1433" w:type="dxa"/>
            <w:shd w:val="clear" w:color="auto" w:fill="D1D3D4"/>
          </w:tcPr>
          <w:p>
            <w:pPr>
              <w:pStyle w:val="TableParagraph"/>
              <w:ind w:right="124"/>
              <w:jc w:val="right"/>
              <w:rPr>
                <w:sz w:val="20"/>
              </w:rPr>
            </w:pPr>
            <w:r>
              <w:rPr>
                <w:color w:val="231F20"/>
                <w:sz w:val="20"/>
              </w:rPr>
              <w:t>13</w:t>
            </w:r>
          </w:p>
        </w:tc>
        <w:tc>
          <w:tcPr>
            <w:tcW w:w="1340" w:type="dxa"/>
            <w:shd w:val="clear" w:color="auto" w:fill="D1D3D4"/>
          </w:tcPr>
          <w:p>
            <w:pPr>
              <w:pStyle w:val="TableParagraph"/>
              <w:ind w:right="64"/>
              <w:jc w:val="right"/>
              <w:rPr>
                <w:sz w:val="20"/>
              </w:rPr>
            </w:pPr>
            <w:r>
              <w:rPr>
                <w:color w:val="231F20"/>
                <w:sz w:val="20"/>
              </w:rPr>
              <w:t>—</w:t>
            </w:r>
          </w:p>
        </w:tc>
      </w:tr>
      <w:tr>
        <w:trPr>
          <w:trHeight w:val="284" w:hRule="exact"/>
        </w:trPr>
        <w:tc>
          <w:tcPr>
            <w:tcW w:w="3340" w:type="dxa"/>
          </w:tcPr>
          <w:p>
            <w:pPr>
              <w:pStyle w:val="TableParagraph"/>
              <w:ind w:left="280"/>
              <w:rPr>
                <w:sz w:val="20"/>
              </w:rPr>
            </w:pPr>
            <w:r>
              <w:rPr>
                <w:color w:val="231F20"/>
                <w:sz w:val="20"/>
              </w:rPr>
              <w:t>Eurodollar Time Deposits</w:t>
            </w:r>
          </w:p>
        </w:tc>
        <w:tc>
          <w:tcPr>
            <w:tcW w:w="1440" w:type="dxa"/>
          </w:tcPr>
          <w:p>
            <w:pPr>
              <w:pStyle w:val="TableParagraph"/>
              <w:ind w:right="124"/>
              <w:jc w:val="right"/>
              <w:rPr>
                <w:sz w:val="20"/>
              </w:rPr>
            </w:pPr>
            <w:r>
              <w:rPr>
                <w:color w:val="231F20"/>
                <w:sz w:val="20"/>
              </w:rPr>
              <w:t>33</w:t>
            </w:r>
          </w:p>
        </w:tc>
        <w:tc>
          <w:tcPr>
            <w:tcW w:w="1567" w:type="dxa"/>
          </w:tcPr>
          <w:p>
            <w:pPr>
              <w:pStyle w:val="TableParagraph"/>
              <w:ind w:right="91"/>
              <w:jc w:val="right"/>
              <w:rPr>
                <w:sz w:val="20"/>
              </w:rPr>
            </w:pPr>
            <w:r>
              <w:rPr>
                <w:color w:val="231F20"/>
                <w:sz w:val="20"/>
              </w:rPr>
              <w:t>—</w:t>
            </w:r>
          </w:p>
        </w:tc>
        <w:tc>
          <w:tcPr>
            <w:tcW w:w="1433" w:type="dxa"/>
          </w:tcPr>
          <w:p>
            <w:pPr>
              <w:pStyle w:val="TableParagraph"/>
              <w:ind w:right="124"/>
              <w:jc w:val="right"/>
              <w:rPr>
                <w:sz w:val="20"/>
              </w:rPr>
            </w:pPr>
            <w:r>
              <w:rPr>
                <w:color w:val="231F20"/>
                <w:sz w:val="20"/>
              </w:rPr>
              <w:t>33</w:t>
            </w:r>
          </w:p>
        </w:tc>
        <w:tc>
          <w:tcPr>
            <w:tcW w:w="1340" w:type="dxa"/>
          </w:tcPr>
          <w:p>
            <w:pPr>
              <w:pStyle w:val="TableParagraph"/>
              <w:ind w:right="64"/>
              <w:jc w:val="right"/>
              <w:rPr>
                <w:sz w:val="20"/>
              </w:rPr>
            </w:pPr>
            <w:r>
              <w:rPr>
                <w:color w:val="231F20"/>
                <w:sz w:val="20"/>
              </w:rPr>
              <w:t>—</w:t>
            </w:r>
          </w:p>
        </w:tc>
      </w:tr>
      <w:tr>
        <w:trPr>
          <w:trHeight w:val="316" w:hRule="exact"/>
        </w:trPr>
        <w:tc>
          <w:tcPr>
            <w:tcW w:w="9120" w:type="dxa"/>
            <w:gridSpan w:val="5"/>
            <w:shd w:val="clear" w:color="auto" w:fill="D1D3D4"/>
          </w:tcPr>
          <w:p>
            <w:pPr>
              <w:pStyle w:val="TableParagraph"/>
              <w:ind w:left="80"/>
              <w:rPr>
                <w:sz w:val="20"/>
              </w:rPr>
            </w:pPr>
            <w:r>
              <w:rPr>
                <w:color w:val="231F20"/>
                <w:sz w:val="20"/>
              </w:rPr>
              <w:t>Short-term investments:</w:t>
            </w:r>
          </w:p>
        </w:tc>
      </w:tr>
      <w:tr>
        <w:trPr>
          <w:trHeight w:val="300" w:hRule="exact"/>
        </w:trPr>
        <w:tc>
          <w:tcPr>
            <w:tcW w:w="3340" w:type="dxa"/>
          </w:tcPr>
          <w:p>
            <w:pPr>
              <w:pStyle w:val="TableParagraph"/>
              <w:ind w:left="280"/>
              <w:rPr>
                <w:sz w:val="20"/>
              </w:rPr>
            </w:pPr>
            <w:r>
              <w:rPr>
                <w:color w:val="231F20"/>
                <w:sz w:val="20"/>
              </w:rPr>
              <w:t>Treasury bills</w:t>
            </w:r>
          </w:p>
        </w:tc>
        <w:tc>
          <w:tcPr>
            <w:tcW w:w="1440" w:type="dxa"/>
          </w:tcPr>
          <w:p>
            <w:pPr>
              <w:pStyle w:val="TableParagraph"/>
              <w:ind w:right="126"/>
              <w:jc w:val="right"/>
              <w:rPr>
                <w:sz w:val="20"/>
              </w:rPr>
            </w:pPr>
            <w:r>
              <w:rPr>
                <w:color w:val="231F20"/>
                <w:sz w:val="20"/>
              </w:rPr>
              <w:t>1,248</w:t>
            </w:r>
          </w:p>
        </w:tc>
        <w:tc>
          <w:tcPr>
            <w:tcW w:w="3000" w:type="dxa"/>
            <w:gridSpan w:val="2"/>
          </w:tcPr>
          <w:p>
            <w:pPr>
              <w:pStyle w:val="TableParagraph"/>
              <w:tabs>
                <w:tab w:pos="2672" w:val="left" w:leader="none"/>
              </w:tabs>
              <w:ind w:left="1023"/>
              <w:rPr>
                <w:sz w:val="20"/>
              </w:rPr>
            </w:pPr>
            <w:r>
              <w:rPr>
                <w:color w:val="231F20"/>
                <w:sz w:val="20"/>
              </w:rPr>
              <w:t>1,248</w:t>
              <w:tab/>
              <w:t>—</w:t>
            </w:r>
          </w:p>
        </w:tc>
        <w:tc>
          <w:tcPr>
            <w:tcW w:w="1340" w:type="dxa"/>
          </w:tcPr>
          <w:p>
            <w:pPr>
              <w:pStyle w:val="TableParagraph"/>
              <w:ind w:right="66"/>
              <w:jc w:val="right"/>
              <w:rPr>
                <w:sz w:val="20"/>
              </w:rPr>
            </w:pPr>
            <w:r>
              <w:rPr>
                <w:color w:val="231F20"/>
                <w:sz w:val="20"/>
              </w:rPr>
              <w:t>—</w:t>
            </w:r>
          </w:p>
        </w:tc>
      </w:tr>
      <w:tr>
        <w:trPr>
          <w:trHeight w:val="300" w:hRule="exact"/>
        </w:trPr>
        <w:tc>
          <w:tcPr>
            <w:tcW w:w="3340" w:type="dxa"/>
            <w:shd w:val="clear" w:color="auto" w:fill="D1D3D4"/>
          </w:tcPr>
          <w:p>
            <w:pPr>
              <w:pStyle w:val="TableParagraph"/>
              <w:ind w:left="280"/>
              <w:rPr>
                <w:sz w:val="20"/>
              </w:rPr>
            </w:pPr>
            <w:r>
              <w:rPr>
                <w:color w:val="231F20"/>
                <w:sz w:val="20"/>
              </w:rPr>
              <w:t>Certificates of deposit</w:t>
            </w:r>
          </w:p>
        </w:tc>
        <w:tc>
          <w:tcPr>
            <w:tcW w:w="1440" w:type="dxa"/>
            <w:shd w:val="clear" w:color="auto" w:fill="D1D3D4"/>
          </w:tcPr>
          <w:p>
            <w:pPr>
              <w:pStyle w:val="TableParagraph"/>
              <w:ind w:right="124"/>
              <w:jc w:val="right"/>
              <w:rPr>
                <w:sz w:val="20"/>
              </w:rPr>
            </w:pPr>
            <w:r>
              <w:rPr>
                <w:color w:val="231F20"/>
                <w:sz w:val="20"/>
              </w:rPr>
              <w:t>220</w:t>
            </w:r>
          </w:p>
        </w:tc>
        <w:tc>
          <w:tcPr>
            <w:tcW w:w="3000" w:type="dxa"/>
            <w:gridSpan w:val="2"/>
            <w:shd w:val="clear" w:color="auto" w:fill="D1D3D4"/>
          </w:tcPr>
          <w:p>
            <w:pPr>
              <w:pStyle w:val="TableParagraph"/>
              <w:tabs>
                <w:tab w:pos="2572" w:val="left" w:leader="none"/>
              </w:tabs>
              <w:ind w:left="1273"/>
              <w:rPr>
                <w:sz w:val="20"/>
              </w:rPr>
            </w:pPr>
            <w:r>
              <w:rPr>
                <w:color w:val="231F20"/>
                <w:sz w:val="20"/>
              </w:rPr>
              <w:t>—</w:t>
              <w:tab/>
              <w:t>220</w:t>
            </w:r>
          </w:p>
        </w:tc>
        <w:tc>
          <w:tcPr>
            <w:tcW w:w="1340" w:type="dxa"/>
            <w:shd w:val="clear" w:color="auto" w:fill="D1D3D4"/>
          </w:tcPr>
          <w:p>
            <w:pPr>
              <w:pStyle w:val="TableParagraph"/>
              <w:ind w:right="64"/>
              <w:jc w:val="right"/>
              <w:rPr>
                <w:sz w:val="20"/>
              </w:rPr>
            </w:pPr>
            <w:r>
              <w:rPr>
                <w:color w:val="231F20"/>
                <w:sz w:val="20"/>
              </w:rPr>
              <w:t>—</w:t>
            </w:r>
          </w:p>
        </w:tc>
      </w:tr>
      <w:tr>
        <w:trPr>
          <w:trHeight w:val="300" w:hRule="exact"/>
        </w:trPr>
        <w:tc>
          <w:tcPr>
            <w:tcW w:w="3340" w:type="dxa"/>
          </w:tcPr>
          <w:p>
            <w:pPr>
              <w:pStyle w:val="TableParagraph"/>
              <w:ind w:left="80"/>
              <w:rPr>
                <w:sz w:val="20"/>
              </w:rPr>
            </w:pPr>
            <w:r>
              <w:rPr>
                <w:color w:val="231F20"/>
                <w:sz w:val="20"/>
              </w:rPr>
              <w:t>Interest rate derivatives (see Note 10)</w:t>
            </w:r>
          </w:p>
        </w:tc>
        <w:tc>
          <w:tcPr>
            <w:tcW w:w="1440" w:type="dxa"/>
          </w:tcPr>
          <w:p>
            <w:pPr>
              <w:pStyle w:val="TableParagraph"/>
              <w:ind w:right="124"/>
              <w:jc w:val="right"/>
              <w:rPr>
                <w:sz w:val="20"/>
              </w:rPr>
            </w:pPr>
            <w:r>
              <w:rPr>
                <w:color w:val="231F20"/>
                <w:sz w:val="20"/>
              </w:rPr>
              <w:t>2</w:t>
            </w:r>
          </w:p>
        </w:tc>
        <w:tc>
          <w:tcPr>
            <w:tcW w:w="3000" w:type="dxa"/>
            <w:gridSpan w:val="2"/>
          </w:tcPr>
          <w:p>
            <w:pPr>
              <w:pStyle w:val="TableParagraph"/>
              <w:tabs>
                <w:tab w:pos="2772" w:val="left" w:leader="none"/>
              </w:tabs>
              <w:ind w:left="1273"/>
              <w:rPr>
                <w:sz w:val="20"/>
              </w:rPr>
            </w:pPr>
            <w:r>
              <w:rPr>
                <w:color w:val="231F20"/>
                <w:sz w:val="20"/>
              </w:rPr>
              <w:t>—</w:t>
              <w:tab/>
              <w:t>2</w:t>
            </w:r>
          </w:p>
        </w:tc>
        <w:tc>
          <w:tcPr>
            <w:tcW w:w="1340" w:type="dxa"/>
          </w:tcPr>
          <w:p>
            <w:pPr>
              <w:pStyle w:val="TableParagraph"/>
              <w:ind w:right="64"/>
              <w:jc w:val="right"/>
              <w:rPr>
                <w:sz w:val="20"/>
              </w:rPr>
            </w:pPr>
            <w:r>
              <w:rPr>
                <w:color w:val="231F20"/>
                <w:sz w:val="20"/>
              </w:rPr>
              <w:t>—</w:t>
            </w:r>
          </w:p>
        </w:tc>
      </w:tr>
      <w:tr>
        <w:trPr>
          <w:trHeight w:val="300" w:hRule="exact"/>
        </w:trPr>
        <w:tc>
          <w:tcPr>
            <w:tcW w:w="3340" w:type="dxa"/>
            <w:shd w:val="clear" w:color="auto" w:fill="D1D3D4"/>
          </w:tcPr>
          <w:p>
            <w:pPr>
              <w:pStyle w:val="TableParagraph"/>
              <w:ind w:left="80"/>
              <w:rPr>
                <w:sz w:val="20"/>
              </w:rPr>
            </w:pPr>
            <w:r>
              <w:rPr>
                <w:color w:val="231F20"/>
                <w:sz w:val="20"/>
              </w:rPr>
              <w:t>Fuel derivatives:</w:t>
            </w:r>
          </w:p>
        </w:tc>
        <w:tc>
          <w:tcPr>
            <w:tcW w:w="1440" w:type="dxa"/>
            <w:shd w:val="clear" w:color="auto" w:fill="D1D3D4"/>
          </w:tcPr>
          <w:p>
            <w:pPr/>
          </w:p>
        </w:tc>
        <w:tc>
          <w:tcPr>
            <w:tcW w:w="3000" w:type="dxa"/>
            <w:gridSpan w:val="2"/>
            <w:shd w:val="clear" w:color="auto" w:fill="D1D3D4"/>
          </w:tcPr>
          <w:p>
            <w:pPr/>
          </w:p>
        </w:tc>
        <w:tc>
          <w:tcPr>
            <w:tcW w:w="1340" w:type="dxa"/>
            <w:shd w:val="clear" w:color="auto" w:fill="D1D3D4"/>
          </w:tcPr>
          <w:p>
            <w:pPr/>
          </w:p>
        </w:tc>
      </w:tr>
      <w:tr>
        <w:trPr>
          <w:trHeight w:val="300" w:hRule="exact"/>
        </w:trPr>
        <w:tc>
          <w:tcPr>
            <w:tcW w:w="3340" w:type="dxa"/>
          </w:tcPr>
          <w:p>
            <w:pPr>
              <w:pStyle w:val="TableParagraph"/>
              <w:ind w:left="280"/>
              <w:rPr>
                <w:sz w:val="20"/>
              </w:rPr>
            </w:pPr>
            <w:r>
              <w:rPr>
                <w:color w:val="231F20"/>
                <w:sz w:val="20"/>
              </w:rPr>
              <w:t>Swap contracts (b)</w:t>
            </w:r>
          </w:p>
        </w:tc>
        <w:tc>
          <w:tcPr>
            <w:tcW w:w="1440" w:type="dxa"/>
          </w:tcPr>
          <w:p>
            <w:pPr>
              <w:pStyle w:val="TableParagraph"/>
              <w:ind w:right="126"/>
              <w:jc w:val="right"/>
              <w:rPr>
                <w:sz w:val="20"/>
              </w:rPr>
            </w:pPr>
            <w:r>
              <w:rPr>
                <w:color w:val="231F20"/>
                <w:sz w:val="20"/>
              </w:rPr>
              <w:t>38</w:t>
            </w:r>
          </w:p>
        </w:tc>
        <w:tc>
          <w:tcPr>
            <w:tcW w:w="3000" w:type="dxa"/>
            <w:gridSpan w:val="2"/>
          </w:tcPr>
          <w:p>
            <w:pPr>
              <w:pStyle w:val="TableParagraph"/>
              <w:tabs>
                <w:tab w:pos="2672" w:val="left" w:leader="none"/>
              </w:tabs>
              <w:ind w:left="1273"/>
              <w:rPr>
                <w:sz w:val="20"/>
              </w:rPr>
            </w:pPr>
            <w:r>
              <w:rPr>
                <w:color w:val="231F20"/>
                <w:sz w:val="20"/>
              </w:rPr>
              <w:t>—</w:t>
              <w:tab/>
              <w:t>38</w:t>
            </w:r>
          </w:p>
        </w:tc>
        <w:tc>
          <w:tcPr>
            <w:tcW w:w="1340" w:type="dxa"/>
          </w:tcPr>
          <w:p>
            <w:pPr>
              <w:pStyle w:val="TableParagraph"/>
              <w:ind w:right="66"/>
              <w:jc w:val="right"/>
              <w:rPr>
                <w:sz w:val="20"/>
              </w:rPr>
            </w:pPr>
            <w:r>
              <w:rPr>
                <w:color w:val="231F20"/>
                <w:sz w:val="20"/>
              </w:rPr>
              <w:t>—</w:t>
            </w:r>
          </w:p>
        </w:tc>
      </w:tr>
      <w:tr>
        <w:trPr>
          <w:trHeight w:val="300" w:hRule="exact"/>
        </w:trPr>
        <w:tc>
          <w:tcPr>
            <w:tcW w:w="3340" w:type="dxa"/>
            <w:shd w:val="clear" w:color="auto" w:fill="D1D3D4"/>
          </w:tcPr>
          <w:p>
            <w:pPr>
              <w:pStyle w:val="TableParagraph"/>
              <w:ind w:left="280"/>
              <w:rPr>
                <w:sz w:val="20"/>
              </w:rPr>
            </w:pPr>
            <w:r>
              <w:rPr>
                <w:color w:val="231F20"/>
                <w:sz w:val="20"/>
              </w:rPr>
              <w:t>Swap contracts (c)</w:t>
            </w:r>
          </w:p>
        </w:tc>
        <w:tc>
          <w:tcPr>
            <w:tcW w:w="1440" w:type="dxa"/>
            <w:shd w:val="clear" w:color="auto" w:fill="D1D3D4"/>
          </w:tcPr>
          <w:p>
            <w:pPr>
              <w:pStyle w:val="TableParagraph"/>
              <w:ind w:right="126"/>
              <w:jc w:val="right"/>
              <w:rPr>
                <w:sz w:val="20"/>
              </w:rPr>
            </w:pPr>
            <w:r>
              <w:rPr>
                <w:color w:val="231F20"/>
                <w:sz w:val="20"/>
              </w:rPr>
              <w:t>931</w:t>
            </w:r>
          </w:p>
        </w:tc>
        <w:tc>
          <w:tcPr>
            <w:tcW w:w="3000" w:type="dxa"/>
            <w:gridSpan w:val="2"/>
            <w:shd w:val="clear" w:color="auto" w:fill="D1D3D4"/>
          </w:tcPr>
          <w:p>
            <w:pPr>
              <w:pStyle w:val="TableParagraph"/>
              <w:tabs>
                <w:tab w:pos="2572" w:val="left" w:leader="none"/>
              </w:tabs>
              <w:ind w:left="1273"/>
              <w:rPr>
                <w:sz w:val="20"/>
              </w:rPr>
            </w:pPr>
            <w:r>
              <w:rPr>
                <w:color w:val="231F20"/>
                <w:sz w:val="20"/>
              </w:rPr>
              <w:t>—</w:t>
              <w:tab/>
              <w:t>931</w:t>
            </w:r>
          </w:p>
        </w:tc>
        <w:tc>
          <w:tcPr>
            <w:tcW w:w="1340" w:type="dxa"/>
            <w:shd w:val="clear" w:color="auto" w:fill="D1D3D4"/>
          </w:tcPr>
          <w:p>
            <w:pPr>
              <w:pStyle w:val="TableParagraph"/>
              <w:ind w:right="66"/>
              <w:jc w:val="right"/>
              <w:rPr>
                <w:sz w:val="20"/>
              </w:rPr>
            </w:pPr>
            <w:r>
              <w:rPr>
                <w:color w:val="231F20"/>
                <w:sz w:val="20"/>
              </w:rPr>
              <w:t>—</w:t>
            </w:r>
          </w:p>
        </w:tc>
      </w:tr>
      <w:tr>
        <w:trPr>
          <w:trHeight w:val="300" w:hRule="exact"/>
        </w:trPr>
        <w:tc>
          <w:tcPr>
            <w:tcW w:w="3340" w:type="dxa"/>
          </w:tcPr>
          <w:p>
            <w:pPr>
              <w:pStyle w:val="TableParagraph"/>
              <w:ind w:left="280"/>
              <w:rPr>
                <w:sz w:val="20"/>
              </w:rPr>
            </w:pPr>
            <w:r>
              <w:rPr>
                <w:color w:val="231F20"/>
                <w:sz w:val="20"/>
              </w:rPr>
              <w:t>Option contracts (b)</w:t>
            </w:r>
          </w:p>
        </w:tc>
        <w:tc>
          <w:tcPr>
            <w:tcW w:w="1440" w:type="dxa"/>
          </w:tcPr>
          <w:p>
            <w:pPr>
              <w:pStyle w:val="TableParagraph"/>
              <w:ind w:right="126"/>
              <w:jc w:val="right"/>
              <w:rPr>
                <w:sz w:val="20"/>
              </w:rPr>
            </w:pPr>
            <w:r>
              <w:rPr>
                <w:color w:val="231F20"/>
                <w:sz w:val="20"/>
              </w:rPr>
              <w:t>10</w:t>
            </w:r>
          </w:p>
        </w:tc>
        <w:tc>
          <w:tcPr>
            <w:tcW w:w="3000" w:type="dxa"/>
            <w:gridSpan w:val="2"/>
          </w:tcPr>
          <w:p>
            <w:pPr>
              <w:pStyle w:val="TableParagraph"/>
              <w:tabs>
                <w:tab w:pos="2672" w:val="left" w:leader="none"/>
              </w:tabs>
              <w:ind w:left="1273"/>
              <w:rPr>
                <w:sz w:val="20"/>
              </w:rPr>
            </w:pPr>
            <w:r>
              <w:rPr>
                <w:color w:val="231F20"/>
                <w:sz w:val="20"/>
              </w:rPr>
              <w:t>—</w:t>
              <w:tab/>
              <w:t>—</w:t>
            </w:r>
          </w:p>
        </w:tc>
        <w:tc>
          <w:tcPr>
            <w:tcW w:w="1340" w:type="dxa"/>
          </w:tcPr>
          <w:p>
            <w:pPr>
              <w:pStyle w:val="TableParagraph"/>
              <w:ind w:right="66"/>
              <w:jc w:val="right"/>
              <w:rPr>
                <w:sz w:val="20"/>
              </w:rPr>
            </w:pPr>
            <w:r>
              <w:rPr>
                <w:color w:val="231F20"/>
                <w:sz w:val="20"/>
              </w:rPr>
              <w:t>10</w:t>
            </w:r>
          </w:p>
        </w:tc>
      </w:tr>
      <w:tr>
        <w:trPr>
          <w:trHeight w:val="300" w:hRule="exact"/>
        </w:trPr>
        <w:tc>
          <w:tcPr>
            <w:tcW w:w="3340" w:type="dxa"/>
            <w:shd w:val="clear" w:color="auto" w:fill="D1D3D4"/>
          </w:tcPr>
          <w:p>
            <w:pPr>
              <w:pStyle w:val="TableParagraph"/>
              <w:ind w:left="280"/>
              <w:rPr>
                <w:sz w:val="20"/>
              </w:rPr>
            </w:pPr>
            <w:r>
              <w:rPr>
                <w:color w:val="231F20"/>
                <w:sz w:val="20"/>
              </w:rPr>
              <w:t>Option contracts (c)</w:t>
            </w:r>
          </w:p>
        </w:tc>
        <w:tc>
          <w:tcPr>
            <w:tcW w:w="1440" w:type="dxa"/>
            <w:shd w:val="clear" w:color="auto" w:fill="D1D3D4"/>
          </w:tcPr>
          <w:p>
            <w:pPr>
              <w:pStyle w:val="TableParagraph"/>
              <w:ind w:right="126"/>
              <w:jc w:val="right"/>
              <w:rPr>
                <w:sz w:val="20"/>
              </w:rPr>
            </w:pPr>
            <w:r>
              <w:rPr>
                <w:color w:val="231F20"/>
                <w:sz w:val="20"/>
              </w:rPr>
              <w:t>956</w:t>
            </w:r>
          </w:p>
        </w:tc>
        <w:tc>
          <w:tcPr>
            <w:tcW w:w="3000" w:type="dxa"/>
            <w:gridSpan w:val="2"/>
            <w:shd w:val="clear" w:color="auto" w:fill="D1D3D4"/>
          </w:tcPr>
          <w:p>
            <w:pPr>
              <w:pStyle w:val="TableParagraph"/>
              <w:tabs>
                <w:tab w:pos="2672" w:val="left" w:leader="none"/>
              </w:tabs>
              <w:ind w:left="1273"/>
              <w:rPr>
                <w:sz w:val="20"/>
              </w:rPr>
            </w:pPr>
            <w:r>
              <w:rPr>
                <w:color w:val="231F20"/>
                <w:sz w:val="20"/>
              </w:rPr>
              <w:t>—</w:t>
              <w:tab/>
              <w:t>—</w:t>
            </w:r>
          </w:p>
        </w:tc>
        <w:tc>
          <w:tcPr>
            <w:tcW w:w="1340" w:type="dxa"/>
            <w:shd w:val="clear" w:color="auto" w:fill="D1D3D4"/>
          </w:tcPr>
          <w:p>
            <w:pPr>
              <w:pStyle w:val="TableParagraph"/>
              <w:ind w:right="66"/>
              <w:jc w:val="right"/>
              <w:rPr>
                <w:sz w:val="20"/>
              </w:rPr>
            </w:pPr>
            <w:r>
              <w:rPr>
                <w:color w:val="231F20"/>
                <w:sz w:val="20"/>
              </w:rPr>
              <w:t>956</w:t>
            </w:r>
          </w:p>
        </w:tc>
      </w:tr>
      <w:tr>
        <w:trPr>
          <w:trHeight w:val="315" w:hRule="exact"/>
        </w:trPr>
        <w:tc>
          <w:tcPr>
            <w:tcW w:w="3340" w:type="dxa"/>
          </w:tcPr>
          <w:p>
            <w:pPr>
              <w:pStyle w:val="TableParagraph"/>
              <w:ind w:left="80"/>
              <w:rPr>
                <w:sz w:val="20"/>
              </w:rPr>
            </w:pPr>
            <w:r>
              <w:rPr>
                <w:color w:val="231F20"/>
                <w:sz w:val="20"/>
              </w:rPr>
              <w:t>Other available-for-sale securities</w:t>
            </w:r>
          </w:p>
        </w:tc>
        <w:tc>
          <w:tcPr>
            <w:tcW w:w="1440" w:type="dxa"/>
            <w:tcBorders>
              <w:bottom w:val="single" w:sz="4" w:space="0" w:color="231F20"/>
            </w:tcBorders>
          </w:tcPr>
          <w:p>
            <w:pPr>
              <w:pStyle w:val="TableParagraph"/>
              <w:ind w:right="124"/>
              <w:jc w:val="right"/>
              <w:rPr>
                <w:sz w:val="20"/>
              </w:rPr>
            </w:pPr>
            <w:r>
              <w:rPr>
                <w:color w:val="231F20"/>
                <w:sz w:val="20"/>
              </w:rPr>
              <w:t>93</w:t>
            </w:r>
          </w:p>
        </w:tc>
        <w:tc>
          <w:tcPr>
            <w:tcW w:w="3000" w:type="dxa"/>
            <w:gridSpan w:val="2"/>
          </w:tcPr>
          <w:p>
            <w:pPr>
              <w:pStyle w:val="TableParagraph"/>
              <w:tabs>
                <w:tab w:pos="2672" w:val="left" w:leader="none"/>
              </w:tabs>
              <w:ind w:left="1273"/>
              <w:rPr>
                <w:sz w:val="20"/>
              </w:rPr>
            </w:pPr>
            <w:r>
              <w:rPr>
                <w:color w:val="231F20"/>
                <w:sz w:val="20"/>
              </w:rPr>
              <w:t>66</w:t>
              <w:tab/>
              <w:t>—</w:t>
            </w:r>
          </w:p>
        </w:tc>
        <w:tc>
          <w:tcPr>
            <w:tcW w:w="1340" w:type="dxa"/>
            <w:tcBorders>
              <w:bottom w:val="single" w:sz="4" w:space="0" w:color="231F20"/>
            </w:tcBorders>
          </w:tcPr>
          <w:p>
            <w:pPr>
              <w:pStyle w:val="TableParagraph"/>
              <w:ind w:right="64"/>
              <w:jc w:val="right"/>
              <w:rPr>
                <w:sz w:val="20"/>
              </w:rPr>
            </w:pPr>
            <w:r>
              <w:rPr>
                <w:color w:val="231F20"/>
                <w:sz w:val="20"/>
              </w:rPr>
              <w:t>27</w:t>
            </w:r>
          </w:p>
        </w:tc>
      </w:tr>
      <w:tr>
        <w:trPr>
          <w:trHeight w:val="340" w:hRule="exact"/>
        </w:trPr>
        <w:tc>
          <w:tcPr>
            <w:tcW w:w="3340" w:type="dxa"/>
            <w:shd w:val="clear" w:color="auto" w:fill="D1D3D4"/>
          </w:tcPr>
          <w:p>
            <w:pPr>
              <w:pStyle w:val="TableParagraph"/>
              <w:ind w:left="80"/>
              <w:rPr>
                <w:b/>
                <w:sz w:val="20"/>
              </w:rPr>
            </w:pPr>
            <w:r>
              <w:rPr>
                <w:b/>
                <w:color w:val="231F20"/>
                <w:sz w:val="20"/>
              </w:rPr>
              <w:t>Total assets</w:t>
            </w:r>
          </w:p>
        </w:tc>
        <w:tc>
          <w:tcPr>
            <w:tcW w:w="1440" w:type="dxa"/>
            <w:tcBorders>
              <w:top w:val="single" w:sz="4" w:space="0" w:color="231F20"/>
              <w:bottom w:val="single" w:sz="4" w:space="0" w:color="231F20"/>
            </w:tcBorders>
            <w:shd w:val="clear" w:color="auto" w:fill="D1D3D4"/>
          </w:tcPr>
          <w:p>
            <w:pPr>
              <w:pStyle w:val="TableParagraph"/>
              <w:tabs>
                <w:tab w:pos="862" w:val="left" w:leader="none"/>
              </w:tabs>
              <w:rPr>
                <w:sz w:val="20"/>
              </w:rPr>
            </w:pPr>
            <w:r>
              <w:rPr>
                <w:color w:val="231F20"/>
                <w:sz w:val="20"/>
                <w:u w:val="single" w:color="231F20"/>
              </w:rPr>
              <w:t>$</w:t>
              <w:tab/>
              <w:t>5,081</w:t>
            </w:r>
            <w:r>
              <w:rPr>
                <w:color w:val="231F20"/>
                <w:spacing w:val="17"/>
                <w:sz w:val="20"/>
                <w:u w:val="single" w:color="231F20"/>
              </w:rPr>
              <w:t> </w:t>
            </w:r>
          </w:p>
        </w:tc>
        <w:tc>
          <w:tcPr>
            <w:tcW w:w="3000" w:type="dxa"/>
            <w:gridSpan w:val="2"/>
            <w:shd w:val="clear" w:color="auto" w:fill="D1D3D4"/>
          </w:tcPr>
          <w:p>
            <w:pPr>
              <w:pStyle w:val="TableParagraph"/>
              <w:spacing w:line="20" w:lineRule="exact" w:before="0"/>
              <w:ind w:left="55"/>
              <w:rPr>
                <w:sz w:val="2"/>
              </w:rPr>
            </w:pPr>
            <w:r>
              <w:rPr>
                <w:sz w:val="2"/>
              </w:rPr>
              <w:pict>
                <v:group style="width:74.5pt;height:.5pt;mso-position-horizontal-relative:char;mso-position-vertical-relative:line" coordorigin="0,0" coordsize="1490,10">
                  <v:line style="position:absolute" from="5,5" to="1485,5" stroked="true" strokeweight=".5pt" strokecolor="#231f20">
                    <v:stroke dashstyle="solid"/>
                  </v:line>
                </v:group>
              </w:pict>
            </w:r>
            <w:r>
              <w:rPr>
                <w:sz w:val="2"/>
              </w:rPr>
            </w:r>
          </w:p>
          <w:p>
            <w:pPr>
              <w:pStyle w:val="TableParagraph"/>
              <w:tabs>
                <w:tab w:pos="1022" w:val="left" w:leader="none"/>
                <w:tab w:pos="2422" w:val="left" w:leader="none"/>
              </w:tabs>
              <w:spacing w:before="38"/>
              <w:ind w:left="60"/>
              <w:rPr>
                <w:sz w:val="20"/>
              </w:rPr>
            </w:pPr>
            <w:r>
              <w:rPr>
                <w:color w:val="231F20"/>
                <w:sz w:val="20"/>
                <w:u w:val="single" w:color="231F20"/>
              </w:rPr>
              <w:t>$</w:t>
              <w:tab/>
              <w:t>2,651  </w:t>
            </w:r>
            <w:r>
              <w:rPr>
                <w:color w:val="231F20"/>
                <w:spacing w:val="37"/>
                <w:sz w:val="20"/>
                <w:u w:val="single" w:color="231F20"/>
              </w:rPr>
              <w:t> </w:t>
            </w:r>
            <w:r>
              <w:rPr>
                <w:color w:val="231F20"/>
                <w:sz w:val="20"/>
                <w:u w:val="single" w:color="231F20"/>
              </w:rPr>
              <w:t>$</w:t>
              <w:tab/>
              <w:t>1,437</w:t>
            </w:r>
            <w:r>
              <w:rPr>
                <w:color w:val="231F20"/>
                <w:spacing w:val="17"/>
                <w:sz w:val="20"/>
                <w:u w:val="single" w:color="231F20"/>
              </w:rPr>
              <w:t> </w:t>
            </w:r>
          </w:p>
        </w:tc>
        <w:tc>
          <w:tcPr>
            <w:tcW w:w="1340" w:type="dxa"/>
            <w:tcBorders>
              <w:top w:val="single" w:sz="4" w:space="0" w:color="231F20"/>
              <w:bottom w:val="single" w:sz="4" w:space="0" w:color="231F20"/>
            </w:tcBorders>
            <w:shd w:val="clear" w:color="auto" w:fill="D1D3D4"/>
          </w:tcPr>
          <w:p>
            <w:pPr>
              <w:pStyle w:val="TableParagraph"/>
              <w:tabs>
                <w:tab w:pos="972" w:val="left" w:leader="none"/>
              </w:tabs>
              <w:ind w:left="60"/>
              <w:rPr>
                <w:sz w:val="20"/>
              </w:rPr>
            </w:pPr>
            <w:r>
              <w:rPr>
                <w:color w:val="231F20"/>
                <w:sz w:val="20"/>
                <w:u w:val="single" w:color="231F20"/>
              </w:rPr>
              <w:t>$</w:t>
              <w:tab/>
              <w:t>993</w:t>
            </w:r>
            <w:r>
              <w:rPr>
                <w:color w:val="231F20"/>
                <w:spacing w:val="17"/>
                <w:sz w:val="20"/>
                <w:u w:val="single" w:color="231F20"/>
              </w:rPr>
              <w:t> </w:t>
            </w:r>
          </w:p>
        </w:tc>
      </w:tr>
      <w:tr>
        <w:trPr>
          <w:trHeight w:val="305" w:hRule="exact"/>
        </w:trPr>
        <w:tc>
          <w:tcPr>
            <w:tcW w:w="3340" w:type="dxa"/>
          </w:tcPr>
          <w:p>
            <w:pPr>
              <w:pStyle w:val="TableParagraph"/>
              <w:spacing w:before="113"/>
              <w:ind w:left="80"/>
              <w:rPr>
                <w:b/>
                <w:sz w:val="20"/>
              </w:rPr>
            </w:pPr>
            <w:r>
              <w:rPr>
                <w:b/>
                <w:color w:val="231F20"/>
                <w:sz w:val="20"/>
              </w:rPr>
              <w:t>Liabilities</w:t>
            </w:r>
          </w:p>
        </w:tc>
        <w:tc>
          <w:tcPr>
            <w:tcW w:w="1440" w:type="dxa"/>
            <w:tcBorders>
              <w:top w:val="single" w:sz="4" w:space="0" w:color="231F20"/>
            </w:tcBorders>
          </w:tcPr>
          <w:p>
            <w:pPr/>
          </w:p>
        </w:tc>
        <w:tc>
          <w:tcPr>
            <w:tcW w:w="3000" w:type="dxa"/>
            <w:gridSpan w:val="2"/>
          </w:tcPr>
          <w:p>
            <w:pPr>
              <w:pStyle w:val="TableParagraph"/>
              <w:spacing w:line="20" w:lineRule="exact" w:before="0"/>
              <w:ind w:left="55"/>
              <w:rPr>
                <w:sz w:val="2"/>
              </w:rPr>
            </w:pPr>
            <w:r>
              <w:rPr>
                <w:sz w:val="2"/>
              </w:rPr>
              <w:pict>
                <v:group style="width:74.5pt;height:.5pt;mso-position-horizontal-relative:char;mso-position-vertical-relative:line" coordorigin="0,0" coordsize="1490,10">
                  <v:line style="position:absolute" from="5,5" to="1485,5" stroked="true" strokeweight=".5pt" strokecolor="#231f20">
                    <v:stroke dashstyle="solid"/>
                  </v:line>
                </v:group>
              </w:pict>
            </w:r>
            <w:r>
              <w:rPr>
                <w:sz w:val="2"/>
              </w:rPr>
            </w:r>
          </w:p>
          <w:p>
            <w:pPr>
              <w:pStyle w:val="TableParagraph"/>
              <w:spacing w:before="9"/>
              <w:rPr>
                <w:sz w:val="24"/>
              </w:rPr>
            </w:pPr>
          </w:p>
        </w:tc>
        <w:tc>
          <w:tcPr>
            <w:tcW w:w="1340" w:type="dxa"/>
            <w:tcBorders>
              <w:top w:val="single" w:sz="4" w:space="0" w:color="231F20"/>
            </w:tcBorders>
          </w:tcPr>
          <w:p>
            <w:pPr/>
          </w:p>
        </w:tc>
      </w:tr>
      <w:tr>
        <w:trPr>
          <w:trHeight w:val="300" w:hRule="exact"/>
        </w:trPr>
        <w:tc>
          <w:tcPr>
            <w:tcW w:w="3340" w:type="dxa"/>
            <w:shd w:val="clear" w:color="auto" w:fill="D1D3D4"/>
          </w:tcPr>
          <w:p>
            <w:pPr>
              <w:pStyle w:val="TableParagraph"/>
              <w:ind w:left="80"/>
              <w:rPr>
                <w:sz w:val="20"/>
              </w:rPr>
            </w:pPr>
            <w:r>
              <w:rPr>
                <w:color w:val="231F20"/>
                <w:sz w:val="20"/>
              </w:rPr>
              <w:t>Fuel derivatives:</w:t>
            </w:r>
          </w:p>
        </w:tc>
        <w:tc>
          <w:tcPr>
            <w:tcW w:w="1440" w:type="dxa"/>
            <w:shd w:val="clear" w:color="auto" w:fill="D1D3D4"/>
          </w:tcPr>
          <w:p>
            <w:pPr/>
          </w:p>
        </w:tc>
        <w:tc>
          <w:tcPr>
            <w:tcW w:w="3000" w:type="dxa"/>
            <w:gridSpan w:val="2"/>
            <w:shd w:val="clear" w:color="auto" w:fill="D1D3D4"/>
          </w:tcPr>
          <w:p>
            <w:pPr/>
          </w:p>
        </w:tc>
        <w:tc>
          <w:tcPr>
            <w:tcW w:w="1340" w:type="dxa"/>
            <w:shd w:val="clear" w:color="auto" w:fill="D1D3D4"/>
          </w:tcPr>
          <w:p>
            <w:pPr/>
          </w:p>
        </w:tc>
      </w:tr>
      <w:tr>
        <w:trPr>
          <w:trHeight w:val="300" w:hRule="exact"/>
        </w:trPr>
        <w:tc>
          <w:tcPr>
            <w:tcW w:w="3340" w:type="dxa"/>
          </w:tcPr>
          <w:p>
            <w:pPr>
              <w:pStyle w:val="TableParagraph"/>
              <w:ind w:left="280"/>
              <w:rPr>
                <w:sz w:val="20"/>
              </w:rPr>
            </w:pPr>
            <w:r>
              <w:rPr>
                <w:color w:val="231F20"/>
                <w:sz w:val="20"/>
              </w:rPr>
              <w:t>Swap contracts (c)</w:t>
            </w:r>
          </w:p>
        </w:tc>
        <w:tc>
          <w:tcPr>
            <w:tcW w:w="1440" w:type="dxa"/>
          </w:tcPr>
          <w:p>
            <w:pPr>
              <w:pStyle w:val="TableParagraph"/>
              <w:tabs>
                <w:tab w:pos="945" w:val="left" w:leader="none"/>
              </w:tabs>
              <w:rPr>
                <w:sz w:val="20"/>
              </w:rPr>
            </w:pPr>
            <w:r>
              <w:rPr>
                <w:color w:val="231F20"/>
                <w:sz w:val="20"/>
              </w:rPr>
              <w:t>$</w:t>
              <w:tab/>
              <w:t>(774)</w:t>
            </w:r>
          </w:p>
        </w:tc>
        <w:tc>
          <w:tcPr>
            <w:tcW w:w="3000" w:type="dxa"/>
            <w:gridSpan w:val="2"/>
          </w:tcPr>
          <w:p>
            <w:pPr>
              <w:pStyle w:val="TableParagraph"/>
              <w:tabs>
                <w:tab w:pos="1272" w:val="left" w:leader="none"/>
                <w:tab w:pos="2505" w:val="left" w:leader="none"/>
              </w:tabs>
              <w:ind w:left="60"/>
              <w:rPr>
                <w:sz w:val="20"/>
              </w:rPr>
            </w:pPr>
            <w:r>
              <w:rPr>
                <w:color w:val="231F20"/>
                <w:sz w:val="20"/>
              </w:rPr>
              <w:t>$</w:t>
              <w:tab/>
              <w:t>—  </w:t>
            </w:r>
            <w:r>
              <w:rPr>
                <w:color w:val="231F20"/>
                <w:spacing w:val="37"/>
                <w:sz w:val="20"/>
              </w:rPr>
              <w:t> </w:t>
            </w:r>
            <w:r>
              <w:rPr>
                <w:color w:val="231F20"/>
                <w:sz w:val="20"/>
              </w:rPr>
              <w:t>$</w:t>
              <w:tab/>
              <w:t>(774)</w:t>
            </w:r>
          </w:p>
        </w:tc>
        <w:tc>
          <w:tcPr>
            <w:tcW w:w="1340" w:type="dxa"/>
          </w:tcPr>
          <w:p>
            <w:pPr>
              <w:pStyle w:val="TableParagraph"/>
              <w:tabs>
                <w:tab w:pos="1072" w:val="left" w:leader="none"/>
              </w:tabs>
              <w:ind w:left="60"/>
              <w:rPr>
                <w:sz w:val="20"/>
              </w:rPr>
            </w:pPr>
            <w:r>
              <w:rPr>
                <w:color w:val="231F20"/>
                <w:sz w:val="20"/>
              </w:rPr>
              <w:t>$</w:t>
              <w:tab/>
              <w:t>—</w:t>
            </w:r>
          </w:p>
        </w:tc>
      </w:tr>
      <w:tr>
        <w:trPr>
          <w:trHeight w:val="300" w:hRule="exact"/>
        </w:trPr>
        <w:tc>
          <w:tcPr>
            <w:tcW w:w="3340" w:type="dxa"/>
            <w:shd w:val="clear" w:color="auto" w:fill="D1D3D4"/>
          </w:tcPr>
          <w:p>
            <w:pPr>
              <w:pStyle w:val="TableParagraph"/>
              <w:ind w:left="280"/>
              <w:rPr>
                <w:sz w:val="20"/>
              </w:rPr>
            </w:pPr>
            <w:r>
              <w:rPr>
                <w:color w:val="231F20"/>
                <w:sz w:val="20"/>
              </w:rPr>
              <w:t>Option contracts (b)</w:t>
            </w:r>
          </w:p>
        </w:tc>
        <w:tc>
          <w:tcPr>
            <w:tcW w:w="1440" w:type="dxa"/>
            <w:shd w:val="clear" w:color="auto" w:fill="D1D3D4"/>
          </w:tcPr>
          <w:p>
            <w:pPr>
              <w:pStyle w:val="TableParagraph"/>
              <w:ind w:right="58"/>
              <w:jc w:val="right"/>
              <w:rPr>
                <w:sz w:val="20"/>
              </w:rPr>
            </w:pPr>
            <w:r>
              <w:rPr>
                <w:color w:val="231F20"/>
                <w:sz w:val="20"/>
              </w:rPr>
              <w:t>(26)</w:t>
            </w:r>
          </w:p>
        </w:tc>
        <w:tc>
          <w:tcPr>
            <w:tcW w:w="3000" w:type="dxa"/>
            <w:gridSpan w:val="2"/>
            <w:shd w:val="clear" w:color="auto" w:fill="D1D3D4"/>
          </w:tcPr>
          <w:p>
            <w:pPr>
              <w:pStyle w:val="TableParagraph"/>
              <w:tabs>
                <w:tab w:pos="2672" w:val="left" w:leader="none"/>
              </w:tabs>
              <w:ind w:left="1273"/>
              <w:rPr>
                <w:sz w:val="20"/>
              </w:rPr>
            </w:pPr>
            <w:r>
              <w:rPr>
                <w:color w:val="231F20"/>
                <w:sz w:val="20"/>
              </w:rPr>
              <w:t>—</w:t>
              <w:tab/>
              <w:t>—</w:t>
            </w:r>
          </w:p>
        </w:tc>
        <w:tc>
          <w:tcPr>
            <w:tcW w:w="1340" w:type="dxa"/>
            <w:shd w:val="clear" w:color="auto" w:fill="D1D3D4"/>
          </w:tcPr>
          <w:p>
            <w:pPr>
              <w:pStyle w:val="TableParagraph"/>
              <w:jc w:val="right"/>
              <w:rPr>
                <w:sz w:val="20"/>
              </w:rPr>
            </w:pPr>
            <w:r>
              <w:rPr>
                <w:color w:val="231F20"/>
                <w:sz w:val="20"/>
              </w:rPr>
              <w:t>(26)</w:t>
            </w:r>
          </w:p>
        </w:tc>
      </w:tr>
      <w:tr>
        <w:trPr>
          <w:trHeight w:val="300" w:hRule="exact"/>
        </w:trPr>
        <w:tc>
          <w:tcPr>
            <w:tcW w:w="3340" w:type="dxa"/>
          </w:tcPr>
          <w:p>
            <w:pPr>
              <w:pStyle w:val="TableParagraph"/>
              <w:ind w:left="280"/>
              <w:rPr>
                <w:sz w:val="20"/>
              </w:rPr>
            </w:pPr>
            <w:r>
              <w:rPr>
                <w:color w:val="231F20"/>
                <w:sz w:val="20"/>
              </w:rPr>
              <w:t>Option contracts (c)</w:t>
            </w:r>
          </w:p>
        </w:tc>
        <w:tc>
          <w:tcPr>
            <w:tcW w:w="1440" w:type="dxa"/>
          </w:tcPr>
          <w:p>
            <w:pPr>
              <w:pStyle w:val="TableParagraph"/>
              <w:ind w:right="58"/>
              <w:jc w:val="right"/>
              <w:rPr>
                <w:sz w:val="20"/>
              </w:rPr>
            </w:pPr>
            <w:r>
              <w:rPr>
                <w:color w:val="231F20"/>
                <w:sz w:val="20"/>
              </w:rPr>
              <w:t>(2,616)</w:t>
            </w:r>
          </w:p>
        </w:tc>
        <w:tc>
          <w:tcPr>
            <w:tcW w:w="3000" w:type="dxa"/>
            <w:gridSpan w:val="2"/>
          </w:tcPr>
          <w:p>
            <w:pPr>
              <w:pStyle w:val="TableParagraph"/>
              <w:tabs>
                <w:tab w:pos="2672" w:val="left" w:leader="none"/>
              </w:tabs>
              <w:ind w:left="1273"/>
              <w:rPr>
                <w:sz w:val="20"/>
              </w:rPr>
            </w:pPr>
            <w:r>
              <w:rPr>
                <w:color w:val="231F20"/>
                <w:sz w:val="20"/>
              </w:rPr>
              <w:t>—</w:t>
              <w:tab/>
              <w:t>—</w:t>
            </w:r>
          </w:p>
        </w:tc>
        <w:tc>
          <w:tcPr>
            <w:tcW w:w="1340" w:type="dxa"/>
          </w:tcPr>
          <w:p>
            <w:pPr>
              <w:pStyle w:val="TableParagraph"/>
              <w:jc w:val="right"/>
              <w:rPr>
                <w:sz w:val="20"/>
              </w:rPr>
            </w:pPr>
            <w:r>
              <w:rPr>
                <w:color w:val="231F20"/>
                <w:sz w:val="20"/>
              </w:rPr>
              <w:t>(2,616)</w:t>
            </w:r>
          </w:p>
        </w:tc>
      </w:tr>
      <w:tr>
        <w:trPr>
          <w:trHeight w:val="315" w:hRule="exact"/>
        </w:trPr>
        <w:tc>
          <w:tcPr>
            <w:tcW w:w="3340" w:type="dxa"/>
            <w:shd w:val="clear" w:color="auto" w:fill="D1D3D4"/>
          </w:tcPr>
          <w:p>
            <w:pPr>
              <w:pStyle w:val="TableParagraph"/>
              <w:ind w:left="80"/>
              <w:rPr>
                <w:sz w:val="20"/>
              </w:rPr>
            </w:pPr>
            <w:r>
              <w:rPr>
                <w:color w:val="231F20"/>
                <w:sz w:val="20"/>
              </w:rPr>
              <w:t>Interest rate derivatives (see Note 10)</w:t>
            </w:r>
          </w:p>
        </w:tc>
        <w:tc>
          <w:tcPr>
            <w:tcW w:w="1440" w:type="dxa"/>
            <w:tcBorders>
              <w:bottom w:val="single" w:sz="4" w:space="0" w:color="231F20"/>
            </w:tcBorders>
            <w:shd w:val="clear" w:color="auto" w:fill="D1D3D4"/>
          </w:tcPr>
          <w:p>
            <w:pPr>
              <w:pStyle w:val="TableParagraph"/>
              <w:ind w:right="58"/>
              <w:jc w:val="right"/>
              <w:rPr>
                <w:sz w:val="20"/>
              </w:rPr>
            </w:pPr>
            <w:r>
              <w:rPr>
                <w:color w:val="231F20"/>
                <w:sz w:val="20"/>
              </w:rPr>
              <w:t>(49)</w:t>
            </w:r>
          </w:p>
        </w:tc>
        <w:tc>
          <w:tcPr>
            <w:tcW w:w="3000" w:type="dxa"/>
            <w:gridSpan w:val="2"/>
            <w:shd w:val="clear" w:color="auto" w:fill="D1D3D4"/>
          </w:tcPr>
          <w:p>
            <w:pPr>
              <w:pStyle w:val="TableParagraph"/>
              <w:tabs>
                <w:tab w:pos="2605" w:val="left" w:leader="none"/>
              </w:tabs>
              <w:ind w:left="1273"/>
              <w:rPr>
                <w:sz w:val="20"/>
              </w:rPr>
            </w:pPr>
            <w:r>
              <w:rPr>
                <w:color w:val="231F20"/>
                <w:sz w:val="20"/>
              </w:rPr>
              <w:t>—</w:t>
              <w:tab/>
              <w:t>(49)</w:t>
            </w:r>
          </w:p>
        </w:tc>
        <w:tc>
          <w:tcPr>
            <w:tcW w:w="1340" w:type="dxa"/>
            <w:tcBorders>
              <w:bottom w:val="single" w:sz="4" w:space="0" w:color="231F20"/>
            </w:tcBorders>
            <w:shd w:val="clear" w:color="auto" w:fill="D1D3D4"/>
          </w:tcPr>
          <w:p>
            <w:pPr>
              <w:pStyle w:val="TableParagraph"/>
              <w:ind w:right="64"/>
              <w:jc w:val="right"/>
              <w:rPr>
                <w:sz w:val="20"/>
              </w:rPr>
            </w:pPr>
            <w:r>
              <w:rPr>
                <w:color w:val="231F20"/>
                <w:sz w:val="20"/>
              </w:rPr>
              <w:t>—</w:t>
            </w:r>
          </w:p>
        </w:tc>
      </w:tr>
      <w:tr>
        <w:trPr>
          <w:trHeight w:val="360" w:hRule="exact"/>
        </w:trPr>
        <w:tc>
          <w:tcPr>
            <w:tcW w:w="3340" w:type="dxa"/>
          </w:tcPr>
          <w:p>
            <w:pPr>
              <w:pStyle w:val="TableParagraph"/>
              <w:spacing w:before="73"/>
              <w:ind w:left="80"/>
              <w:rPr>
                <w:b/>
                <w:sz w:val="20"/>
              </w:rPr>
            </w:pPr>
            <w:r>
              <w:rPr>
                <w:b/>
                <w:color w:val="231F20"/>
                <w:sz w:val="20"/>
              </w:rPr>
              <w:t>Total liabilities</w:t>
            </w:r>
          </w:p>
        </w:tc>
        <w:tc>
          <w:tcPr>
            <w:tcW w:w="1440" w:type="dxa"/>
            <w:tcBorders>
              <w:top w:val="single" w:sz="4" w:space="0" w:color="231F20"/>
              <w:bottom w:val="single" w:sz="4" w:space="0" w:color="231F20"/>
            </w:tcBorders>
          </w:tcPr>
          <w:p>
            <w:pPr>
              <w:pStyle w:val="TableParagraph"/>
              <w:tabs>
                <w:tab w:pos="795" w:val="left" w:leader="none"/>
              </w:tabs>
              <w:rPr>
                <w:sz w:val="20"/>
              </w:rPr>
            </w:pPr>
            <w:r>
              <w:rPr>
                <w:color w:val="231F20"/>
                <w:sz w:val="20"/>
              </w:rPr>
              <w:t>$</w:t>
              <w:tab/>
              <w:t>(3,465)</w:t>
            </w:r>
          </w:p>
        </w:tc>
        <w:tc>
          <w:tcPr>
            <w:tcW w:w="3000" w:type="dxa"/>
            <w:gridSpan w:val="2"/>
          </w:tcPr>
          <w:p>
            <w:pPr>
              <w:pStyle w:val="TableParagraph"/>
              <w:spacing w:line="20" w:lineRule="exact" w:before="0"/>
              <w:ind w:left="55"/>
              <w:rPr>
                <w:sz w:val="2"/>
              </w:rPr>
            </w:pPr>
            <w:r>
              <w:rPr>
                <w:sz w:val="2"/>
              </w:rPr>
              <w:pict>
                <v:group style="width:74.5pt;height:.5pt;mso-position-horizontal-relative:char;mso-position-vertical-relative:line" coordorigin="0,0" coordsize="1490,10">
                  <v:line style="position:absolute" from="5,5" to="1485,5" stroked="true" strokeweight=".5pt" strokecolor="#231f20">
                    <v:stroke dashstyle="solid"/>
                  </v:line>
                </v:group>
              </w:pict>
            </w:r>
            <w:r>
              <w:rPr>
                <w:sz w:val="2"/>
              </w:rPr>
            </w:r>
          </w:p>
          <w:p>
            <w:pPr>
              <w:pStyle w:val="TableParagraph"/>
              <w:tabs>
                <w:tab w:pos="1272" w:val="left" w:leader="none"/>
                <w:tab w:pos="2505" w:val="left" w:leader="none"/>
              </w:tabs>
              <w:spacing w:before="38"/>
              <w:ind w:left="60"/>
              <w:rPr>
                <w:sz w:val="20"/>
              </w:rPr>
            </w:pPr>
            <w:r>
              <w:rPr>
                <w:color w:val="231F20"/>
                <w:sz w:val="20"/>
              </w:rPr>
              <w:t>$</w:t>
              <w:tab/>
              <w:t>—  </w:t>
            </w:r>
            <w:r>
              <w:rPr>
                <w:color w:val="231F20"/>
                <w:spacing w:val="37"/>
                <w:sz w:val="20"/>
              </w:rPr>
              <w:t> </w:t>
            </w:r>
            <w:r>
              <w:rPr>
                <w:color w:val="231F20"/>
                <w:sz w:val="20"/>
              </w:rPr>
              <w:t>$</w:t>
              <w:tab/>
              <w:t>(823)</w:t>
            </w:r>
          </w:p>
        </w:tc>
        <w:tc>
          <w:tcPr>
            <w:tcW w:w="1340" w:type="dxa"/>
            <w:tcBorders>
              <w:top w:val="single" w:sz="4" w:space="0" w:color="231F20"/>
              <w:bottom w:val="single" w:sz="4" w:space="0" w:color="231F20"/>
            </w:tcBorders>
          </w:tcPr>
          <w:p>
            <w:pPr>
              <w:pStyle w:val="TableParagraph"/>
              <w:tabs>
                <w:tab w:pos="755" w:val="left" w:leader="none"/>
              </w:tabs>
              <w:spacing w:before="68"/>
              <w:ind w:left="60"/>
              <w:rPr>
                <w:sz w:val="20"/>
              </w:rPr>
            </w:pPr>
            <w:r>
              <w:rPr>
                <w:color w:val="231F20"/>
                <w:sz w:val="20"/>
              </w:rPr>
              <w:t>$</w:t>
              <w:tab/>
              <w:t>(2,642)</w:t>
            </w:r>
          </w:p>
        </w:tc>
      </w:tr>
    </w:tbl>
    <w:p>
      <w:pPr>
        <w:pStyle w:val="BodyText"/>
        <w:rPr>
          <w:sz w:val="25"/>
        </w:rPr>
      </w:pPr>
    </w:p>
    <w:p>
      <w:pPr>
        <w:pStyle w:val="ListParagraph"/>
        <w:numPr>
          <w:ilvl w:val="0"/>
          <w:numId w:val="22"/>
        </w:numPr>
        <w:tabs>
          <w:tab w:pos="393" w:val="left" w:leader="none"/>
        </w:tabs>
        <w:spacing w:line="240" w:lineRule="auto" w:before="1" w:after="0"/>
        <w:ind w:left="393" w:right="0" w:hanging="273"/>
        <w:jc w:val="both"/>
        <w:rPr>
          <w:sz w:val="20"/>
        </w:rPr>
      </w:pPr>
      <w:r>
        <w:rPr/>
        <w:pict>
          <v:line style="position:absolute;mso-position-horizontal-relative:page;mso-position-vertical-relative:paragraph;z-index:-372736" from="236pt,-16.864063pt" to="305pt,-16.864063pt" stroked="true" strokeweight=".5pt" strokecolor="#231f20">
            <v:stroke dashstyle="solid"/>
            <w10:wrap type="none"/>
          </v:line>
        </w:pict>
      </w:r>
      <w:r>
        <w:rPr/>
        <w:pict>
          <v:group style="position:absolute;margin-left:310.75pt;margin-top:-17.114063pt;width:74.5pt;height:2.5pt;mso-position-horizontal-relative:page;mso-position-vertical-relative:paragraph;z-index:-372712" coordorigin="6215,-342" coordsize="1490,50">
            <v:line style="position:absolute" from="6220,-337" to="7700,-337" stroked="true" strokeweight=".5pt" strokecolor="#231f20">
              <v:stroke dashstyle="solid"/>
            </v:line>
            <v:line style="position:absolute" from="6220,-297" to="7700,-297" stroked="true" strokeweight=".5pt" strokecolor="#231f20">
              <v:stroke dashstyle="solid"/>
            </v:line>
            <w10:wrap type="none"/>
          </v:group>
        </w:pict>
      </w:r>
      <w:r>
        <w:rPr/>
        <w:pict>
          <v:line style="position:absolute;mso-position-horizontal-relative:page;mso-position-vertical-relative:paragraph;z-index:-372688" from="391pt,-16.864063pt" to="455pt,-16.864063pt" stroked="true" strokeweight=".5pt" strokecolor="#231f20">
            <v:stroke dashstyle="solid"/>
            <w10:wrap type="none"/>
          </v:line>
        </w:pict>
      </w:r>
      <w:r>
        <w:rPr/>
        <w:pict>
          <v:line style="position:absolute;mso-position-horizontal-relative:page;mso-position-vertical-relative:paragraph;z-index:-372664" from="461pt,-16.864063pt" to="525pt,-16.864063pt" stroked="true" strokeweight=".5pt" strokecolor="#231f20">
            <v:stroke dashstyle="solid"/>
            <w10:wrap type="none"/>
          </v:line>
        </w:pict>
      </w:r>
      <w:r>
        <w:rPr>
          <w:color w:val="231F20"/>
          <w:sz w:val="20"/>
        </w:rPr>
        <w:t>Cash equivalents are primarily composed of money market</w:t>
      </w:r>
      <w:r>
        <w:rPr>
          <w:color w:val="231F20"/>
          <w:spacing w:val="6"/>
          <w:sz w:val="20"/>
        </w:rPr>
        <w:t> </w:t>
      </w:r>
      <w:r>
        <w:rPr>
          <w:color w:val="231F20"/>
          <w:sz w:val="20"/>
        </w:rPr>
        <w:t>investments.</w:t>
      </w:r>
    </w:p>
    <w:p>
      <w:pPr>
        <w:pStyle w:val="ListParagraph"/>
        <w:numPr>
          <w:ilvl w:val="0"/>
          <w:numId w:val="22"/>
        </w:numPr>
        <w:tabs>
          <w:tab w:pos="404" w:val="left" w:leader="none"/>
        </w:tabs>
        <w:spacing w:line="240" w:lineRule="auto" w:before="130" w:after="0"/>
        <w:ind w:left="404" w:right="0" w:hanging="284"/>
        <w:jc w:val="both"/>
        <w:rPr>
          <w:sz w:val="20"/>
        </w:rPr>
      </w:pPr>
      <w:r>
        <w:rPr>
          <w:color w:val="231F20"/>
          <w:sz w:val="20"/>
        </w:rPr>
        <w:t>In the Consolidated Balance Sheet amounts are presented as a net asset. See Note</w:t>
      </w:r>
      <w:r>
        <w:rPr>
          <w:color w:val="231F20"/>
          <w:spacing w:val="4"/>
          <w:sz w:val="20"/>
        </w:rPr>
        <w:t> </w:t>
      </w:r>
      <w:r>
        <w:rPr>
          <w:color w:val="231F20"/>
          <w:sz w:val="20"/>
        </w:rPr>
        <w:t>10.</w:t>
      </w:r>
    </w:p>
    <w:p>
      <w:pPr>
        <w:pStyle w:val="ListParagraph"/>
        <w:numPr>
          <w:ilvl w:val="0"/>
          <w:numId w:val="22"/>
        </w:numPr>
        <w:tabs>
          <w:tab w:pos="393" w:val="left" w:leader="none"/>
        </w:tabs>
        <w:spacing w:line="240" w:lineRule="auto" w:before="130" w:after="0"/>
        <w:ind w:left="393" w:right="0" w:hanging="273"/>
        <w:jc w:val="both"/>
        <w:rPr>
          <w:sz w:val="20"/>
        </w:rPr>
      </w:pPr>
      <w:r>
        <w:rPr>
          <w:color w:val="231F20"/>
          <w:sz w:val="20"/>
        </w:rPr>
        <w:t>In the Consolidated Balance Sheet amounts are presented as a net liability. See Note</w:t>
      </w:r>
      <w:r>
        <w:rPr>
          <w:color w:val="231F20"/>
          <w:spacing w:val="5"/>
          <w:sz w:val="20"/>
        </w:rPr>
        <w:t> </w:t>
      </w:r>
      <w:r>
        <w:rPr>
          <w:color w:val="231F20"/>
          <w:sz w:val="20"/>
        </w:rPr>
        <w:t>10.</w:t>
      </w:r>
    </w:p>
    <w:p>
      <w:pPr>
        <w:pStyle w:val="BodyText"/>
        <w:spacing w:before="10"/>
        <w:rPr>
          <w:sz w:val="21"/>
        </w:rPr>
      </w:pPr>
    </w:p>
    <w:p>
      <w:pPr>
        <w:pStyle w:val="BodyText"/>
        <w:spacing w:line="247" w:lineRule="auto"/>
        <w:ind w:left="120" w:right="117"/>
        <w:jc w:val="both"/>
      </w:pPr>
      <w:r>
        <w:rPr>
          <w:color w:val="231F20"/>
        </w:rPr>
        <w:t>The Company had no transfers of assets or liabilities between any of the above levels during the years ended December 31, 2016 or 2015. The Company did not have any assets or liabilities measured at fair value on a nonrecurring basis as of December 31, 2016 or 2015. The following tables present the</w:t>
      </w:r>
    </w:p>
    <w:p>
      <w:pPr>
        <w:spacing w:after="0" w:line="247" w:lineRule="auto"/>
        <w:jc w:val="both"/>
        <w:sectPr>
          <w:type w:val="continuous"/>
          <w:pgSz w:w="11880" w:h="15480"/>
          <w:pgMar w:top="1260" w:bottom="280" w:left="1260" w:right="1260"/>
        </w:sectPr>
      </w:pPr>
    </w:p>
    <w:p>
      <w:pPr>
        <w:pStyle w:val="BodyText"/>
        <w:spacing w:line="247" w:lineRule="auto" w:before="74"/>
        <w:ind w:left="120" w:right="137"/>
      </w:pPr>
      <w:r>
        <w:rPr>
          <w:color w:val="231F20"/>
        </w:rPr>
        <w:t>Company’s activity for items measured at fair value on a recurring basis using significant unobservable inputs (Level 3) for 2016 and 2015:</w:t>
      </w:r>
    </w:p>
    <w:p>
      <w:pPr>
        <w:pStyle w:val="BodyText"/>
        <w:spacing w:before="11"/>
        <w:rPr>
          <w:sz w:val="9"/>
        </w:rPr>
      </w:pPr>
    </w:p>
    <w:p>
      <w:pPr>
        <w:spacing w:line="249" w:lineRule="auto" w:before="99"/>
        <w:ind w:left="6077" w:right="220" w:hanging="537"/>
        <w:jc w:val="left"/>
        <w:rPr>
          <w:b/>
          <w:sz w:val="20"/>
        </w:rPr>
      </w:pPr>
      <w:r>
        <w:rPr/>
        <w:pict>
          <v:line style="position:absolute;mso-position-horizontal-relative:page;mso-position-vertical-relative:paragraph;z-index:6448" from="335.25pt,29.78595pt" to="525pt,29.78595pt" stroked="true" strokeweight="1pt" strokecolor="#231f20">
            <v:stroke dashstyle="solid"/>
            <w10:wrap type="none"/>
          </v:line>
        </w:pict>
      </w:r>
      <w:r>
        <w:rPr>
          <w:b/>
          <w:color w:val="231F20"/>
          <w:sz w:val="20"/>
        </w:rPr>
        <w:t>Fair value measurements using significant unobservable inputs (Level 3)</w:t>
      </w:r>
    </w:p>
    <w:p>
      <w:pPr>
        <w:spacing w:after="0" w:line="249" w:lineRule="auto"/>
        <w:jc w:val="left"/>
        <w:rPr>
          <w:sz w:val="20"/>
        </w:rPr>
        <w:sectPr>
          <w:pgSz w:w="11880" w:h="15480"/>
          <w:pgMar w:header="0" w:footer="1240" w:top="1240" w:bottom="1420" w:left="1260" w:right="1240"/>
        </w:sectPr>
      </w:pPr>
    </w:p>
    <w:p>
      <w:pPr>
        <w:pStyle w:val="BodyText"/>
        <w:spacing w:before="10"/>
        <w:rPr>
          <w:b/>
          <w:sz w:val="27"/>
        </w:rPr>
      </w:pPr>
    </w:p>
    <w:p>
      <w:pPr>
        <w:spacing w:before="0"/>
        <w:ind w:left="120" w:right="0" w:firstLine="0"/>
        <w:jc w:val="left"/>
        <w:rPr>
          <w:sz w:val="20"/>
        </w:rPr>
      </w:pPr>
      <w:r>
        <w:rPr/>
        <w:pict>
          <v:line style="position:absolute;mso-position-horizontal-relative:page;mso-position-vertical-relative:paragraph;z-index:-372616" from="69pt,13.08595pt" to="118.9pt,13.08595pt" stroked="true" strokeweight=".5pt" strokecolor="#231f20">
            <v:stroke dashstyle="solid"/>
            <w10:wrap type="none"/>
          </v:line>
        </w:pict>
      </w:r>
      <w:r>
        <w:rPr>
          <w:color w:val="231F20"/>
          <w:sz w:val="20"/>
        </w:rPr>
        <w:t>(in millions)</w:t>
      </w:r>
    </w:p>
    <w:p>
      <w:pPr>
        <w:spacing w:line="249" w:lineRule="auto" w:before="81"/>
        <w:ind w:left="120" w:right="-20" w:firstLine="278"/>
        <w:jc w:val="left"/>
        <w:rPr>
          <w:b/>
          <w:sz w:val="20"/>
        </w:rPr>
      </w:pPr>
      <w:r>
        <w:rPr/>
        <w:br w:type="column"/>
      </w:r>
      <w:r>
        <w:rPr>
          <w:b/>
          <w:color w:val="231F20"/>
          <w:sz w:val="20"/>
        </w:rPr>
        <w:t>Fuel derivatives</w:t>
      </w:r>
    </w:p>
    <w:p>
      <w:pPr>
        <w:spacing w:before="81"/>
        <w:ind w:left="265" w:right="0" w:firstLine="0"/>
        <w:jc w:val="left"/>
        <w:rPr>
          <w:b/>
          <w:sz w:val="20"/>
        </w:rPr>
      </w:pPr>
      <w:r>
        <w:rPr/>
        <w:br w:type="column"/>
      </w:r>
      <w:r>
        <w:rPr>
          <w:b/>
          <w:color w:val="231F20"/>
          <w:sz w:val="20"/>
        </w:rPr>
        <w:t>Other</w:t>
      </w:r>
    </w:p>
    <w:p>
      <w:pPr>
        <w:tabs>
          <w:tab w:pos="1572" w:val="left" w:leader="none"/>
        </w:tabs>
        <w:spacing w:before="10"/>
        <w:ind w:left="120" w:right="0" w:firstLine="0"/>
        <w:jc w:val="left"/>
        <w:rPr>
          <w:b/>
          <w:sz w:val="20"/>
        </w:rPr>
      </w:pPr>
      <w:r>
        <w:rPr>
          <w:b/>
          <w:color w:val="231F20"/>
          <w:sz w:val="20"/>
        </w:rPr>
        <w:t>securities</w:t>
        <w:tab/>
        <w:t>Total</w:t>
      </w:r>
    </w:p>
    <w:p>
      <w:pPr>
        <w:spacing w:after="0"/>
        <w:jc w:val="left"/>
        <w:rPr>
          <w:sz w:val="20"/>
        </w:rPr>
        <w:sectPr>
          <w:type w:val="continuous"/>
          <w:pgSz w:w="11880" w:h="15480"/>
          <w:pgMar w:top="1260" w:bottom="280" w:left="1260" w:right="1240"/>
          <w:cols w:num="3" w:equalWidth="0">
            <w:col w:w="1116" w:space="4299"/>
            <w:col w:w="1054" w:space="440"/>
            <w:col w:w="2471"/>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25"/>
        <w:gridCol w:w="1355"/>
        <w:gridCol w:w="1180"/>
        <w:gridCol w:w="200"/>
        <w:gridCol w:w="1060"/>
      </w:tblGrid>
      <w:tr>
        <w:trPr>
          <w:trHeight w:val="310" w:hRule="exact"/>
        </w:trPr>
        <w:tc>
          <w:tcPr>
            <w:tcW w:w="5325" w:type="dxa"/>
            <w:shd w:val="clear" w:color="auto" w:fill="D1D3D4"/>
          </w:tcPr>
          <w:p>
            <w:pPr>
              <w:pStyle w:val="TableParagraph"/>
              <w:ind w:left="80"/>
              <w:rPr>
                <w:sz w:val="20"/>
              </w:rPr>
            </w:pPr>
            <w:r>
              <w:rPr>
                <w:color w:val="231F20"/>
                <w:sz w:val="20"/>
              </w:rPr>
              <w:t>Balance at December 31, 2015</w:t>
            </w:r>
          </w:p>
        </w:tc>
        <w:tc>
          <w:tcPr>
            <w:tcW w:w="1355" w:type="dxa"/>
            <w:tcBorders>
              <w:top w:val="single" w:sz="8" w:space="0" w:color="231F20"/>
            </w:tcBorders>
            <w:shd w:val="clear" w:color="auto" w:fill="D1D3D4"/>
          </w:tcPr>
          <w:p>
            <w:pPr>
              <w:pStyle w:val="TableParagraph"/>
              <w:tabs>
                <w:tab w:pos="530" w:val="left" w:leader="none"/>
              </w:tabs>
              <w:rPr>
                <w:sz w:val="20"/>
              </w:rPr>
            </w:pPr>
            <w:r>
              <w:rPr>
                <w:color w:val="231F20"/>
                <w:sz w:val="20"/>
              </w:rPr>
              <w:t>$</w:t>
              <w:tab/>
              <w:t>(1,676)</w:t>
            </w:r>
          </w:p>
        </w:tc>
        <w:tc>
          <w:tcPr>
            <w:tcW w:w="1180" w:type="dxa"/>
            <w:tcBorders>
              <w:top w:val="single" w:sz="8" w:space="0" w:color="231F20"/>
            </w:tcBorders>
            <w:shd w:val="clear" w:color="auto" w:fill="D1D3D4"/>
          </w:tcPr>
          <w:p>
            <w:pPr>
              <w:pStyle w:val="TableParagraph"/>
              <w:tabs>
                <w:tab w:pos="832" w:val="left" w:leader="none"/>
              </w:tabs>
              <w:ind w:right="64"/>
              <w:jc w:val="right"/>
              <w:rPr>
                <w:sz w:val="20"/>
              </w:rPr>
            </w:pPr>
            <w:r>
              <w:rPr>
                <w:color w:val="231F20"/>
                <w:sz w:val="20"/>
              </w:rPr>
              <w:t>$</w:t>
              <w:tab/>
              <w:t>27</w:t>
            </w:r>
          </w:p>
        </w:tc>
        <w:tc>
          <w:tcPr>
            <w:tcW w:w="200" w:type="dxa"/>
            <w:shd w:val="clear" w:color="auto" w:fill="D1D3D4"/>
          </w:tcPr>
          <w:p>
            <w:pPr/>
          </w:p>
        </w:tc>
        <w:tc>
          <w:tcPr>
            <w:tcW w:w="1060" w:type="dxa"/>
            <w:tcBorders>
              <w:top w:val="single" w:sz="8" w:space="0" w:color="231F20"/>
            </w:tcBorders>
            <w:shd w:val="clear" w:color="auto" w:fill="D1D3D4"/>
          </w:tcPr>
          <w:p>
            <w:pPr>
              <w:pStyle w:val="TableParagraph"/>
              <w:tabs>
                <w:tab w:pos="425" w:val="left" w:leader="none"/>
              </w:tabs>
              <w:ind w:right="48"/>
              <w:jc w:val="right"/>
              <w:rPr>
                <w:sz w:val="20"/>
              </w:rPr>
            </w:pPr>
            <w:r>
              <w:rPr>
                <w:color w:val="231F20"/>
                <w:sz w:val="20"/>
              </w:rPr>
              <w:t>$</w:t>
              <w:tab/>
              <w:t>(1,649)</w:t>
            </w:r>
          </w:p>
        </w:tc>
      </w:tr>
      <w:tr>
        <w:trPr>
          <w:trHeight w:val="300" w:hRule="exact"/>
        </w:trPr>
        <w:tc>
          <w:tcPr>
            <w:tcW w:w="5325" w:type="dxa"/>
          </w:tcPr>
          <w:p>
            <w:pPr>
              <w:pStyle w:val="TableParagraph"/>
              <w:ind w:left="80"/>
              <w:rPr>
                <w:sz w:val="20"/>
              </w:rPr>
            </w:pPr>
            <w:r>
              <w:rPr>
                <w:color w:val="231F20"/>
                <w:sz w:val="20"/>
              </w:rPr>
              <w:t>Total gains (losses) (realized or unrealized)</w:t>
            </w:r>
          </w:p>
        </w:tc>
        <w:tc>
          <w:tcPr>
            <w:tcW w:w="1355" w:type="dxa"/>
          </w:tcPr>
          <w:p>
            <w:pPr/>
          </w:p>
        </w:tc>
        <w:tc>
          <w:tcPr>
            <w:tcW w:w="1180" w:type="dxa"/>
          </w:tcPr>
          <w:p>
            <w:pPr/>
          </w:p>
        </w:tc>
        <w:tc>
          <w:tcPr>
            <w:tcW w:w="200" w:type="dxa"/>
          </w:tcPr>
          <w:p>
            <w:pPr/>
          </w:p>
        </w:tc>
        <w:tc>
          <w:tcPr>
            <w:tcW w:w="1060" w:type="dxa"/>
          </w:tcPr>
          <w:p>
            <w:pPr/>
          </w:p>
        </w:tc>
      </w:tr>
      <w:tr>
        <w:trPr>
          <w:trHeight w:val="300" w:hRule="exact"/>
        </w:trPr>
        <w:tc>
          <w:tcPr>
            <w:tcW w:w="5325" w:type="dxa"/>
            <w:shd w:val="clear" w:color="auto" w:fill="D1D3D4"/>
          </w:tcPr>
          <w:p>
            <w:pPr>
              <w:pStyle w:val="TableParagraph"/>
              <w:ind w:left="280"/>
              <w:rPr>
                <w:sz w:val="20"/>
              </w:rPr>
            </w:pPr>
            <w:r>
              <w:rPr>
                <w:color w:val="231F20"/>
                <w:sz w:val="20"/>
              </w:rPr>
              <w:t>Included in earnings</w:t>
            </w:r>
          </w:p>
        </w:tc>
        <w:tc>
          <w:tcPr>
            <w:tcW w:w="1355" w:type="dxa"/>
            <w:shd w:val="clear" w:color="auto" w:fill="D1D3D4"/>
          </w:tcPr>
          <w:p>
            <w:pPr>
              <w:pStyle w:val="TableParagraph"/>
              <w:ind w:left="765"/>
              <w:rPr>
                <w:sz w:val="20"/>
              </w:rPr>
            </w:pPr>
            <w:r>
              <w:rPr>
                <w:color w:val="231F20"/>
                <w:sz w:val="20"/>
              </w:rPr>
              <w:t>175</w:t>
            </w:r>
          </w:p>
        </w:tc>
        <w:tc>
          <w:tcPr>
            <w:tcW w:w="1180" w:type="dxa"/>
            <w:shd w:val="clear" w:color="auto" w:fill="D1D3D4"/>
          </w:tcPr>
          <w:p>
            <w:pPr>
              <w:pStyle w:val="TableParagraph"/>
              <w:jc w:val="right"/>
              <w:rPr>
                <w:sz w:val="20"/>
              </w:rPr>
            </w:pPr>
            <w:r>
              <w:rPr>
                <w:color w:val="231F20"/>
                <w:sz w:val="20"/>
              </w:rPr>
              <w:t>(2)</w:t>
            </w:r>
          </w:p>
        </w:tc>
        <w:tc>
          <w:tcPr>
            <w:tcW w:w="200" w:type="dxa"/>
            <w:shd w:val="clear" w:color="auto" w:fill="D1D3D4"/>
          </w:tcPr>
          <w:p>
            <w:pPr/>
          </w:p>
        </w:tc>
        <w:tc>
          <w:tcPr>
            <w:tcW w:w="1060" w:type="dxa"/>
            <w:shd w:val="clear" w:color="auto" w:fill="D1D3D4"/>
          </w:tcPr>
          <w:p>
            <w:pPr>
              <w:pStyle w:val="TableParagraph"/>
              <w:ind w:right="49"/>
              <w:jc w:val="right"/>
              <w:rPr>
                <w:sz w:val="20"/>
              </w:rPr>
            </w:pPr>
            <w:r>
              <w:rPr>
                <w:color w:val="231F20"/>
                <w:sz w:val="20"/>
              </w:rPr>
              <w:t>173</w:t>
            </w:r>
          </w:p>
        </w:tc>
      </w:tr>
      <w:tr>
        <w:trPr>
          <w:trHeight w:val="300" w:hRule="exact"/>
        </w:trPr>
        <w:tc>
          <w:tcPr>
            <w:tcW w:w="5325" w:type="dxa"/>
          </w:tcPr>
          <w:p>
            <w:pPr>
              <w:pStyle w:val="TableParagraph"/>
              <w:ind w:left="280"/>
              <w:rPr>
                <w:sz w:val="20"/>
              </w:rPr>
            </w:pPr>
            <w:r>
              <w:rPr>
                <w:color w:val="231F20"/>
                <w:sz w:val="20"/>
              </w:rPr>
              <w:t>Included in other comprehensive income</w:t>
            </w:r>
          </w:p>
        </w:tc>
        <w:tc>
          <w:tcPr>
            <w:tcW w:w="1355" w:type="dxa"/>
          </w:tcPr>
          <w:p>
            <w:pPr>
              <w:pStyle w:val="TableParagraph"/>
              <w:ind w:left="765"/>
              <w:rPr>
                <w:sz w:val="20"/>
              </w:rPr>
            </w:pPr>
            <w:r>
              <w:rPr>
                <w:color w:val="231F20"/>
                <w:sz w:val="20"/>
              </w:rPr>
              <w:t>201</w:t>
            </w:r>
          </w:p>
        </w:tc>
        <w:tc>
          <w:tcPr>
            <w:tcW w:w="1180" w:type="dxa"/>
          </w:tcPr>
          <w:p>
            <w:pPr>
              <w:pStyle w:val="TableParagraph"/>
              <w:ind w:right="47"/>
              <w:jc w:val="right"/>
              <w:rPr>
                <w:sz w:val="20"/>
              </w:rPr>
            </w:pPr>
            <w:r>
              <w:rPr>
                <w:color w:val="231F20"/>
                <w:sz w:val="20"/>
              </w:rPr>
              <w:t>8</w:t>
            </w:r>
          </w:p>
        </w:tc>
        <w:tc>
          <w:tcPr>
            <w:tcW w:w="200" w:type="dxa"/>
          </w:tcPr>
          <w:p>
            <w:pPr/>
          </w:p>
        </w:tc>
        <w:tc>
          <w:tcPr>
            <w:tcW w:w="1060" w:type="dxa"/>
          </w:tcPr>
          <w:p>
            <w:pPr>
              <w:pStyle w:val="TableParagraph"/>
              <w:ind w:right="47"/>
              <w:jc w:val="right"/>
              <w:rPr>
                <w:sz w:val="20"/>
              </w:rPr>
            </w:pPr>
            <w:r>
              <w:rPr>
                <w:color w:val="231F20"/>
                <w:sz w:val="20"/>
              </w:rPr>
              <w:t>209</w:t>
            </w:r>
          </w:p>
        </w:tc>
      </w:tr>
      <w:tr>
        <w:trPr>
          <w:trHeight w:val="300" w:hRule="exact"/>
        </w:trPr>
        <w:tc>
          <w:tcPr>
            <w:tcW w:w="5325" w:type="dxa"/>
            <w:shd w:val="clear" w:color="auto" w:fill="D1D3D4"/>
          </w:tcPr>
          <w:p>
            <w:pPr>
              <w:pStyle w:val="TableParagraph"/>
              <w:ind w:left="80"/>
              <w:rPr>
                <w:sz w:val="20"/>
              </w:rPr>
            </w:pPr>
            <w:r>
              <w:rPr>
                <w:color w:val="231F20"/>
                <w:sz w:val="20"/>
              </w:rPr>
              <w:t>Purchases</w:t>
            </w:r>
          </w:p>
        </w:tc>
        <w:tc>
          <w:tcPr>
            <w:tcW w:w="1355" w:type="dxa"/>
            <w:shd w:val="clear" w:color="auto" w:fill="D1D3D4"/>
          </w:tcPr>
          <w:p>
            <w:pPr>
              <w:pStyle w:val="TableParagraph"/>
              <w:ind w:right="77"/>
              <w:jc w:val="right"/>
              <w:rPr>
                <w:sz w:val="13"/>
              </w:rPr>
            </w:pPr>
            <w:r>
              <w:rPr>
                <w:color w:val="231F20"/>
                <w:position w:val="-4"/>
                <w:sz w:val="20"/>
              </w:rPr>
              <w:t>221 </w:t>
            </w:r>
            <w:r>
              <w:rPr>
                <w:color w:val="231F20"/>
                <w:sz w:val="13"/>
              </w:rPr>
              <w:t>(a)</w:t>
            </w:r>
          </w:p>
        </w:tc>
        <w:tc>
          <w:tcPr>
            <w:tcW w:w="1180" w:type="dxa"/>
            <w:shd w:val="clear" w:color="auto" w:fill="D1D3D4"/>
          </w:tcPr>
          <w:p>
            <w:pPr>
              <w:pStyle w:val="TableParagraph"/>
              <w:ind w:right="66"/>
              <w:jc w:val="right"/>
              <w:rPr>
                <w:sz w:val="20"/>
              </w:rPr>
            </w:pPr>
            <w:r>
              <w:rPr>
                <w:color w:val="231F20"/>
                <w:sz w:val="20"/>
              </w:rPr>
              <w:t>—</w:t>
            </w:r>
          </w:p>
        </w:tc>
        <w:tc>
          <w:tcPr>
            <w:tcW w:w="200" w:type="dxa"/>
            <w:shd w:val="clear" w:color="auto" w:fill="D1D3D4"/>
          </w:tcPr>
          <w:p>
            <w:pPr/>
          </w:p>
        </w:tc>
        <w:tc>
          <w:tcPr>
            <w:tcW w:w="1060" w:type="dxa"/>
            <w:shd w:val="clear" w:color="auto" w:fill="D1D3D4"/>
          </w:tcPr>
          <w:p>
            <w:pPr>
              <w:pStyle w:val="TableParagraph"/>
              <w:ind w:right="49"/>
              <w:jc w:val="right"/>
              <w:rPr>
                <w:sz w:val="20"/>
              </w:rPr>
            </w:pPr>
            <w:r>
              <w:rPr>
                <w:color w:val="231F20"/>
                <w:sz w:val="20"/>
              </w:rPr>
              <w:t>221</w:t>
            </w:r>
          </w:p>
        </w:tc>
      </w:tr>
      <w:tr>
        <w:trPr>
          <w:trHeight w:val="300" w:hRule="exact"/>
        </w:trPr>
        <w:tc>
          <w:tcPr>
            <w:tcW w:w="5325" w:type="dxa"/>
          </w:tcPr>
          <w:p>
            <w:pPr>
              <w:pStyle w:val="TableParagraph"/>
              <w:ind w:left="80"/>
              <w:rPr>
                <w:sz w:val="20"/>
              </w:rPr>
            </w:pPr>
            <w:r>
              <w:rPr>
                <w:color w:val="231F20"/>
                <w:sz w:val="20"/>
              </w:rPr>
              <w:t>Sales</w:t>
            </w:r>
          </w:p>
        </w:tc>
        <w:tc>
          <w:tcPr>
            <w:tcW w:w="1355" w:type="dxa"/>
          </w:tcPr>
          <w:p>
            <w:pPr>
              <w:pStyle w:val="TableParagraph"/>
              <w:ind w:right="77"/>
              <w:jc w:val="right"/>
              <w:rPr>
                <w:sz w:val="13"/>
              </w:rPr>
            </w:pPr>
            <w:r>
              <w:rPr>
                <w:color w:val="231F20"/>
                <w:sz w:val="20"/>
              </w:rPr>
              <w:t>(61)</w:t>
            </w:r>
            <w:r>
              <w:rPr>
                <w:color w:val="231F20"/>
                <w:position w:val="5"/>
                <w:sz w:val="13"/>
              </w:rPr>
              <w:t>(a)</w:t>
            </w:r>
          </w:p>
        </w:tc>
        <w:tc>
          <w:tcPr>
            <w:tcW w:w="1180" w:type="dxa"/>
          </w:tcPr>
          <w:p>
            <w:pPr>
              <w:pStyle w:val="TableParagraph"/>
              <w:jc w:val="right"/>
              <w:rPr>
                <w:sz w:val="20"/>
              </w:rPr>
            </w:pPr>
            <w:r>
              <w:rPr>
                <w:color w:val="231F20"/>
                <w:sz w:val="20"/>
              </w:rPr>
              <w:t>(33)</w:t>
            </w:r>
          </w:p>
        </w:tc>
        <w:tc>
          <w:tcPr>
            <w:tcW w:w="200" w:type="dxa"/>
          </w:tcPr>
          <w:p>
            <w:pPr/>
          </w:p>
        </w:tc>
        <w:tc>
          <w:tcPr>
            <w:tcW w:w="1060" w:type="dxa"/>
          </w:tcPr>
          <w:p>
            <w:pPr>
              <w:pStyle w:val="TableParagraph"/>
              <w:ind w:right="48"/>
              <w:jc w:val="right"/>
              <w:rPr>
                <w:sz w:val="20"/>
              </w:rPr>
            </w:pPr>
            <w:r>
              <w:rPr>
                <w:color w:val="231F20"/>
                <w:sz w:val="20"/>
              </w:rPr>
              <w:t>(94)</w:t>
            </w:r>
          </w:p>
        </w:tc>
      </w:tr>
      <w:tr>
        <w:trPr>
          <w:trHeight w:val="315" w:hRule="exact"/>
        </w:trPr>
        <w:tc>
          <w:tcPr>
            <w:tcW w:w="5325" w:type="dxa"/>
            <w:shd w:val="clear" w:color="auto" w:fill="D1D3D4"/>
          </w:tcPr>
          <w:p>
            <w:pPr>
              <w:pStyle w:val="TableParagraph"/>
              <w:ind w:left="80"/>
              <w:rPr>
                <w:sz w:val="20"/>
              </w:rPr>
            </w:pPr>
            <w:r>
              <w:rPr>
                <w:color w:val="231F20"/>
                <w:sz w:val="20"/>
              </w:rPr>
              <w:t>Settlements</w:t>
            </w:r>
          </w:p>
        </w:tc>
        <w:tc>
          <w:tcPr>
            <w:tcW w:w="1355" w:type="dxa"/>
            <w:tcBorders>
              <w:bottom w:val="single" w:sz="4" w:space="0" w:color="231F20"/>
            </w:tcBorders>
            <w:shd w:val="clear" w:color="auto" w:fill="D1D3D4"/>
          </w:tcPr>
          <w:p>
            <w:pPr>
              <w:pStyle w:val="TableParagraph"/>
              <w:ind w:left="765"/>
              <w:rPr>
                <w:sz w:val="20"/>
              </w:rPr>
            </w:pPr>
            <w:r>
              <w:rPr>
                <w:color w:val="231F20"/>
                <w:sz w:val="20"/>
              </w:rPr>
              <w:t>882</w:t>
            </w:r>
          </w:p>
        </w:tc>
        <w:tc>
          <w:tcPr>
            <w:tcW w:w="1180" w:type="dxa"/>
            <w:tcBorders>
              <w:bottom w:val="single" w:sz="4" w:space="0" w:color="231F20"/>
            </w:tcBorders>
            <w:shd w:val="clear" w:color="auto" w:fill="D1D3D4"/>
          </w:tcPr>
          <w:p>
            <w:pPr>
              <w:pStyle w:val="TableParagraph"/>
              <w:ind w:right="64"/>
              <w:jc w:val="right"/>
              <w:rPr>
                <w:sz w:val="20"/>
              </w:rPr>
            </w:pPr>
            <w:r>
              <w:rPr>
                <w:color w:val="231F20"/>
                <w:sz w:val="20"/>
              </w:rPr>
              <w:t>—</w:t>
            </w:r>
          </w:p>
        </w:tc>
        <w:tc>
          <w:tcPr>
            <w:tcW w:w="200" w:type="dxa"/>
            <w:shd w:val="clear" w:color="auto" w:fill="D1D3D4"/>
          </w:tcPr>
          <w:p>
            <w:pPr/>
          </w:p>
        </w:tc>
        <w:tc>
          <w:tcPr>
            <w:tcW w:w="1060" w:type="dxa"/>
            <w:tcBorders>
              <w:bottom w:val="single" w:sz="4" w:space="0" w:color="231F20"/>
            </w:tcBorders>
            <w:shd w:val="clear" w:color="auto" w:fill="D1D3D4"/>
          </w:tcPr>
          <w:p>
            <w:pPr>
              <w:pStyle w:val="TableParagraph"/>
              <w:ind w:right="97"/>
              <w:jc w:val="right"/>
              <w:rPr>
                <w:sz w:val="20"/>
              </w:rPr>
            </w:pPr>
            <w:r>
              <w:rPr>
                <w:color w:val="231F20"/>
                <w:sz w:val="20"/>
              </w:rPr>
              <w:t>882</w:t>
            </w:r>
          </w:p>
        </w:tc>
      </w:tr>
      <w:tr>
        <w:trPr>
          <w:trHeight w:val="360" w:hRule="exact"/>
        </w:trPr>
        <w:tc>
          <w:tcPr>
            <w:tcW w:w="5325" w:type="dxa"/>
          </w:tcPr>
          <w:p>
            <w:pPr>
              <w:pStyle w:val="TableParagraph"/>
              <w:spacing w:before="73"/>
              <w:ind w:left="80"/>
              <w:rPr>
                <w:sz w:val="20"/>
              </w:rPr>
            </w:pPr>
            <w:r>
              <w:rPr>
                <w:color w:val="231F20"/>
                <w:sz w:val="20"/>
              </w:rPr>
              <w:t>Balance at December 31, 2016</w:t>
            </w:r>
          </w:p>
        </w:tc>
        <w:tc>
          <w:tcPr>
            <w:tcW w:w="1355" w:type="dxa"/>
            <w:tcBorders>
              <w:top w:val="single" w:sz="4" w:space="0" w:color="231F20"/>
              <w:bottom w:val="single" w:sz="4" w:space="0" w:color="231F20"/>
            </w:tcBorders>
          </w:tcPr>
          <w:p>
            <w:pPr>
              <w:pStyle w:val="TableParagraph"/>
              <w:tabs>
                <w:tab w:pos="680" w:val="left" w:leader="none"/>
              </w:tabs>
              <w:rPr>
                <w:sz w:val="20"/>
              </w:rPr>
            </w:pPr>
            <w:r>
              <w:rPr>
                <w:color w:val="231F20"/>
                <w:sz w:val="20"/>
              </w:rPr>
              <w:t>$</w:t>
              <w:tab/>
              <w:t>(258)</w:t>
            </w:r>
          </w:p>
        </w:tc>
        <w:tc>
          <w:tcPr>
            <w:tcW w:w="1180" w:type="dxa"/>
            <w:tcBorders>
              <w:top w:val="single" w:sz="4" w:space="0" w:color="231F20"/>
              <w:bottom w:val="single" w:sz="4" w:space="0" w:color="231F20"/>
            </w:tcBorders>
          </w:tcPr>
          <w:p>
            <w:pPr>
              <w:pStyle w:val="TableParagraph"/>
              <w:tabs>
                <w:tab w:pos="832" w:val="left" w:leader="none"/>
              </w:tabs>
              <w:ind w:right="64"/>
              <w:jc w:val="right"/>
              <w:rPr>
                <w:sz w:val="20"/>
              </w:rPr>
            </w:pPr>
            <w:r>
              <w:rPr>
                <w:color w:val="231F20"/>
                <w:sz w:val="20"/>
              </w:rPr>
              <w:t>$</w:t>
              <w:tab/>
              <w:t>—</w:t>
            </w:r>
          </w:p>
        </w:tc>
        <w:tc>
          <w:tcPr>
            <w:tcW w:w="200" w:type="dxa"/>
          </w:tcPr>
          <w:p>
            <w:pPr/>
          </w:p>
        </w:tc>
        <w:tc>
          <w:tcPr>
            <w:tcW w:w="1060" w:type="dxa"/>
            <w:tcBorders>
              <w:top w:val="single" w:sz="4" w:space="0" w:color="231F20"/>
              <w:bottom w:val="single" w:sz="4" w:space="0" w:color="231F20"/>
            </w:tcBorders>
          </w:tcPr>
          <w:p>
            <w:pPr>
              <w:pStyle w:val="TableParagraph"/>
              <w:tabs>
                <w:tab w:pos="575" w:val="left" w:leader="none"/>
              </w:tabs>
              <w:ind w:right="48"/>
              <w:jc w:val="right"/>
              <w:rPr>
                <w:sz w:val="20"/>
              </w:rPr>
            </w:pPr>
            <w:r>
              <w:rPr>
                <w:color w:val="231F20"/>
                <w:sz w:val="20"/>
              </w:rPr>
              <w:t>$</w:t>
              <w:tab/>
              <w:t>(258)</w:t>
            </w:r>
          </w:p>
        </w:tc>
      </w:tr>
      <w:tr>
        <w:trPr>
          <w:trHeight w:val="840" w:hRule="exact"/>
        </w:trPr>
        <w:tc>
          <w:tcPr>
            <w:tcW w:w="5325" w:type="dxa"/>
            <w:shd w:val="clear" w:color="auto" w:fill="D1D3D4"/>
          </w:tcPr>
          <w:p>
            <w:pPr>
              <w:pStyle w:val="TableParagraph"/>
              <w:spacing w:line="249" w:lineRule="auto"/>
              <w:ind w:left="280" w:right="359" w:hanging="200"/>
              <w:rPr>
                <w:sz w:val="20"/>
              </w:rPr>
            </w:pPr>
            <w:r>
              <w:rPr>
                <w:color w:val="231F20"/>
                <w:sz w:val="20"/>
              </w:rPr>
              <w:t>The amount of total gains for the period included in earnings attributable to the change in unrealized gains or losses relating to assets still held at December 31, 2016</w:t>
            </w:r>
          </w:p>
        </w:tc>
        <w:tc>
          <w:tcPr>
            <w:tcW w:w="1355"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64" w:val="left" w:leader="none"/>
              </w:tabs>
              <w:spacing w:before="0"/>
              <w:rPr>
                <w:sz w:val="20"/>
              </w:rPr>
            </w:pPr>
            <w:r>
              <w:rPr>
                <w:color w:val="231F20"/>
                <w:sz w:val="20"/>
              </w:rPr>
              <w:t>$</w:t>
              <w:tab/>
              <w:t>93</w:t>
            </w: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32" w:val="left" w:leader="none"/>
              </w:tabs>
              <w:spacing w:before="0"/>
              <w:ind w:right="64"/>
              <w:jc w:val="right"/>
              <w:rPr>
                <w:sz w:val="20"/>
              </w:rPr>
            </w:pPr>
            <w:r>
              <w:rPr>
                <w:color w:val="231F20"/>
                <w:sz w:val="20"/>
              </w:rPr>
              <w:t>$</w:t>
              <w:tab/>
              <w:t>—</w:t>
            </w:r>
          </w:p>
        </w:tc>
        <w:tc>
          <w:tcPr>
            <w:tcW w:w="200" w:type="dxa"/>
            <w:shd w:val="clear" w:color="auto" w:fill="D1D3D4"/>
          </w:tcPr>
          <w:p>
            <w:pPr/>
          </w:p>
        </w:tc>
        <w:tc>
          <w:tcPr>
            <w:tcW w:w="106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09" w:val="left" w:leader="none"/>
              </w:tabs>
              <w:spacing w:before="0"/>
              <w:ind w:right="47"/>
              <w:jc w:val="right"/>
              <w:rPr>
                <w:sz w:val="20"/>
              </w:rPr>
            </w:pPr>
            <w:r>
              <w:rPr>
                <w:color w:val="231F20"/>
                <w:sz w:val="20"/>
              </w:rPr>
              <w:t>$</w:t>
              <w:tab/>
              <w:t>93</w:t>
            </w:r>
          </w:p>
        </w:tc>
      </w:tr>
    </w:tbl>
    <w:p>
      <w:pPr>
        <w:pStyle w:val="BodyText"/>
        <w:spacing w:before="5"/>
        <w:rPr>
          <w:b/>
          <w:sz w:val="16"/>
        </w:rPr>
      </w:pPr>
    </w:p>
    <w:p>
      <w:pPr>
        <w:spacing w:line="249" w:lineRule="auto" w:before="93"/>
        <w:ind w:left="420" w:right="220" w:hanging="300"/>
        <w:jc w:val="left"/>
        <w:rPr>
          <w:sz w:val="20"/>
        </w:rPr>
      </w:pPr>
      <w:r>
        <w:rPr/>
        <w:pict>
          <v:group style="position:absolute;margin-left:335pt;margin-top:-53.314068pt;width:64.25pt;height:.5pt;mso-position-horizontal-relative:page;mso-position-vertical-relative:paragraph;z-index:-372592" coordorigin="6700,-1066" coordsize="1285,10">
            <v:line style="position:absolute" from="6705,-1061" to="7820,-1061" stroked="true" strokeweight=".5pt" strokecolor="#231f20">
              <v:stroke dashstyle="solid"/>
            </v:line>
            <v:line style="position:absolute" from="7820,-1061" to="7980,-1061" stroked="true" strokeweight=".5pt" strokecolor="#231f20">
              <v:stroke dashstyle="solid"/>
            </v:line>
            <w10:wrap type="none"/>
          </v:group>
        </w:pict>
      </w:r>
      <w:r>
        <w:rPr/>
        <w:pict>
          <v:line style="position:absolute;mso-position-horizontal-relative:page;mso-position-vertical-relative:paragraph;z-index:-372568" from="407pt,-53.064068pt" to="462pt,-53.064068pt" stroked="true" strokeweight=".5pt" strokecolor="#231f20">
            <v:stroke dashstyle="solid"/>
            <w10:wrap type="none"/>
          </v:line>
        </w:pict>
      </w:r>
      <w:r>
        <w:rPr/>
        <w:pict>
          <v:line style="position:absolute;mso-position-horizontal-relative:page;mso-position-vertical-relative:paragraph;z-index:-372544" from="472pt,-53.064068pt" to="525pt,-53.064068pt" stroked="true" strokeweight=".5pt" strokecolor="#231f20">
            <v:stroke dashstyle="solid"/>
            <w10:wrap type="none"/>
          </v:line>
        </w:pict>
      </w:r>
      <w:r>
        <w:rPr/>
        <w:pict>
          <v:group style="position:absolute;margin-left:335pt;margin-top:-11.314069pt;width:64.25pt;height:.5pt;mso-position-horizontal-relative:page;mso-position-vertical-relative:paragraph;z-index:-372520" coordorigin="6700,-226" coordsize="1285,10">
            <v:line style="position:absolute" from="6705,-221" to="7820,-221" stroked="true" strokeweight=".5pt" strokecolor="#231f20">
              <v:stroke dashstyle="solid"/>
            </v:line>
            <v:line style="position:absolute" from="7820,-221" to="7980,-221" stroked="true" strokeweight=".5pt" strokecolor="#231f20">
              <v:stroke dashstyle="solid"/>
            </v:line>
            <w10:wrap type="none"/>
          </v:group>
        </w:pict>
      </w:r>
      <w:r>
        <w:rPr/>
        <w:pict>
          <v:line style="position:absolute;mso-position-horizontal-relative:page;mso-position-vertical-relative:paragraph;z-index:-372496" from="407pt,-11.064069pt" to="462pt,-11.064069pt" stroked="true" strokeweight=".5pt" strokecolor="#231f20">
            <v:stroke dashstyle="solid"/>
            <w10:wrap type="none"/>
          </v:line>
        </w:pict>
      </w:r>
      <w:r>
        <w:rPr/>
        <w:pict>
          <v:line style="position:absolute;mso-position-horizontal-relative:page;mso-position-vertical-relative:paragraph;z-index:-372472" from="472pt,-11.064069pt" to="525pt,-11.064069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BodyText"/>
        <w:spacing w:before="9"/>
        <w:rPr>
          <w:sz w:val="18"/>
        </w:rPr>
      </w:pPr>
    </w:p>
    <w:p>
      <w:pPr>
        <w:spacing w:line="249" w:lineRule="auto" w:before="1"/>
        <w:ind w:left="5980" w:right="317" w:hanging="537"/>
        <w:jc w:val="left"/>
        <w:rPr>
          <w:b/>
          <w:sz w:val="20"/>
        </w:rPr>
      </w:pPr>
      <w:r>
        <w:rPr/>
        <w:pict>
          <v:line style="position:absolute;mso-position-horizontal-relative:page;mso-position-vertical-relative:paragraph;z-index:6640" from="324.549988pt,24.885944pt" to="525.999988pt,24.885944pt" stroked="true" strokeweight="1pt" strokecolor="#231f20">
            <v:stroke dashstyle="solid"/>
            <w10:wrap type="none"/>
          </v:line>
        </w:pict>
      </w:r>
      <w:r>
        <w:rPr>
          <w:b/>
          <w:color w:val="231F20"/>
          <w:sz w:val="20"/>
        </w:rPr>
        <w:t>Fair value measurements using significant unobservable inputs (Level 3)</w:t>
      </w:r>
    </w:p>
    <w:p>
      <w:pPr>
        <w:spacing w:after="0" w:line="249" w:lineRule="auto"/>
        <w:jc w:val="left"/>
        <w:rPr>
          <w:sz w:val="20"/>
        </w:rPr>
        <w:sectPr>
          <w:type w:val="continuous"/>
          <w:pgSz w:w="11880" w:h="15480"/>
          <w:pgMar w:top="1260" w:bottom="280" w:left="1260" w:right="1240"/>
        </w:sectPr>
      </w:pPr>
    </w:p>
    <w:p>
      <w:pPr>
        <w:pStyle w:val="BodyText"/>
        <w:spacing w:before="10"/>
        <w:rPr>
          <w:b/>
          <w:sz w:val="27"/>
        </w:rPr>
      </w:pPr>
    </w:p>
    <w:p>
      <w:pPr>
        <w:spacing w:before="1"/>
        <w:ind w:left="120" w:right="0" w:firstLine="0"/>
        <w:jc w:val="left"/>
        <w:rPr>
          <w:sz w:val="20"/>
        </w:rPr>
      </w:pPr>
      <w:r>
        <w:rPr/>
        <w:pict>
          <v:line style="position:absolute;mso-position-horizontal-relative:page;mso-position-vertical-relative:paragraph;z-index:-372424" from="69pt,13.135943pt" to="118.9pt,13.135943pt" stroked="true" strokeweight=".5pt" strokecolor="#231f20">
            <v:stroke dashstyle="solid"/>
            <w10:wrap type="none"/>
          </v:line>
        </w:pict>
      </w:r>
      <w:r>
        <w:rPr>
          <w:color w:val="231F20"/>
          <w:sz w:val="20"/>
        </w:rPr>
        <w:t>(in millions)</w:t>
      </w:r>
    </w:p>
    <w:p>
      <w:pPr>
        <w:spacing w:line="249" w:lineRule="auto" w:before="81"/>
        <w:ind w:left="120" w:right="-20" w:firstLine="278"/>
        <w:jc w:val="left"/>
        <w:rPr>
          <w:b/>
          <w:sz w:val="20"/>
        </w:rPr>
      </w:pPr>
      <w:r>
        <w:rPr/>
        <w:br w:type="column"/>
      </w:r>
      <w:r>
        <w:rPr>
          <w:b/>
          <w:color w:val="231F20"/>
          <w:sz w:val="20"/>
        </w:rPr>
        <w:t>Fuel derivatives</w:t>
      </w:r>
    </w:p>
    <w:p>
      <w:pPr>
        <w:spacing w:before="81"/>
        <w:ind w:left="265" w:right="0" w:firstLine="0"/>
        <w:jc w:val="left"/>
        <w:rPr>
          <w:b/>
          <w:sz w:val="20"/>
        </w:rPr>
      </w:pPr>
      <w:r>
        <w:rPr/>
        <w:br w:type="column"/>
      </w:r>
      <w:r>
        <w:rPr>
          <w:b/>
          <w:color w:val="231F20"/>
          <w:sz w:val="20"/>
        </w:rPr>
        <w:t>Other</w:t>
      </w:r>
    </w:p>
    <w:p>
      <w:pPr>
        <w:tabs>
          <w:tab w:pos="1579" w:val="left" w:leader="none"/>
        </w:tabs>
        <w:spacing w:before="9"/>
        <w:ind w:left="120" w:right="0" w:firstLine="0"/>
        <w:jc w:val="left"/>
        <w:rPr>
          <w:b/>
          <w:sz w:val="20"/>
        </w:rPr>
      </w:pPr>
      <w:r>
        <w:rPr>
          <w:b/>
          <w:color w:val="231F20"/>
          <w:sz w:val="20"/>
        </w:rPr>
        <w:t>securities</w:t>
        <w:tab/>
        <w:t>Total</w:t>
      </w:r>
    </w:p>
    <w:p>
      <w:pPr>
        <w:spacing w:after="0"/>
        <w:jc w:val="left"/>
        <w:rPr>
          <w:sz w:val="20"/>
        </w:rPr>
        <w:sectPr>
          <w:type w:val="continuous"/>
          <w:pgSz w:w="11880" w:h="15480"/>
          <w:pgMar w:top="1260" w:bottom="280" w:left="1260" w:right="1240"/>
          <w:cols w:num="3" w:equalWidth="0">
            <w:col w:w="1116" w:space="4195"/>
            <w:col w:w="1054" w:space="550"/>
            <w:col w:w="2465"/>
          </w:cols>
        </w:sect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11"/>
        <w:gridCol w:w="1335"/>
        <w:gridCol w:w="240"/>
        <w:gridCol w:w="1180"/>
        <w:gridCol w:w="200"/>
        <w:gridCol w:w="1074"/>
      </w:tblGrid>
      <w:tr>
        <w:trPr>
          <w:trHeight w:val="310" w:hRule="exact"/>
        </w:trPr>
        <w:tc>
          <w:tcPr>
            <w:tcW w:w="5111" w:type="dxa"/>
            <w:shd w:val="clear" w:color="auto" w:fill="D1D3D4"/>
          </w:tcPr>
          <w:p>
            <w:pPr>
              <w:pStyle w:val="TableParagraph"/>
              <w:ind w:left="80"/>
              <w:rPr>
                <w:sz w:val="20"/>
              </w:rPr>
            </w:pPr>
            <w:r>
              <w:rPr>
                <w:color w:val="231F20"/>
                <w:sz w:val="20"/>
              </w:rPr>
              <w:t>Balance at December 31, 2014</w:t>
            </w:r>
          </w:p>
        </w:tc>
        <w:tc>
          <w:tcPr>
            <w:tcW w:w="1335" w:type="dxa"/>
            <w:tcBorders>
              <w:top w:val="single" w:sz="8" w:space="0" w:color="231F20"/>
            </w:tcBorders>
            <w:shd w:val="clear" w:color="auto" w:fill="D1D3D4"/>
          </w:tcPr>
          <w:p>
            <w:pPr>
              <w:pStyle w:val="TableParagraph"/>
              <w:tabs>
                <w:tab w:pos="700" w:val="left" w:leader="none"/>
              </w:tabs>
              <w:ind w:right="48"/>
              <w:jc w:val="right"/>
              <w:rPr>
                <w:sz w:val="20"/>
              </w:rPr>
            </w:pPr>
            <w:r>
              <w:rPr>
                <w:color w:val="231F20"/>
                <w:sz w:val="20"/>
              </w:rPr>
              <w:t>$</w:t>
              <w:tab/>
              <w:t>(1,091)</w:t>
            </w:r>
          </w:p>
        </w:tc>
        <w:tc>
          <w:tcPr>
            <w:tcW w:w="240" w:type="dxa"/>
            <w:shd w:val="clear" w:color="auto" w:fill="D1D3D4"/>
          </w:tcPr>
          <w:p>
            <w:pPr/>
          </w:p>
        </w:tc>
        <w:tc>
          <w:tcPr>
            <w:tcW w:w="1180" w:type="dxa"/>
            <w:tcBorders>
              <w:top w:val="single" w:sz="8" w:space="0" w:color="231F20"/>
            </w:tcBorders>
            <w:shd w:val="clear" w:color="auto" w:fill="D1D3D4"/>
          </w:tcPr>
          <w:p>
            <w:pPr>
              <w:pStyle w:val="TableParagraph"/>
              <w:tabs>
                <w:tab w:pos="782" w:val="left" w:leader="none"/>
              </w:tabs>
              <w:ind w:right="114"/>
              <w:jc w:val="right"/>
              <w:rPr>
                <w:sz w:val="20"/>
              </w:rPr>
            </w:pPr>
            <w:r>
              <w:rPr>
                <w:color w:val="231F20"/>
                <w:sz w:val="20"/>
              </w:rPr>
              <w:t>$</w:t>
              <w:tab/>
              <w:t>32</w:t>
            </w:r>
          </w:p>
        </w:tc>
        <w:tc>
          <w:tcPr>
            <w:tcW w:w="200" w:type="dxa"/>
            <w:shd w:val="clear" w:color="auto" w:fill="D1D3D4"/>
          </w:tcPr>
          <w:p>
            <w:pPr/>
          </w:p>
        </w:tc>
        <w:tc>
          <w:tcPr>
            <w:tcW w:w="1074" w:type="dxa"/>
            <w:tcBorders>
              <w:top w:val="single" w:sz="8" w:space="0" w:color="231F20"/>
            </w:tcBorders>
            <w:shd w:val="clear" w:color="auto" w:fill="D1D3D4"/>
          </w:tcPr>
          <w:p>
            <w:pPr>
              <w:pStyle w:val="TableParagraph"/>
              <w:tabs>
                <w:tab w:pos="439" w:val="left" w:leader="none"/>
              </w:tabs>
              <w:ind w:right="48"/>
              <w:jc w:val="right"/>
              <w:rPr>
                <w:sz w:val="20"/>
              </w:rPr>
            </w:pPr>
            <w:r>
              <w:rPr>
                <w:color w:val="231F20"/>
                <w:sz w:val="20"/>
              </w:rPr>
              <w:t>$</w:t>
              <w:tab/>
            </w:r>
            <w:r>
              <w:rPr>
                <w:color w:val="231F20"/>
                <w:spacing w:val="-1"/>
                <w:sz w:val="20"/>
              </w:rPr>
              <w:t>(1,059)</w:t>
            </w:r>
          </w:p>
        </w:tc>
      </w:tr>
      <w:tr>
        <w:trPr>
          <w:trHeight w:val="300" w:hRule="exact"/>
        </w:trPr>
        <w:tc>
          <w:tcPr>
            <w:tcW w:w="5111" w:type="dxa"/>
          </w:tcPr>
          <w:p>
            <w:pPr>
              <w:pStyle w:val="TableParagraph"/>
              <w:ind w:left="80"/>
              <w:rPr>
                <w:sz w:val="20"/>
              </w:rPr>
            </w:pPr>
            <w:r>
              <w:rPr>
                <w:color w:val="231F20"/>
                <w:sz w:val="20"/>
              </w:rPr>
              <w:t>Total losses (realized or unrealized)</w:t>
            </w:r>
          </w:p>
        </w:tc>
        <w:tc>
          <w:tcPr>
            <w:tcW w:w="1335" w:type="dxa"/>
          </w:tcPr>
          <w:p>
            <w:pPr/>
          </w:p>
        </w:tc>
        <w:tc>
          <w:tcPr>
            <w:tcW w:w="240" w:type="dxa"/>
          </w:tcPr>
          <w:p>
            <w:pPr/>
          </w:p>
        </w:tc>
        <w:tc>
          <w:tcPr>
            <w:tcW w:w="1180" w:type="dxa"/>
          </w:tcPr>
          <w:p>
            <w:pPr/>
          </w:p>
        </w:tc>
        <w:tc>
          <w:tcPr>
            <w:tcW w:w="200" w:type="dxa"/>
          </w:tcPr>
          <w:p>
            <w:pPr/>
          </w:p>
        </w:tc>
        <w:tc>
          <w:tcPr>
            <w:tcW w:w="1074" w:type="dxa"/>
          </w:tcPr>
          <w:p>
            <w:pPr/>
          </w:p>
        </w:tc>
      </w:tr>
      <w:tr>
        <w:trPr>
          <w:trHeight w:val="300" w:hRule="exact"/>
        </w:trPr>
        <w:tc>
          <w:tcPr>
            <w:tcW w:w="5111" w:type="dxa"/>
            <w:shd w:val="clear" w:color="auto" w:fill="D1D3D4"/>
          </w:tcPr>
          <w:p>
            <w:pPr>
              <w:pStyle w:val="TableParagraph"/>
              <w:ind w:left="280"/>
              <w:rPr>
                <w:sz w:val="20"/>
              </w:rPr>
            </w:pPr>
            <w:r>
              <w:rPr>
                <w:color w:val="231F20"/>
                <w:sz w:val="20"/>
              </w:rPr>
              <w:t>Included in earnings</w:t>
            </w:r>
          </w:p>
        </w:tc>
        <w:tc>
          <w:tcPr>
            <w:tcW w:w="1335" w:type="dxa"/>
            <w:shd w:val="clear" w:color="auto" w:fill="D1D3D4"/>
          </w:tcPr>
          <w:p>
            <w:pPr>
              <w:pStyle w:val="TableParagraph"/>
              <w:ind w:right="48"/>
              <w:jc w:val="right"/>
              <w:rPr>
                <w:sz w:val="20"/>
              </w:rPr>
            </w:pPr>
            <w:r>
              <w:rPr>
                <w:color w:val="231F20"/>
                <w:sz w:val="20"/>
              </w:rPr>
              <w:t>(646)</w:t>
            </w:r>
          </w:p>
        </w:tc>
        <w:tc>
          <w:tcPr>
            <w:tcW w:w="240" w:type="dxa"/>
            <w:shd w:val="clear" w:color="auto" w:fill="D1D3D4"/>
          </w:tcPr>
          <w:p>
            <w:pPr/>
          </w:p>
        </w:tc>
        <w:tc>
          <w:tcPr>
            <w:tcW w:w="1180" w:type="dxa"/>
            <w:shd w:val="clear" w:color="auto" w:fill="D1D3D4"/>
          </w:tcPr>
          <w:p>
            <w:pPr>
              <w:pStyle w:val="TableParagraph"/>
              <w:ind w:right="48"/>
              <w:jc w:val="right"/>
              <w:rPr>
                <w:sz w:val="20"/>
              </w:rPr>
            </w:pPr>
            <w:r>
              <w:rPr>
                <w:color w:val="231F20"/>
                <w:sz w:val="20"/>
              </w:rPr>
              <w:t>(1)</w:t>
            </w:r>
          </w:p>
        </w:tc>
        <w:tc>
          <w:tcPr>
            <w:tcW w:w="200" w:type="dxa"/>
            <w:shd w:val="clear" w:color="auto" w:fill="D1D3D4"/>
          </w:tcPr>
          <w:p>
            <w:pPr/>
          </w:p>
        </w:tc>
        <w:tc>
          <w:tcPr>
            <w:tcW w:w="1074" w:type="dxa"/>
            <w:shd w:val="clear" w:color="auto" w:fill="D1D3D4"/>
          </w:tcPr>
          <w:p>
            <w:pPr>
              <w:pStyle w:val="TableParagraph"/>
              <w:ind w:right="48"/>
              <w:jc w:val="right"/>
              <w:rPr>
                <w:sz w:val="20"/>
              </w:rPr>
            </w:pPr>
            <w:r>
              <w:rPr>
                <w:color w:val="231F20"/>
                <w:sz w:val="20"/>
              </w:rPr>
              <w:t>(647)</w:t>
            </w:r>
          </w:p>
        </w:tc>
      </w:tr>
      <w:tr>
        <w:trPr>
          <w:trHeight w:val="300" w:hRule="exact"/>
        </w:trPr>
        <w:tc>
          <w:tcPr>
            <w:tcW w:w="5111" w:type="dxa"/>
          </w:tcPr>
          <w:p>
            <w:pPr>
              <w:pStyle w:val="TableParagraph"/>
              <w:ind w:left="280"/>
              <w:rPr>
                <w:sz w:val="20"/>
              </w:rPr>
            </w:pPr>
            <w:r>
              <w:rPr>
                <w:color w:val="231F20"/>
                <w:sz w:val="20"/>
              </w:rPr>
              <w:t>Included in other comprehensive income</w:t>
            </w:r>
          </w:p>
        </w:tc>
        <w:tc>
          <w:tcPr>
            <w:tcW w:w="1335" w:type="dxa"/>
          </w:tcPr>
          <w:p>
            <w:pPr>
              <w:pStyle w:val="TableParagraph"/>
              <w:ind w:right="48"/>
              <w:jc w:val="right"/>
              <w:rPr>
                <w:sz w:val="20"/>
              </w:rPr>
            </w:pPr>
            <w:r>
              <w:rPr>
                <w:color w:val="231F20"/>
                <w:sz w:val="20"/>
              </w:rPr>
              <w:t>(858)</w:t>
            </w:r>
          </w:p>
        </w:tc>
        <w:tc>
          <w:tcPr>
            <w:tcW w:w="240" w:type="dxa"/>
          </w:tcPr>
          <w:p>
            <w:pPr/>
          </w:p>
        </w:tc>
        <w:tc>
          <w:tcPr>
            <w:tcW w:w="1180" w:type="dxa"/>
          </w:tcPr>
          <w:p>
            <w:pPr>
              <w:pStyle w:val="TableParagraph"/>
              <w:ind w:right="114"/>
              <w:jc w:val="right"/>
              <w:rPr>
                <w:sz w:val="20"/>
              </w:rPr>
            </w:pPr>
            <w:r>
              <w:rPr>
                <w:color w:val="231F20"/>
                <w:sz w:val="20"/>
              </w:rPr>
              <w:t>—</w:t>
            </w:r>
          </w:p>
        </w:tc>
        <w:tc>
          <w:tcPr>
            <w:tcW w:w="200" w:type="dxa"/>
          </w:tcPr>
          <w:p>
            <w:pPr/>
          </w:p>
        </w:tc>
        <w:tc>
          <w:tcPr>
            <w:tcW w:w="1074" w:type="dxa"/>
          </w:tcPr>
          <w:p>
            <w:pPr>
              <w:pStyle w:val="TableParagraph"/>
              <w:ind w:right="48"/>
              <w:jc w:val="right"/>
              <w:rPr>
                <w:sz w:val="20"/>
              </w:rPr>
            </w:pPr>
            <w:r>
              <w:rPr>
                <w:color w:val="231F20"/>
                <w:sz w:val="20"/>
              </w:rPr>
              <w:t>(858)</w:t>
            </w:r>
          </w:p>
        </w:tc>
      </w:tr>
      <w:tr>
        <w:trPr>
          <w:trHeight w:val="300" w:hRule="exact"/>
        </w:trPr>
        <w:tc>
          <w:tcPr>
            <w:tcW w:w="5111" w:type="dxa"/>
            <w:shd w:val="clear" w:color="auto" w:fill="D1D3D4"/>
          </w:tcPr>
          <w:p>
            <w:pPr>
              <w:pStyle w:val="TableParagraph"/>
              <w:ind w:left="80"/>
              <w:rPr>
                <w:sz w:val="20"/>
              </w:rPr>
            </w:pPr>
            <w:r>
              <w:rPr>
                <w:color w:val="231F20"/>
                <w:sz w:val="20"/>
              </w:rPr>
              <w:t>Purchases</w:t>
            </w:r>
          </w:p>
        </w:tc>
        <w:tc>
          <w:tcPr>
            <w:tcW w:w="1335" w:type="dxa"/>
            <w:shd w:val="clear" w:color="auto" w:fill="D1D3D4"/>
          </w:tcPr>
          <w:p>
            <w:pPr>
              <w:pStyle w:val="TableParagraph"/>
              <w:ind w:right="114"/>
              <w:jc w:val="right"/>
              <w:rPr>
                <w:sz w:val="20"/>
              </w:rPr>
            </w:pPr>
            <w:r>
              <w:rPr>
                <w:color w:val="231F20"/>
                <w:sz w:val="20"/>
              </w:rPr>
              <w:t>750</w:t>
            </w:r>
          </w:p>
        </w:tc>
        <w:tc>
          <w:tcPr>
            <w:tcW w:w="240" w:type="dxa"/>
            <w:shd w:val="clear" w:color="auto" w:fill="D1D3D4"/>
          </w:tcPr>
          <w:p>
            <w:pPr>
              <w:pStyle w:val="TableParagraph"/>
              <w:spacing w:before="68"/>
              <w:ind w:left="16"/>
              <w:rPr>
                <w:sz w:val="13"/>
              </w:rPr>
            </w:pPr>
            <w:r>
              <w:rPr>
                <w:color w:val="231F20"/>
                <w:sz w:val="13"/>
              </w:rPr>
              <w:t>(a)</w:t>
            </w:r>
          </w:p>
        </w:tc>
        <w:tc>
          <w:tcPr>
            <w:tcW w:w="1180" w:type="dxa"/>
            <w:shd w:val="clear" w:color="auto" w:fill="D1D3D4"/>
          </w:tcPr>
          <w:p>
            <w:pPr>
              <w:pStyle w:val="TableParagraph"/>
              <w:ind w:right="116"/>
              <w:jc w:val="right"/>
              <w:rPr>
                <w:sz w:val="20"/>
              </w:rPr>
            </w:pPr>
            <w:r>
              <w:rPr>
                <w:color w:val="231F20"/>
                <w:sz w:val="20"/>
              </w:rPr>
              <w:t>—</w:t>
            </w:r>
          </w:p>
        </w:tc>
        <w:tc>
          <w:tcPr>
            <w:tcW w:w="200" w:type="dxa"/>
            <w:shd w:val="clear" w:color="auto" w:fill="D1D3D4"/>
          </w:tcPr>
          <w:p>
            <w:pPr/>
          </w:p>
        </w:tc>
        <w:tc>
          <w:tcPr>
            <w:tcW w:w="1074" w:type="dxa"/>
            <w:shd w:val="clear" w:color="auto" w:fill="D1D3D4"/>
          </w:tcPr>
          <w:p>
            <w:pPr>
              <w:pStyle w:val="TableParagraph"/>
              <w:ind w:right="116"/>
              <w:jc w:val="right"/>
              <w:rPr>
                <w:sz w:val="20"/>
              </w:rPr>
            </w:pPr>
            <w:r>
              <w:rPr>
                <w:color w:val="231F20"/>
                <w:sz w:val="20"/>
              </w:rPr>
              <w:t>750</w:t>
            </w:r>
          </w:p>
        </w:tc>
      </w:tr>
      <w:tr>
        <w:trPr>
          <w:trHeight w:val="300" w:hRule="exact"/>
        </w:trPr>
        <w:tc>
          <w:tcPr>
            <w:tcW w:w="5111" w:type="dxa"/>
          </w:tcPr>
          <w:p>
            <w:pPr>
              <w:pStyle w:val="TableParagraph"/>
              <w:ind w:left="80"/>
              <w:rPr>
                <w:sz w:val="20"/>
              </w:rPr>
            </w:pPr>
            <w:r>
              <w:rPr>
                <w:color w:val="231F20"/>
                <w:sz w:val="20"/>
              </w:rPr>
              <w:t>Sales</w:t>
            </w:r>
          </w:p>
        </w:tc>
        <w:tc>
          <w:tcPr>
            <w:tcW w:w="1335" w:type="dxa"/>
          </w:tcPr>
          <w:p>
            <w:pPr>
              <w:pStyle w:val="TableParagraph"/>
              <w:ind w:right="48"/>
              <w:jc w:val="right"/>
              <w:rPr>
                <w:sz w:val="20"/>
              </w:rPr>
            </w:pPr>
            <w:r>
              <w:rPr>
                <w:color w:val="231F20"/>
                <w:sz w:val="20"/>
              </w:rPr>
              <w:t>(196)</w:t>
            </w:r>
          </w:p>
        </w:tc>
        <w:tc>
          <w:tcPr>
            <w:tcW w:w="240" w:type="dxa"/>
          </w:tcPr>
          <w:p>
            <w:pPr>
              <w:pStyle w:val="TableParagraph"/>
              <w:spacing w:before="68"/>
              <w:ind w:left="16"/>
              <w:rPr>
                <w:sz w:val="13"/>
              </w:rPr>
            </w:pPr>
            <w:r>
              <w:rPr>
                <w:color w:val="231F20"/>
                <w:sz w:val="13"/>
              </w:rPr>
              <w:t>(a)</w:t>
            </w:r>
          </w:p>
        </w:tc>
        <w:tc>
          <w:tcPr>
            <w:tcW w:w="1180" w:type="dxa"/>
          </w:tcPr>
          <w:p>
            <w:pPr>
              <w:pStyle w:val="TableParagraph"/>
              <w:ind w:right="48"/>
              <w:jc w:val="right"/>
              <w:rPr>
                <w:sz w:val="20"/>
              </w:rPr>
            </w:pPr>
            <w:r>
              <w:rPr>
                <w:color w:val="231F20"/>
                <w:sz w:val="20"/>
              </w:rPr>
              <w:t>(4)</w:t>
            </w:r>
          </w:p>
        </w:tc>
        <w:tc>
          <w:tcPr>
            <w:tcW w:w="200" w:type="dxa"/>
          </w:tcPr>
          <w:p>
            <w:pPr/>
          </w:p>
        </w:tc>
        <w:tc>
          <w:tcPr>
            <w:tcW w:w="1074" w:type="dxa"/>
          </w:tcPr>
          <w:p>
            <w:pPr>
              <w:pStyle w:val="TableParagraph"/>
              <w:ind w:right="48"/>
              <w:jc w:val="right"/>
              <w:rPr>
                <w:sz w:val="20"/>
              </w:rPr>
            </w:pPr>
            <w:r>
              <w:rPr>
                <w:color w:val="231F20"/>
                <w:sz w:val="20"/>
              </w:rPr>
              <w:t>(200)</w:t>
            </w:r>
          </w:p>
        </w:tc>
      </w:tr>
      <w:tr>
        <w:trPr>
          <w:trHeight w:val="315" w:hRule="exact"/>
        </w:trPr>
        <w:tc>
          <w:tcPr>
            <w:tcW w:w="5111" w:type="dxa"/>
            <w:shd w:val="clear" w:color="auto" w:fill="D1D3D4"/>
          </w:tcPr>
          <w:p>
            <w:pPr>
              <w:pStyle w:val="TableParagraph"/>
              <w:ind w:left="80"/>
              <w:rPr>
                <w:sz w:val="20"/>
              </w:rPr>
            </w:pPr>
            <w:r>
              <w:rPr>
                <w:color w:val="231F20"/>
                <w:sz w:val="20"/>
              </w:rPr>
              <w:t>Settlements</w:t>
            </w:r>
          </w:p>
        </w:tc>
        <w:tc>
          <w:tcPr>
            <w:tcW w:w="1335" w:type="dxa"/>
            <w:tcBorders>
              <w:bottom w:val="single" w:sz="4" w:space="0" w:color="231F20"/>
            </w:tcBorders>
            <w:shd w:val="clear" w:color="auto" w:fill="D1D3D4"/>
          </w:tcPr>
          <w:p>
            <w:pPr>
              <w:pStyle w:val="TableParagraph"/>
              <w:ind w:right="114"/>
              <w:jc w:val="right"/>
              <w:rPr>
                <w:sz w:val="20"/>
              </w:rPr>
            </w:pPr>
            <w:r>
              <w:rPr>
                <w:color w:val="231F20"/>
                <w:sz w:val="20"/>
              </w:rPr>
              <w:t>365</w:t>
            </w:r>
          </w:p>
        </w:tc>
        <w:tc>
          <w:tcPr>
            <w:tcW w:w="240" w:type="dxa"/>
            <w:tcBorders>
              <w:bottom w:val="single" w:sz="4" w:space="0" w:color="231F20"/>
            </w:tcBorders>
            <w:shd w:val="clear" w:color="auto" w:fill="D1D3D4"/>
          </w:tcPr>
          <w:p>
            <w:pPr/>
          </w:p>
        </w:tc>
        <w:tc>
          <w:tcPr>
            <w:tcW w:w="1180" w:type="dxa"/>
            <w:tcBorders>
              <w:bottom w:val="single" w:sz="4" w:space="0" w:color="231F20"/>
            </w:tcBorders>
            <w:shd w:val="clear" w:color="auto" w:fill="D1D3D4"/>
          </w:tcPr>
          <w:p>
            <w:pPr>
              <w:pStyle w:val="TableParagraph"/>
              <w:ind w:right="114"/>
              <w:jc w:val="right"/>
              <w:rPr>
                <w:sz w:val="20"/>
              </w:rPr>
            </w:pPr>
            <w:r>
              <w:rPr>
                <w:color w:val="231F20"/>
                <w:sz w:val="20"/>
              </w:rPr>
              <w:t>—</w:t>
            </w:r>
          </w:p>
        </w:tc>
        <w:tc>
          <w:tcPr>
            <w:tcW w:w="200" w:type="dxa"/>
            <w:shd w:val="clear" w:color="auto" w:fill="D1D3D4"/>
          </w:tcPr>
          <w:p>
            <w:pPr/>
          </w:p>
        </w:tc>
        <w:tc>
          <w:tcPr>
            <w:tcW w:w="1074" w:type="dxa"/>
            <w:tcBorders>
              <w:bottom w:val="single" w:sz="4" w:space="0" w:color="231F20"/>
            </w:tcBorders>
            <w:shd w:val="clear" w:color="auto" w:fill="D1D3D4"/>
          </w:tcPr>
          <w:p>
            <w:pPr>
              <w:pStyle w:val="TableParagraph"/>
              <w:ind w:right="114"/>
              <w:jc w:val="right"/>
              <w:rPr>
                <w:sz w:val="20"/>
              </w:rPr>
            </w:pPr>
            <w:r>
              <w:rPr>
                <w:color w:val="231F20"/>
                <w:sz w:val="20"/>
              </w:rPr>
              <w:t>365</w:t>
            </w:r>
          </w:p>
        </w:tc>
      </w:tr>
      <w:tr>
        <w:trPr>
          <w:trHeight w:val="360" w:hRule="exact"/>
        </w:trPr>
        <w:tc>
          <w:tcPr>
            <w:tcW w:w="5111" w:type="dxa"/>
          </w:tcPr>
          <w:p>
            <w:pPr>
              <w:pStyle w:val="TableParagraph"/>
              <w:spacing w:before="73"/>
              <w:ind w:left="80"/>
              <w:rPr>
                <w:sz w:val="20"/>
              </w:rPr>
            </w:pPr>
            <w:r>
              <w:rPr>
                <w:color w:val="231F20"/>
                <w:sz w:val="20"/>
              </w:rPr>
              <w:t>Balance at December 31, 2015</w:t>
            </w:r>
          </w:p>
        </w:tc>
        <w:tc>
          <w:tcPr>
            <w:tcW w:w="1335" w:type="dxa"/>
            <w:tcBorders>
              <w:top w:val="single" w:sz="4" w:space="0" w:color="231F20"/>
              <w:bottom w:val="single" w:sz="4" w:space="0" w:color="231F20"/>
            </w:tcBorders>
          </w:tcPr>
          <w:p>
            <w:pPr>
              <w:pStyle w:val="TableParagraph"/>
              <w:tabs>
                <w:tab w:pos="700" w:val="left" w:leader="none"/>
              </w:tabs>
              <w:ind w:right="48"/>
              <w:jc w:val="right"/>
              <w:rPr>
                <w:sz w:val="20"/>
              </w:rPr>
            </w:pPr>
            <w:r>
              <w:rPr>
                <w:color w:val="231F20"/>
                <w:sz w:val="20"/>
              </w:rPr>
              <w:t>$</w:t>
              <w:tab/>
              <w:t>(1,676)</w:t>
            </w:r>
          </w:p>
        </w:tc>
        <w:tc>
          <w:tcPr>
            <w:tcW w:w="240" w:type="dxa"/>
            <w:tcBorders>
              <w:top w:val="single" w:sz="4" w:space="0" w:color="231F20"/>
              <w:bottom w:val="single" w:sz="4" w:space="0" w:color="231F20"/>
            </w:tcBorders>
          </w:tcPr>
          <w:p>
            <w:pPr/>
          </w:p>
        </w:tc>
        <w:tc>
          <w:tcPr>
            <w:tcW w:w="1180" w:type="dxa"/>
            <w:tcBorders>
              <w:top w:val="single" w:sz="4" w:space="0" w:color="231F20"/>
              <w:bottom w:val="single" w:sz="4" w:space="0" w:color="231F20"/>
            </w:tcBorders>
          </w:tcPr>
          <w:p>
            <w:pPr>
              <w:pStyle w:val="TableParagraph"/>
              <w:tabs>
                <w:tab w:pos="782" w:val="left" w:leader="none"/>
              </w:tabs>
              <w:ind w:right="114"/>
              <w:jc w:val="right"/>
              <w:rPr>
                <w:sz w:val="20"/>
              </w:rPr>
            </w:pPr>
            <w:r>
              <w:rPr>
                <w:color w:val="231F20"/>
                <w:sz w:val="20"/>
              </w:rPr>
              <w:t>$</w:t>
              <w:tab/>
              <w:t>27</w:t>
            </w:r>
          </w:p>
        </w:tc>
        <w:tc>
          <w:tcPr>
            <w:tcW w:w="200" w:type="dxa"/>
          </w:tcPr>
          <w:p>
            <w:pPr/>
          </w:p>
        </w:tc>
        <w:tc>
          <w:tcPr>
            <w:tcW w:w="1074" w:type="dxa"/>
            <w:tcBorders>
              <w:top w:val="single" w:sz="4" w:space="0" w:color="231F20"/>
              <w:bottom w:val="double" w:sz="7" w:space="0" w:color="231F20"/>
            </w:tcBorders>
          </w:tcPr>
          <w:p>
            <w:pPr>
              <w:pStyle w:val="TableParagraph"/>
              <w:tabs>
                <w:tab w:pos="439" w:val="left" w:leader="none"/>
              </w:tabs>
              <w:spacing w:before="68"/>
              <w:ind w:right="48"/>
              <w:jc w:val="right"/>
              <w:rPr>
                <w:sz w:val="20"/>
              </w:rPr>
            </w:pPr>
            <w:r>
              <w:rPr>
                <w:color w:val="231F20"/>
                <w:sz w:val="20"/>
              </w:rPr>
              <w:t>$</w:t>
              <w:tab/>
            </w:r>
            <w:r>
              <w:rPr>
                <w:color w:val="231F20"/>
                <w:spacing w:val="-1"/>
                <w:sz w:val="20"/>
              </w:rPr>
              <w:t>(1,649)</w:t>
            </w:r>
          </w:p>
        </w:tc>
      </w:tr>
      <w:tr>
        <w:trPr>
          <w:trHeight w:val="840" w:hRule="exact"/>
        </w:trPr>
        <w:tc>
          <w:tcPr>
            <w:tcW w:w="5111" w:type="dxa"/>
            <w:shd w:val="clear" w:color="auto" w:fill="D1D3D4"/>
          </w:tcPr>
          <w:p>
            <w:pPr>
              <w:pStyle w:val="TableParagraph"/>
              <w:spacing w:line="249" w:lineRule="auto"/>
              <w:ind w:left="280" w:right="279" w:hanging="200"/>
              <w:rPr>
                <w:sz w:val="20"/>
              </w:rPr>
            </w:pPr>
            <w:r>
              <w:rPr>
                <w:color w:val="231F20"/>
                <w:sz w:val="20"/>
              </w:rPr>
              <w:t>The amount of total losses for the period included in earnings attributable to the change in unrealized gains or losses relating to assets still held at December 31, 2015</w:t>
            </w:r>
          </w:p>
        </w:tc>
        <w:tc>
          <w:tcPr>
            <w:tcW w:w="1335"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850" w:val="left" w:leader="none"/>
              </w:tabs>
              <w:spacing w:before="0"/>
              <w:ind w:right="48"/>
              <w:jc w:val="right"/>
              <w:rPr>
                <w:sz w:val="20"/>
              </w:rPr>
            </w:pPr>
            <w:r>
              <w:rPr>
                <w:color w:val="231F20"/>
                <w:sz w:val="20"/>
              </w:rPr>
              <w:t>$</w:t>
              <w:tab/>
              <w:t>(428)</w:t>
            </w:r>
          </w:p>
        </w:tc>
        <w:tc>
          <w:tcPr>
            <w:tcW w:w="240" w:type="dxa"/>
            <w:tcBorders>
              <w:top w:val="single" w:sz="4" w:space="0" w:color="231F20"/>
              <w:bottom w:val="single" w:sz="4" w:space="0" w:color="231F20"/>
            </w:tcBorders>
            <w:shd w:val="clear" w:color="auto" w:fill="D1D3D4"/>
          </w:tcPr>
          <w:p>
            <w:pPr/>
          </w:p>
        </w:tc>
        <w:tc>
          <w:tcPr>
            <w:tcW w:w="1180" w:type="dxa"/>
            <w:tcBorders>
              <w:top w:val="single" w:sz="4" w:space="0" w:color="231F20"/>
              <w:bottom w:val="single" w:sz="4" w:space="0" w:color="231F20"/>
            </w:tcBorders>
            <w:shd w:val="clear" w:color="auto" w:fill="D1D3D4"/>
          </w:tcPr>
          <w:p>
            <w:pPr>
              <w:pStyle w:val="TableParagraph"/>
              <w:spacing w:before="0"/>
              <w:rPr>
                <w:b/>
                <w:sz w:val="22"/>
              </w:rPr>
            </w:pPr>
          </w:p>
          <w:p>
            <w:pPr>
              <w:pStyle w:val="TableParagraph"/>
              <w:spacing w:before="4"/>
              <w:rPr>
                <w:b/>
                <w:sz w:val="24"/>
              </w:rPr>
            </w:pPr>
          </w:p>
          <w:p>
            <w:pPr>
              <w:pStyle w:val="TableParagraph"/>
              <w:tabs>
                <w:tab w:pos="782" w:val="left" w:leader="none"/>
              </w:tabs>
              <w:spacing w:before="0"/>
              <w:ind w:right="114"/>
              <w:jc w:val="right"/>
              <w:rPr>
                <w:sz w:val="20"/>
              </w:rPr>
            </w:pPr>
            <w:r>
              <w:rPr>
                <w:color w:val="231F20"/>
                <w:sz w:val="20"/>
              </w:rPr>
              <w:t>$</w:t>
              <w:tab/>
              <w:t>—</w:t>
            </w:r>
          </w:p>
        </w:tc>
        <w:tc>
          <w:tcPr>
            <w:tcW w:w="200" w:type="dxa"/>
            <w:shd w:val="clear" w:color="auto" w:fill="D1D3D4"/>
          </w:tcPr>
          <w:p>
            <w:pPr/>
          </w:p>
        </w:tc>
        <w:tc>
          <w:tcPr>
            <w:tcW w:w="1074" w:type="dxa"/>
            <w:tcBorders>
              <w:top w:val="double" w:sz="7" w:space="0" w:color="231F20"/>
              <w:bottom w:val="single" w:sz="4" w:space="0" w:color="231F20"/>
            </w:tcBorders>
            <w:shd w:val="clear" w:color="auto" w:fill="D1D3D4"/>
          </w:tcPr>
          <w:p>
            <w:pPr>
              <w:pStyle w:val="TableParagraph"/>
              <w:spacing w:before="0"/>
              <w:rPr>
                <w:b/>
                <w:sz w:val="22"/>
              </w:rPr>
            </w:pPr>
          </w:p>
          <w:p>
            <w:pPr>
              <w:pStyle w:val="TableParagraph"/>
              <w:spacing w:before="2"/>
              <w:rPr>
                <w:b/>
                <w:sz w:val="22"/>
              </w:rPr>
            </w:pPr>
          </w:p>
          <w:p>
            <w:pPr>
              <w:pStyle w:val="TableParagraph"/>
              <w:tabs>
                <w:tab w:pos="589" w:val="left" w:leader="none"/>
              </w:tabs>
              <w:spacing w:before="0"/>
              <w:ind w:right="48"/>
              <w:jc w:val="right"/>
              <w:rPr>
                <w:sz w:val="20"/>
              </w:rPr>
            </w:pPr>
            <w:r>
              <w:rPr>
                <w:color w:val="231F20"/>
                <w:sz w:val="20"/>
              </w:rPr>
              <w:t>$</w:t>
              <w:tab/>
            </w:r>
            <w:r>
              <w:rPr>
                <w:color w:val="231F20"/>
                <w:spacing w:val="-1"/>
                <w:sz w:val="20"/>
              </w:rPr>
              <w:t>(428)</w:t>
            </w:r>
          </w:p>
        </w:tc>
      </w:tr>
    </w:tbl>
    <w:p>
      <w:pPr>
        <w:pStyle w:val="BodyText"/>
        <w:spacing w:before="4"/>
        <w:rPr>
          <w:b/>
          <w:sz w:val="16"/>
        </w:rPr>
      </w:pPr>
    </w:p>
    <w:p>
      <w:pPr>
        <w:spacing w:line="249" w:lineRule="auto" w:before="94"/>
        <w:ind w:left="420" w:right="220" w:hanging="300"/>
        <w:jc w:val="left"/>
        <w:rPr>
          <w:sz w:val="20"/>
        </w:rPr>
      </w:pPr>
      <w:r>
        <w:rPr/>
        <w:pict>
          <v:group style="position:absolute;margin-left:324.299988pt;margin-top:-53.264061pt;width:75.25pt;height:.5pt;mso-position-horizontal-relative:page;mso-position-vertical-relative:paragraph;z-index:-372400" coordorigin="6486,-1065" coordsize="1505,10">
            <v:line style="position:absolute" from="6491,-1060" to="7826,-1060" stroked="true" strokeweight=".5pt" strokecolor="#231f20">
              <v:stroke dashstyle="solid"/>
            </v:line>
            <v:line style="position:absolute" from="7826,-1060" to="7986,-1060" stroked="true" strokeweight=".5pt" strokecolor="#231f20">
              <v:stroke dashstyle="solid"/>
            </v:line>
            <w10:wrap type="none"/>
          </v:group>
        </w:pict>
      </w:r>
      <w:r>
        <w:rPr/>
        <w:pict>
          <v:line style="position:absolute;mso-position-horizontal-relative:page;mso-position-vertical-relative:paragraph;z-index:-372376" from="407.299988pt,-53.014061pt" to="462.299988pt,-53.014061pt" stroked="true" strokeweight=".5pt" strokecolor="#231f20">
            <v:stroke dashstyle="solid"/>
            <w10:wrap type="none"/>
          </v:line>
        </w:pict>
      </w:r>
      <w:r>
        <w:rPr/>
        <w:pict>
          <v:group style="position:absolute;margin-left:324.299988pt;margin-top:-11.264059pt;width:75.25pt;height:.5pt;mso-position-horizontal-relative:page;mso-position-vertical-relative:paragraph;z-index:-372352" coordorigin="6486,-225" coordsize="1505,10">
            <v:line style="position:absolute" from="6491,-220" to="7826,-220" stroked="true" strokeweight=".5pt" strokecolor="#231f20">
              <v:stroke dashstyle="solid"/>
            </v:line>
            <v:line style="position:absolute" from="7826,-220" to="7986,-220" stroked="true" strokeweight=".5pt" strokecolor="#231f20">
              <v:stroke dashstyle="solid"/>
            </v:line>
            <w10:wrap type="none"/>
          </v:group>
        </w:pict>
      </w:r>
      <w:r>
        <w:rPr/>
        <w:pict>
          <v:line style="position:absolute;mso-position-horizontal-relative:page;mso-position-vertical-relative:paragraph;z-index:-372328" from="407.299988pt,-11.014059pt" to="462.299988pt,-11.014059pt" stroked="true" strokeweight=".5pt" strokecolor="#231f20">
            <v:stroke dashstyle="solid"/>
            <w10:wrap type="none"/>
          </v:line>
        </w:pict>
      </w:r>
      <w:r>
        <w:rPr>
          <w:color w:val="231F20"/>
          <w:sz w:val="20"/>
        </w:rPr>
        <w:t>(a)</w:t>
      </w:r>
      <w:r>
        <w:rPr>
          <w:color w:val="231F20"/>
          <w:spacing w:val="16"/>
          <w:sz w:val="20"/>
        </w:rPr>
        <w:t> </w:t>
      </w:r>
      <w:r>
        <w:rPr>
          <w:color w:val="231F20"/>
          <w:sz w:val="20"/>
        </w:rPr>
        <w:t>The</w:t>
      </w:r>
      <w:r>
        <w:rPr>
          <w:color w:val="231F20"/>
          <w:spacing w:val="-13"/>
          <w:sz w:val="20"/>
        </w:rPr>
        <w:t> </w:t>
      </w:r>
      <w:r>
        <w:rPr>
          <w:color w:val="231F20"/>
          <w:sz w:val="20"/>
        </w:rPr>
        <w:t>purchase</w:t>
      </w:r>
      <w:r>
        <w:rPr>
          <w:color w:val="231F20"/>
          <w:spacing w:val="-13"/>
          <w:sz w:val="20"/>
        </w:rPr>
        <w:t> </w:t>
      </w:r>
      <w:r>
        <w:rPr>
          <w:color w:val="231F20"/>
          <w:sz w:val="20"/>
        </w:rPr>
        <w:t>and</w:t>
      </w:r>
      <w:r>
        <w:rPr>
          <w:color w:val="231F20"/>
          <w:spacing w:val="-13"/>
          <w:sz w:val="20"/>
        </w:rPr>
        <w:t> </w:t>
      </w:r>
      <w:r>
        <w:rPr>
          <w:color w:val="231F20"/>
          <w:sz w:val="20"/>
        </w:rPr>
        <w:t>sale</w:t>
      </w:r>
      <w:r>
        <w:rPr>
          <w:color w:val="231F20"/>
          <w:spacing w:val="-13"/>
          <w:sz w:val="20"/>
        </w:rPr>
        <w:t> </w:t>
      </w:r>
      <w:r>
        <w:rPr>
          <w:color w:val="231F20"/>
          <w:sz w:val="20"/>
        </w:rPr>
        <w:t>of</w:t>
      </w:r>
      <w:r>
        <w:rPr>
          <w:color w:val="231F20"/>
          <w:spacing w:val="-13"/>
          <w:sz w:val="20"/>
        </w:rPr>
        <w:t> </w:t>
      </w:r>
      <w:r>
        <w:rPr>
          <w:color w:val="231F20"/>
          <w:sz w:val="20"/>
        </w:rPr>
        <w:t>fuel</w:t>
      </w:r>
      <w:r>
        <w:rPr>
          <w:color w:val="231F20"/>
          <w:spacing w:val="-13"/>
          <w:sz w:val="20"/>
        </w:rPr>
        <w:t> </w:t>
      </w:r>
      <w:r>
        <w:rPr>
          <w:color w:val="231F20"/>
          <w:sz w:val="20"/>
        </w:rPr>
        <w:t>derivatives</w:t>
      </w:r>
      <w:r>
        <w:rPr>
          <w:color w:val="231F20"/>
          <w:spacing w:val="-13"/>
          <w:sz w:val="20"/>
        </w:rPr>
        <w:t> </w:t>
      </w:r>
      <w:r>
        <w:rPr>
          <w:color w:val="231F20"/>
          <w:sz w:val="20"/>
        </w:rPr>
        <w:t>are</w:t>
      </w:r>
      <w:r>
        <w:rPr>
          <w:color w:val="231F20"/>
          <w:spacing w:val="-13"/>
          <w:sz w:val="20"/>
        </w:rPr>
        <w:t> </w:t>
      </w:r>
      <w:r>
        <w:rPr>
          <w:color w:val="231F20"/>
          <w:sz w:val="20"/>
        </w:rPr>
        <w:t>recorded</w:t>
      </w:r>
      <w:r>
        <w:rPr>
          <w:color w:val="231F20"/>
          <w:spacing w:val="-13"/>
          <w:sz w:val="20"/>
        </w:rPr>
        <w:t> </w:t>
      </w:r>
      <w:r>
        <w:rPr>
          <w:color w:val="231F20"/>
          <w:sz w:val="20"/>
        </w:rPr>
        <w:t>gross</w:t>
      </w:r>
      <w:r>
        <w:rPr>
          <w:color w:val="231F20"/>
          <w:spacing w:val="-13"/>
          <w:sz w:val="20"/>
        </w:rPr>
        <w:t> </w:t>
      </w:r>
      <w:r>
        <w:rPr>
          <w:color w:val="231F20"/>
          <w:sz w:val="20"/>
        </w:rPr>
        <w:t>based</w:t>
      </w:r>
      <w:r>
        <w:rPr>
          <w:color w:val="231F20"/>
          <w:spacing w:val="-13"/>
          <w:sz w:val="20"/>
        </w:rPr>
        <w:t> </w:t>
      </w:r>
      <w:r>
        <w:rPr>
          <w:color w:val="231F20"/>
          <w:sz w:val="20"/>
        </w:rPr>
        <w:t>on</w:t>
      </w:r>
      <w:r>
        <w:rPr>
          <w:color w:val="231F20"/>
          <w:spacing w:val="-13"/>
          <w:sz w:val="20"/>
        </w:rPr>
        <w:t> </w:t>
      </w:r>
      <w:r>
        <w:rPr>
          <w:color w:val="231F20"/>
          <w:sz w:val="20"/>
        </w:rPr>
        <w:t>the</w:t>
      </w:r>
      <w:r>
        <w:rPr>
          <w:color w:val="231F20"/>
          <w:spacing w:val="-13"/>
          <w:sz w:val="20"/>
        </w:rPr>
        <w:t> </w:t>
      </w:r>
      <w:r>
        <w:rPr>
          <w:color w:val="231F20"/>
          <w:sz w:val="20"/>
        </w:rPr>
        <w:t>structure</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derivative</w:t>
      </w:r>
      <w:r>
        <w:rPr>
          <w:color w:val="231F20"/>
          <w:spacing w:val="-13"/>
          <w:sz w:val="20"/>
        </w:rPr>
        <w:t> </w:t>
      </w:r>
      <w:r>
        <w:rPr>
          <w:color w:val="231F20"/>
          <w:sz w:val="20"/>
        </w:rPr>
        <w:t>instrument and</w:t>
      </w:r>
      <w:r>
        <w:rPr>
          <w:color w:val="231F20"/>
          <w:spacing w:val="-13"/>
          <w:sz w:val="20"/>
        </w:rPr>
        <w:t> </w:t>
      </w:r>
      <w:r>
        <w:rPr>
          <w:color w:val="231F20"/>
          <w:sz w:val="20"/>
        </w:rPr>
        <w:t>whether</w:t>
      </w:r>
      <w:r>
        <w:rPr>
          <w:color w:val="231F20"/>
          <w:spacing w:val="-13"/>
          <w:sz w:val="20"/>
        </w:rPr>
        <w:t> </w:t>
      </w:r>
      <w:r>
        <w:rPr>
          <w:color w:val="231F20"/>
          <w:sz w:val="20"/>
        </w:rPr>
        <w:t>a</w:t>
      </w:r>
      <w:r>
        <w:rPr>
          <w:color w:val="231F20"/>
          <w:spacing w:val="-13"/>
          <w:sz w:val="20"/>
        </w:rPr>
        <w:t> </w:t>
      </w:r>
      <w:r>
        <w:rPr>
          <w:color w:val="231F20"/>
          <w:sz w:val="20"/>
        </w:rPr>
        <w:t>contract</w:t>
      </w:r>
      <w:r>
        <w:rPr>
          <w:color w:val="231F20"/>
          <w:spacing w:val="-13"/>
          <w:sz w:val="20"/>
        </w:rPr>
        <w:t> </w:t>
      </w:r>
      <w:r>
        <w:rPr>
          <w:color w:val="231F20"/>
          <w:sz w:val="20"/>
        </w:rPr>
        <w:t>with</w:t>
      </w:r>
      <w:r>
        <w:rPr>
          <w:color w:val="231F20"/>
          <w:spacing w:val="-13"/>
          <w:sz w:val="20"/>
        </w:rPr>
        <w:t> </w:t>
      </w:r>
      <w:r>
        <w:rPr>
          <w:color w:val="231F20"/>
          <w:sz w:val="20"/>
        </w:rPr>
        <w:t>multiple</w:t>
      </w:r>
      <w:r>
        <w:rPr>
          <w:color w:val="231F20"/>
          <w:spacing w:val="-13"/>
          <w:sz w:val="20"/>
        </w:rPr>
        <w:t> </w:t>
      </w:r>
      <w:r>
        <w:rPr>
          <w:color w:val="231F20"/>
          <w:sz w:val="20"/>
        </w:rPr>
        <w:t>derivatives</w:t>
      </w:r>
      <w:r>
        <w:rPr>
          <w:color w:val="231F20"/>
          <w:spacing w:val="-13"/>
          <w:sz w:val="20"/>
        </w:rPr>
        <w:t> </w:t>
      </w:r>
      <w:r>
        <w:rPr>
          <w:color w:val="231F20"/>
          <w:sz w:val="20"/>
        </w:rPr>
        <w:t>is</w:t>
      </w:r>
      <w:r>
        <w:rPr>
          <w:color w:val="231F20"/>
          <w:spacing w:val="-13"/>
          <w:sz w:val="20"/>
        </w:rPr>
        <w:t> </w:t>
      </w:r>
      <w:r>
        <w:rPr>
          <w:color w:val="231F20"/>
          <w:sz w:val="20"/>
        </w:rPr>
        <w:t>purchased</w:t>
      </w:r>
      <w:r>
        <w:rPr>
          <w:color w:val="231F20"/>
          <w:spacing w:val="-13"/>
          <w:sz w:val="20"/>
        </w:rPr>
        <w:t> </w:t>
      </w:r>
      <w:r>
        <w:rPr>
          <w:color w:val="231F20"/>
          <w:sz w:val="20"/>
        </w:rPr>
        <w:t>as</w:t>
      </w:r>
      <w:r>
        <w:rPr>
          <w:color w:val="231F20"/>
          <w:spacing w:val="-13"/>
          <w:sz w:val="20"/>
        </w:rPr>
        <w:t> </w:t>
      </w:r>
      <w:r>
        <w:rPr>
          <w:color w:val="231F20"/>
          <w:sz w:val="20"/>
        </w:rPr>
        <w:t>a</w:t>
      </w:r>
      <w:r>
        <w:rPr>
          <w:color w:val="231F20"/>
          <w:spacing w:val="-13"/>
          <w:sz w:val="20"/>
        </w:rPr>
        <w:t> </w:t>
      </w:r>
      <w:r>
        <w:rPr>
          <w:color w:val="231F20"/>
          <w:sz w:val="20"/>
        </w:rPr>
        <w:t>single</w:t>
      </w:r>
      <w:r>
        <w:rPr>
          <w:color w:val="231F20"/>
          <w:spacing w:val="-13"/>
          <w:sz w:val="20"/>
        </w:rPr>
        <w:t> </w:t>
      </w:r>
      <w:r>
        <w:rPr>
          <w:color w:val="231F20"/>
          <w:sz w:val="20"/>
        </w:rPr>
        <w:t>instrument</w:t>
      </w:r>
      <w:r>
        <w:rPr>
          <w:color w:val="231F20"/>
          <w:spacing w:val="-13"/>
          <w:sz w:val="20"/>
        </w:rPr>
        <w:t> </w:t>
      </w:r>
      <w:r>
        <w:rPr>
          <w:color w:val="231F20"/>
          <w:sz w:val="20"/>
        </w:rPr>
        <w:t>or</w:t>
      </w:r>
      <w:r>
        <w:rPr>
          <w:color w:val="231F20"/>
          <w:spacing w:val="-13"/>
          <w:sz w:val="20"/>
        </w:rPr>
        <w:t> </w:t>
      </w:r>
      <w:r>
        <w:rPr>
          <w:color w:val="231F20"/>
          <w:sz w:val="20"/>
        </w:rPr>
        <w:t>separate</w:t>
      </w:r>
      <w:r>
        <w:rPr>
          <w:color w:val="231F20"/>
          <w:spacing w:val="-13"/>
          <w:sz w:val="20"/>
        </w:rPr>
        <w:t> </w:t>
      </w:r>
      <w:r>
        <w:rPr>
          <w:color w:val="231F20"/>
          <w:spacing w:val="-2"/>
          <w:sz w:val="20"/>
        </w:rPr>
        <w:t>instruments.</w:t>
      </w:r>
    </w:p>
    <w:p>
      <w:pPr>
        <w:pStyle w:val="BodyText"/>
        <w:rPr>
          <w:sz w:val="19"/>
        </w:rPr>
      </w:pPr>
    </w:p>
    <w:p>
      <w:pPr>
        <w:pStyle w:val="BodyText"/>
        <w:spacing w:line="247" w:lineRule="auto"/>
        <w:ind w:left="120" w:right="137"/>
        <w:jc w:val="both"/>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respectively, for the Company’s derivative option contracts.</w:t>
      </w:r>
    </w:p>
    <w:p>
      <w:pPr>
        <w:spacing w:after="0" w:line="247" w:lineRule="auto"/>
        <w:jc w:val="both"/>
        <w:sectPr>
          <w:type w:val="continuous"/>
          <w:pgSz w:w="11880" w:h="15480"/>
          <w:pgMar w:top="1260" w:bottom="280" w:left="1260" w:right="1240"/>
        </w:sectPr>
      </w:pPr>
    </w:p>
    <w:p>
      <w:pPr>
        <w:pStyle w:val="BodyText"/>
        <w:spacing w:line="247" w:lineRule="auto" w:before="74"/>
        <w:ind w:left="120" w:right="136"/>
      </w:pPr>
      <w:bookmarkStart w:name="12. ACCUMULATED OTHER COMPREHENSIVE INCO" w:id="37"/>
      <w:bookmarkEnd w:id="37"/>
      <w:r>
        <w:rPr/>
      </w:r>
      <w:r>
        <w:rPr>
          <w:color w:val="231F20"/>
        </w:rPr>
        <w:t>The following table presents a range of the unobservable inputs utilized in the fair value measurements of the Company’s fuel derivatives classified as Level 3 at December 31, 2016:</w:t>
      </w:r>
    </w:p>
    <w:p>
      <w:pPr>
        <w:pStyle w:val="BodyText"/>
        <w:rPr>
          <w:sz w:val="12"/>
        </w:rPr>
      </w:pPr>
    </w:p>
    <w:p>
      <w:pPr>
        <w:spacing w:before="99" w:after="16"/>
        <w:ind w:left="1923" w:right="0" w:firstLine="0"/>
        <w:jc w:val="left"/>
        <w:rPr>
          <w:b/>
          <w:sz w:val="20"/>
        </w:rPr>
      </w:pPr>
      <w:r>
        <w:rPr>
          <w:b/>
          <w:color w:val="231F20"/>
          <w:sz w:val="20"/>
        </w:rPr>
        <w:t>Quantitative information about Level 3 fair value measurements</w:t>
      </w:r>
    </w:p>
    <w:p>
      <w:pPr>
        <w:pStyle w:val="BodyText"/>
        <w:spacing w:line="20" w:lineRule="exact"/>
        <w:ind w:left="110"/>
        <w:rPr>
          <w:sz w:val="2"/>
        </w:rPr>
      </w:pPr>
      <w:r>
        <w:rPr>
          <w:sz w:val="2"/>
        </w:rPr>
        <w:pict>
          <v:group style="width:457pt;height:1pt;mso-position-horizontal-relative:char;mso-position-vertical-relative:line" coordorigin="0,0" coordsize="9140,20">
            <v:line style="position:absolute" from="10,10" to="9130,10" stroked="true" strokeweight="1pt" strokecolor="#231f20">
              <v:stroke dashstyle="solid"/>
            </v:line>
          </v:group>
        </w:pict>
      </w:r>
      <w:r>
        <w:rPr>
          <w:sz w:val="2"/>
        </w:rPr>
      </w:r>
    </w:p>
    <w:p>
      <w:pPr>
        <w:tabs>
          <w:tab w:pos="4965" w:val="left" w:leader="none"/>
          <w:tab w:pos="6849" w:val="left" w:leader="none"/>
          <w:tab w:pos="8635" w:val="left" w:leader="none"/>
        </w:tabs>
        <w:spacing w:before="53" w:after="26"/>
        <w:ind w:left="120" w:right="0" w:firstLine="2837"/>
        <w:jc w:val="left"/>
        <w:rPr>
          <w:b/>
          <w:sz w:val="20"/>
        </w:rPr>
      </w:pPr>
      <w:r>
        <w:rPr>
          <w:b/>
          <w:color w:val="231F20"/>
          <w:sz w:val="20"/>
        </w:rPr>
        <w:t>Valuation</w:t>
      </w:r>
      <w:r>
        <w:rPr>
          <w:b/>
          <w:color w:val="231F20"/>
          <w:spacing w:val="-1"/>
          <w:sz w:val="20"/>
        </w:rPr>
        <w:t> </w:t>
      </w:r>
      <w:r>
        <w:rPr>
          <w:b/>
          <w:color w:val="231F20"/>
          <w:sz w:val="20"/>
        </w:rPr>
        <w:t>technique</w:t>
        <w:tab/>
        <w:t>Unobservable</w:t>
      </w:r>
      <w:r>
        <w:rPr>
          <w:b/>
          <w:color w:val="231F20"/>
          <w:spacing w:val="-1"/>
          <w:sz w:val="20"/>
        </w:rPr>
        <w:t> </w:t>
      </w:r>
      <w:r>
        <w:rPr>
          <w:b/>
          <w:color w:val="231F20"/>
          <w:sz w:val="20"/>
        </w:rPr>
        <w:t>input</w:t>
        <w:tab/>
        <w:t>Period (by year)</w:t>
        <w:tab/>
        <w:t>Range</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8"/>
        <w:gridCol w:w="2276"/>
        <w:gridCol w:w="1149"/>
        <w:gridCol w:w="847"/>
      </w:tblGrid>
      <w:tr>
        <w:trPr>
          <w:trHeight w:val="310" w:hRule="exact"/>
        </w:trPr>
        <w:tc>
          <w:tcPr>
            <w:tcW w:w="4848" w:type="dxa"/>
            <w:tcBorders>
              <w:top w:val="single" w:sz="8" w:space="0" w:color="231F20"/>
            </w:tcBorders>
            <w:shd w:val="clear" w:color="auto" w:fill="D1D3D4"/>
          </w:tcPr>
          <w:p>
            <w:pPr>
              <w:pStyle w:val="TableParagraph"/>
              <w:tabs>
                <w:tab w:pos="3458" w:val="left" w:leader="none"/>
              </w:tabs>
              <w:ind w:left="60"/>
              <w:rPr>
                <w:sz w:val="20"/>
              </w:rPr>
            </w:pPr>
            <w:r>
              <w:rPr>
                <w:color w:val="231F20"/>
                <w:sz w:val="20"/>
              </w:rPr>
              <w:t>Fuel derivatives</w:t>
              <w:tab/>
              <w:t>Option model</w:t>
            </w:r>
          </w:p>
        </w:tc>
        <w:tc>
          <w:tcPr>
            <w:tcW w:w="2276" w:type="dxa"/>
            <w:tcBorders>
              <w:top w:val="single" w:sz="8" w:space="0" w:color="231F20"/>
            </w:tcBorders>
            <w:shd w:val="clear" w:color="auto" w:fill="D1D3D4"/>
          </w:tcPr>
          <w:p>
            <w:pPr>
              <w:pStyle w:val="TableParagraph"/>
              <w:ind w:left="282"/>
              <w:rPr>
                <w:sz w:val="20"/>
              </w:rPr>
            </w:pPr>
            <w:r>
              <w:rPr>
                <w:color w:val="231F20"/>
                <w:sz w:val="20"/>
              </w:rPr>
              <w:t>Implied volatility</w:t>
            </w:r>
          </w:p>
        </w:tc>
        <w:tc>
          <w:tcPr>
            <w:tcW w:w="1149" w:type="dxa"/>
            <w:tcBorders>
              <w:top w:val="single" w:sz="8" w:space="0" w:color="231F20"/>
            </w:tcBorders>
            <w:shd w:val="clear" w:color="auto" w:fill="D1D3D4"/>
          </w:tcPr>
          <w:p>
            <w:pPr>
              <w:pStyle w:val="TableParagraph"/>
              <w:ind w:right="152"/>
              <w:jc w:val="right"/>
              <w:rPr>
                <w:sz w:val="20"/>
              </w:rPr>
            </w:pPr>
            <w:r>
              <w:rPr>
                <w:color w:val="231F20"/>
                <w:sz w:val="20"/>
              </w:rPr>
              <w:t>2017</w:t>
            </w:r>
          </w:p>
        </w:tc>
        <w:tc>
          <w:tcPr>
            <w:tcW w:w="847" w:type="dxa"/>
            <w:tcBorders>
              <w:top w:val="single" w:sz="8" w:space="0" w:color="231F20"/>
            </w:tcBorders>
            <w:shd w:val="clear" w:color="auto" w:fill="D1D3D4"/>
          </w:tcPr>
          <w:p>
            <w:pPr>
              <w:pStyle w:val="TableParagraph"/>
              <w:ind w:right="58"/>
              <w:jc w:val="right"/>
              <w:rPr>
                <w:sz w:val="20"/>
              </w:rPr>
            </w:pPr>
            <w:r>
              <w:rPr>
                <w:color w:val="231F20"/>
                <w:sz w:val="20"/>
              </w:rPr>
              <w:t>16-36%</w:t>
            </w:r>
          </w:p>
        </w:tc>
      </w:tr>
      <w:tr>
        <w:trPr>
          <w:trHeight w:val="300" w:hRule="exact"/>
        </w:trPr>
        <w:tc>
          <w:tcPr>
            <w:tcW w:w="4848" w:type="dxa"/>
          </w:tcPr>
          <w:p>
            <w:pPr/>
          </w:p>
        </w:tc>
        <w:tc>
          <w:tcPr>
            <w:tcW w:w="2276" w:type="dxa"/>
          </w:tcPr>
          <w:p>
            <w:pPr/>
          </w:p>
        </w:tc>
        <w:tc>
          <w:tcPr>
            <w:tcW w:w="1149" w:type="dxa"/>
          </w:tcPr>
          <w:p>
            <w:pPr>
              <w:pStyle w:val="TableParagraph"/>
              <w:ind w:right="151"/>
              <w:jc w:val="right"/>
              <w:rPr>
                <w:sz w:val="20"/>
              </w:rPr>
            </w:pPr>
            <w:r>
              <w:rPr>
                <w:color w:val="231F20"/>
                <w:sz w:val="20"/>
              </w:rPr>
              <w:t>2018</w:t>
            </w:r>
          </w:p>
        </w:tc>
        <w:tc>
          <w:tcPr>
            <w:tcW w:w="847" w:type="dxa"/>
          </w:tcPr>
          <w:p>
            <w:pPr>
              <w:pStyle w:val="TableParagraph"/>
              <w:ind w:right="58"/>
              <w:jc w:val="right"/>
              <w:rPr>
                <w:sz w:val="20"/>
              </w:rPr>
            </w:pPr>
            <w:r>
              <w:rPr>
                <w:color w:val="231F20"/>
                <w:sz w:val="20"/>
              </w:rPr>
              <w:t>20-31%</w:t>
            </w:r>
          </w:p>
        </w:tc>
      </w:tr>
      <w:tr>
        <w:trPr>
          <w:trHeight w:val="300" w:hRule="exact"/>
        </w:trPr>
        <w:tc>
          <w:tcPr>
            <w:tcW w:w="4848" w:type="dxa"/>
            <w:shd w:val="clear" w:color="auto" w:fill="D1D3D4"/>
          </w:tcPr>
          <w:p>
            <w:pPr/>
          </w:p>
        </w:tc>
        <w:tc>
          <w:tcPr>
            <w:tcW w:w="2276" w:type="dxa"/>
            <w:shd w:val="clear" w:color="auto" w:fill="D1D3D4"/>
          </w:tcPr>
          <w:p>
            <w:pPr/>
          </w:p>
        </w:tc>
        <w:tc>
          <w:tcPr>
            <w:tcW w:w="1149" w:type="dxa"/>
            <w:shd w:val="clear" w:color="auto" w:fill="D1D3D4"/>
          </w:tcPr>
          <w:p>
            <w:pPr>
              <w:pStyle w:val="TableParagraph"/>
              <w:ind w:right="151"/>
              <w:jc w:val="right"/>
              <w:rPr>
                <w:sz w:val="20"/>
              </w:rPr>
            </w:pPr>
            <w:r>
              <w:rPr>
                <w:color w:val="231F20"/>
                <w:sz w:val="20"/>
              </w:rPr>
              <w:t>2019</w:t>
            </w:r>
          </w:p>
        </w:tc>
        <w:tc>
          <w:tcPr>
            <w:tcW w:w="847" w:type="dxa"/>
            <w:shd w:val="clear" w:color="auto" w:fill="D1D3D4"/>
          </w:tcPr>
          <w:p>
            <w:pPr>
              <w:pStyle w:val="TableParagraph"/>
              <w:ind w:right="58"/>
              <w:jc w:val="right"/>
              <w:rPr>
                <w:sz w:val="20"/>
              </w:rPr>
            </w:pPr>
            <w:r>
              <w:rPr>
                <w:color w:val="231F20"/>
                <w:sz w:val="20"/>
              </w:rPr>
              <w:t>18-24%</w:t>
            </w:r>
          </w:p>
        </w:tc>
      </w:tr>
    </w:tbl>
    <w:p>
      <w:pPr>
        <w:pStyle w:val="BodyText"/>
        <w:spacing w:before="7"/>
        <w:rPr>
          <w:b/>
          <w:sz w:val="25"/>
        </w:rPr>
      </w:pPr>
    </w:p>
    <w:p>
      <w:pPr>
        <w:pStyle w:val="BodyText"/>
        <w:spacing w:line="247" w:lineRule="auto"/>
        <w:ind w:left="120" w:right="117"/>
        <w:jc w:val="both"/>
      </w:pPr>
      <w:r>
        <w:rPr>
          <w:color w:val="231F20"/>
        </w:rPr>
        <w:t>The carrying amounts and estimated fair values of the Company’s long-term debt (including current maturities), as well as the applicable fair value hierarchy tier, at December 31, 2016,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Eight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w:t>
      </w:r>
      <w:r>
        <w:rPr>
          <w:color w:val="231F20"/>
          <w:spacing w:val="-4"/>
        </w:rPr>
        <w:t> </w:t>
      </w:r>
      <w:r>
        <w:rPr>
          <w:color w:val="231F20"/>
        </w:rPr>
        <w:t>items.</w:t>
      </w:r>
    </w:p>
    <w:p>
      <w:pPr>
        <w:pStyle w:val="BodyText"/>
        <w:spacing w:before="1"/>
        <w:rPr>
          <w:sz w:val="12"/>
        </w:rPr>
      </w:pPr>
    </w:p>
    <w:p>
      <w:pPr>
        <w:spacing w:after="0"/>
        <w:rPr>
          <w:sz w:val="12"/>
        </w:rPr>
        <w:sectPr>
          <w:pgSz w:w="11880" w:h="15480"/>
          <w:pgMar w:header="0" w:footer="1240" w:top="1240" w:bottom="1420" w:left="1260" w:right="1260"/>
        </w:sectPr>
      </w:pPr>
    </w:p>
    <w:p>
      <w:pPr>
        <w:pStyle w:val="BodyText"/>
        <w:spacing w:before="5"/>
        <w:rPr>
          <w:sz w:val="29"/>
        </w:rPr>
      </w:pPr>
    </w:p>
    <w:p>
      <w:pPr>
        <w:tabs>
          <w:tab w:pos="5171" w:val="left" w:leader="none"/>
        </w:tabs>
        <w:spacing w:before="1"/>
        <w:ind w:left="120" w:right="0" w:firstLine="0"/>
        <w:jc w:val="left"/>
        <w:rPr>
          <w:b/>
          <w:sz w:val="20"/>
        </w:rPr>
      </w:pPr>
      <w:r>
        <w:rPr>
          <w:b/>
          <w:color w:val="231F20"/>
          <w:sz w:val="20"/>
        </w:rPr>
        <w:t>(in millions)</w:t>
        <w:tab/>
        <w:t>Carrying value</w:t>
      </w:r>
    </w:p>
    <w:p>
      <w:pPr>
        <w:spacing w:line="249" w:lineRule="auto" w:before="99"/>
        <w:ind w:left="447" w:right="-18" w:hanging="387"/>
        <w:jc w:val="left"/>
        <w:rPr>
          <w:b/>
          <w:sz w:val="20"/>
        </w:rPr>
      </w:pPr>
      <w:r>
        <w:rPr/>
        <w:br w:type="column"/>
      </w:r>
      <w:r>
        <w:rPr>
          <w:b/>
          <w:color w:val="231F20"/>
          <w:sz w:val="20"/>
        </w:rPr>
        <w:t>Estimated fair</w:t>
      </w:r>
      <w:r>
        <w:rPr>
          <w:b/>
          <w:color w:val="231F20"/>
          <w:w w:val="100"/>
          <w:sz w:val="20"/>
        </w:rPr>
        <w:t> </w:t>
      </w:r>
      <w:r>
        <w:rPr>
          <w:b/>
          <w:color w:val="231F20"/>
          <w:sz w:val="20"/>
        </w:rPr>
        <w:t>value</w:t>
      </w:r>
    </w:p>
    <w:p>
      <w:pPr>
        <w:spacing w:line="249" w:lineRule="auto" w:before="99"/>
        <w:ind w:left="299" w:right="132" w:hanging="239"/>
        <w:jc w:val="left"/>
        <w:rPr>
          <w:b/>
          <w:sz w:val="20"/>
        </w:rPr>
      </w:pPr>
      <w:r>
        <w:rPr/>
        <w:br w:type="column"/>
      </w:r>
      <w:r>
        <w:rPr>
          <w:b/>
          <w:color w:val="231F20"/>
          <w:sz w:val="20"/>
        </w:rPr>
        <w:t>Fair value level hierarchy</w:t>
      </w:r>
    </w:p>
    <w:p>
      <w:pPr>
        <w:spacing w:after="0" w:line="249" w:lineRule="auto"/>
        <w:jc w:val="left"/>
        <w:rPr>
          <w:sz w:val="20"/>
        </w:rPr>
        <w:sectPr>
          <w:type w:val="continuous"/>
          <w:pgSz w:w="11880" w:h="15480"/>
          <w:pgMar w:top="1260" w:bottom="280" w:left="1260" w:right="1260"/>
          <w:cols w:num="3" w:equalWidth="0">
            <w:col w:w="6467" w:space="40"/>
            <w:col w:w="1290" w:space="40"/>
            <w:col w:w="1523"/>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9"/>
        <w:gridCol w:w="1983"/>
        <w:gridCol w:w="947"/>
        <w:gridCol w:w="1211"/>
      </w:tblGrid>
      <w:tr>
        <w:trPr>
          <w:trHeight w:val="310" w:hRule="exact"/>
        </w:trPr>
        <w:tc>
          <w:tcPr>
            <w:tcW w:w="4979" w:type="dxa"/>
            <w:tcBorders>
              <w:top w:val="single" w:sz="8" w:space="0" w:color="231F20"/>
            </w:tcBorders>
            <w:shd w:val="clear" w:color="auto" w:fill="D1D3D4"/>
          </w:tcPr>
          <w:p>
            <w:pPr>
              <w:pStyle w:val="TableParagraph"/>
              <w:ind w:left="80"/>
              <w:rPr>
                <w:sz w:val="20"/>
              </w:rPr>
            </w:pPr>
            <w:r>
              <w:rPr>
                <w:color w:val="231F20"/>
                <w:sz w:val="20"/>
              </w:rPr>
              <w:t>5.125% Notes due 2017</w:t>
            </w:r>
          </w:p>
        </w:tc>
        <w:tc>
          <w:tcPr>
            <w:tcW w:w="1983" w:type="dxa"/>
            <w:tcBorders>
              <w:top w:val="single" w:sz="8" w:space="0" w:color="231F20"/>
            </w:tcBorders>
            <w:shd w:val="clear" w:color="auto" w:fill="D1D3D4"/>
          </w:tcPr>
          <w:p>
            <w:pPr>
              <w:pStyle w:val="TableParagraph"/>
              <w:tabs>
                <w:tab w:pos="1098" w:val="left" w:leader="none"/>
              </w:tabs>
              <w:ind w:left="43"/>
              <w:rPr>
                <w:sz w:val="20"/>
              </w:rPr>
            </w:pPr>
            <w:r>
              <w:rPr>
                <w:color w:val="231F20"/>
                <w:sz w:val="20"/>
              </w:rPr>
              <w:t>$</w:t>
              <w:tab/>
              <w:t>301</w:t>
            </w:r>
            <w:r>
              <w:rPr>
                <w:color w:val="231F20"/>
                <w:spacing w:val="10"/>
                <w:sz w:val="20"/>
              </w:rPr>
              <w:t> </w:t>
            </w:r>
            <w:r>
              <w:rPr>
                <w:color w:val="231F20"/>
                <w:sz w:val="20"/>
              </w:rPr>
              <w:t>$</w:t>
            </w:r>
          </w:p>
        </w:tc>
        <w:tc>
          <w:tcPr>
            <w:tcW w:w="947" w:type="dxa"/>
            <w:tcBorders>
              <w:top w:val="single" w:sz="8" w:space="0" w:color="231F20"/>
            </w:tcBorders>
            <w:shd w:val="clear" w:color="auto" w:fill="D1D3D4"/>
          </w:tcPr>
          <w:p>
            <w:pPr>
              <w:pStyle w:val="TableParagraph"/>
              <w:ind w:right="219"/>
              <w:jc w:val="right"/>
              <w:rPr>
                <w:sz w:val="20"/>
              </w:rPr>
            </w:pPr>
            <w:r>
              <w:rPr>
                <w:color w:val="231F20"/>
                <w:sz w:val="20"/>
              </w:rPr>
              <w:t>303</w:t>
            </w:r>
          </w:p>
        </w:tc>
        <w:tc>
          <w:tcPr>
            <w:tcW w:w="1211" w:type="dxa"/>
            <w:tcBorders>
              <w:top w:val="single" w:sz="8" w:space="0" w:color="231F20"/>
            </w:tcBorders>
            <w:shd w:val="clear" w:color="auto" w:fill="D1D3D4"/>
          </w:tcPr>
          <w:p>
            <w:pPr>
              <w:pStyle w:val="TableParagraph"/>
              <w:ind w:left="221"/>
              <w:rPr>
                <w:sz w:val="20"/>
              </w:rPr>
            </w:pPr>
            <w:r>
              <w:rPr>
                <w:color w:val="231F20"/>
                <w:sz w:val="20"/>
              </w:rPr>
              <w:t>Level 2</w:t>
            </w:r>
          </w:p>
        </w:tc>
      </w:tr>
      <w:tr>
        <w:trPr>
          <w:trHeight w:val="300" w:hRule="exact"/>
        </w:trPr>
        <w:tc>
          <w:tcPr>
            <w:tcW w:w="4979" w:type="dxa"/>
          </w:tcPr>
          <w:p>
            <w:pPr>
              <w:pStyle w:val="TableParagraph"/>
              <w:ind w:left="80"/>
              <w:rPr>
                <w:sz w:val="20"/>
              </w:rPr>
            </w:pPr>
            <w:r>
              <w:rPr>
                <w:color w:val="231F20"/>
                <w:sz w:val="20"/>
              </w:rPr>
              <w:t>French Credit Agreements due 2018 - 2.23%</w:t>
            </w:r>
          </w:p>
        </w:tc>
        <w:tc>
          <w:tcPr>
            <w:tcW w:w="1983" w:type="dxa"/>
          </w:tcPr>
          <w:p>
            <w:pPr>
              <w:pStyle w:val="TableParagraph"/>
              <w:ind w:left="1198"/>
              <w:rPr>
                <w:sz w:val="20"/>
              </w:rPr>
            </w:pPr>
            <w:r>
              <w:rPr>
                <w:color w:val="231F20"/>
                <w:sz w:val="20"/>
              </w:rPr>
              <w:t>14</w:t>
            </w:r>
          </w:p>
        </w:tc>
        <w:tc>
          <w:tcPr>
            <w:tcW w:w="947" w:type="dxa"/>
          </w:tcPr>
          <w:p>
            <w:pPr>
              <w:pStyle w:val="TableParagraph"/>
              <w:ind w:right="219"/>
              <w:jc w:val="right"/>
              <w:rPr>
                <w:sz w:val="20"/>
              </w:rPr>
            </w:pPr>
            <w:r>
              <w:rPr>
                <w:color w:val="231F20"/>
                <w:sz w:val="20"/>
              </w:rPr>
              <w:t>14</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Fixed-rate 737 Aircraft Notes payable through 2018 - 7.03%</w:t>
            </w:r>
          </w:p>
        </w:tc>
        <w:tc>
          <w:tcPr>
            <w:tcW w:w="1983" w:type="dxa"/>
            <w:shd w:val="clear" w:color="auto" w:fill="D1D3D4"/>
          </w:tcPr>
          <w:p>
            <w:pPr>
              <w:pStyle w:val="TableParagraph"/>
              <w:ind w:left="1298"/>
              <w:rPr>
                <w:sz w:val="20"/>
              </w:rPr>
            </w:pPr>
            <w:r>
              <w:rPr>
                <w:color w:val="231F20"/>
                <w:sz w:val="20"/>
              </w:rPr>
              <w:t>8</w:t>
            </w:r>
          </w:p>
        </w:tc>
        <w:tc>
          <w:tcPr>
            <w:tcW w:w="947" w:type="dxa"/>
            <w:shd w:val="clear" w:color="auto" w:fill="D1D3D4"/>
          </w:tcPr>
          <w:p>
            <w:pPr>
              <w:pStyle w:val="TableParagraph"/>
              <w:ind w:right="219"/>
              <w:jc w:val="right"/>
              <w:rPr>
                <w:sz w:val="20"/>
              </w:rPr>
            </w:pPr>
            <w:r>
              <w:rPr>
                <w:color w:val="231F20"/>
                <w:sz w:val="20"/>
              </w:rPr>
              <w:t>8</w:t>
            </w:r>
          </w:p>
        </w:tc>
        <w:tc>
          <w:tcPr>
            <w:tcW w:w="1211" w:type="dxa"/>
            <w:shd w:val="clear" w:color="auto" w:fill="D1D3D4"/>
          </w:tcPr>
          <w:p>
            <w:pPr>
              <w:pStyle w:val="TableParagraph"/>
              <w:ind w:left="221"/>
              <w:rPr>
                <w:sz w:val="20"/>
              </w:rPr>
            </w:pPr>
            <w:r>
              <w:rPr>
                <w:color w:val="231F20"/>
                <w:sz w:val="20"/>
              </w:rPr>
              <w:t>Level 3</w:t>
            </w:r>
          </w:p>
        </w:tc>
      </w:tr>
      <w:tr>
        <w:trPr>
          <w:trHeight w:val="300" w:hRule="exact"/>
        </w:trPr>
        <w:tc>
          <w:tcPr>
            <w:tcW w:w="4979" w:type="dxa"/>
          </w:tcPr>
          <w:p>
            <w:pPr>
              <w:pStyle w:val="TableParagraph"/>
              <w:ind w:left="80"/>
              <w:rPr>
                <w:sz w:val="20"/>
              </w:rPr>
            </w:pPr>
            <w:r>
              <w:rPr>
                <w:color w:val="231F20"/>
                <w:sz w:val="20"/>
              </w:rPr>
              <w:t>2.75% Notes due 2019</w:t>
            </w:r>
          </w:p>
        </w:tc>
        <w:tc>
          <w:tcPr>
            <w:tcW w:w="1983" w:type="dxa"/>
          </w:tcPr>
          <w:p>
            <w:pPr>
              <w:pStyle w:val="TableParagraph"/>
              <w:ind w:left="1098"/>
              <w:rPr>
                <w:sz w:val="20"/>
              </w:rPr>
            </w:pPr>
            <w:r>
              <w:rPr>
                <w:color w:val="231F20"/>
                <w:sz w:val="20"/>
              </w:rPr>
              <w:t>301</w:t>
            </w:r>
          </w:p>
        </w:tc>
        <w:tc>
          <w:tcPr>
            <w:tcW w:w="947" w:type="dxa"/>
          </w:tcPr>
          <w:p>
            <w:pPr>
              <w:pStyle w:val="TableParagraph"/>
              <w:ind w:right="219"/>
              <w:jc w:val="right"/>
              <w:rPr>
                <w:sz w:val="20"/>
              </w:rPr>
            </w:pPr>
            <w:r>
              <w:rPr>
                <w:color w:val="231F20"/>
                <w:sz w:val="20"/>
              </w:rPr>
              <w:t>306</w:t>
            </w:r>
          </w:p>
        </w:tc>
        <w:tc>
          <w:tcPr>
            <w:tcW w:w="1211" w:type="dxa"/>
          </w:tcPr>
          <w:p>
            <w:pPr>
              <w:pStyle w:val="TableParagraph"/>
              <w:ind w:left="221"/>
              <w:rPr>
                <w:sz w:val="20"/>
              </w:rPr>
            </w:pPr>
            <w:r>
              <w:rPr>
                <w:color w:val="231F20"/>
                <w:sz w:val="20"/>
              </w:rPr>
              <w:t>Level 2</w:t>
            </w:r>
          </w:p>
        </w:tc>
      </w:tr>
      <w:tr>
        <w:trPr>
          <w:trHeight w:val="300" w:hRule="exact"/>
        </w:trPr>
        <w:tc>
          <w:tcPr>
            <w:tcW w:w="4979" w:type="dxa"/>
            <w:shd w:val="clear" w:color="auto" w:fill="D1D3D4"/>
          </w:tcPr>
          <w:p>
            <w:pPr>
              <w:pStyle w:val="TableParagraph"/>
              <w:ind w:left="80"/>
              <w:rPr>
                <w:sz w:val="20"/>
              </w:rPr>
            </w:pPr>
            <w:r>
              <w:rPr>
                <w:color w:val="231F20"/>
                <w:sz w:val="20"/>
              </w:rPr>
              <w:t>Term Loan Agreement payable through 2019 - 6.315%</w:t>
            </w:r>
          </w:p>
        </w:tc>
        <w:tc>
          <w:tcPr>
            <w:tcW w:w="1983" w:type="dxa"/>
            <w:shd w:val="clear" w:color="auto" w:fill="D1D3D4"/>
          </w:tcPr>
          <w:p>
            <w:pPr>
              <w:pStyle w:val="TableParagraph"/>
              <w:ind w:left="1098"/>
              <w:rPr>
                <w:sz w:val="20"/>
              </w:rPr>
            </w:pPr>
            <w:r>
              <w:rPr>
                <w:color w:val="231F20"/>
                <w:sz w:val="20"/>
              </w:rPr>
              <w:t>106</w:t>
            </w:r>
          </w:p>
        </w:tc>
        <w:tc>
          <w:tcPr>
            <w:tcW w:w="947" w:type="dxa"/>
            <w:shd w:val="clear" w:color="auto" w:fill="D1D3D4"/>
          </w:tcPr>
          <w:p>
            <w:pPr>
              <w:pStyle w:val="TableParagraph"/>
              <w:ind w:right="219"/>
              <w:jc w:val="right"/>
              <w:rPr>
                <w:sz w:val="20"/>
              </w:rPr>
            </w:pPr>
            <w:r>
              <w:rPr>
                <w:color w:val="231F20"/>
                <w:sz w:val="20"/>
              </w:rPr>
              <w:t>107</w:t>
            </w:r>
          </w:p>
        </w:tc>
        <w:tc>
          <w:tcPr>
            <w:tcW w:w="1211" w:type="dxa"/>
            <w:shd w:val="clear" w:color="auto" w:fill="D1D3D4"/>
          </w:tcPr>
          <w:p>
            <w:pPr>
              <w:pStyle w:val="TableParagraph"/>
              <w:ind w:left="221"/>
              <w:rPr>
                <w:sz w:val="20"/>
              </w:rPr>
            </w:pPr>
            <w:r>
              <w:rPr>
                <w:color w:val="231F20"/>
                <w:sz w:val="20"/>
              </w:rPr>
              <w:t>Level 3</w:t>
            </w:r>
          </w:p>
        </w:tc>
      </w:tr>
      <w:tr>
        <w:trPr>
          <w:trHeight w:val="300" w:hRule="exact"/>
        </w:trPr>
        <w:tc>
          <w:tcPr>
            <w:tcW w:w="4979" w:type="dxa"/>
          </w:tcPr>
          <w:p>
            <w:pPr>
              <w:pStyle w:val="TableParagraph"/>
              <w:ind w:left="80"/>
              <w:rPr>
                <w:sz w:val="20"/>
              </w:rPr>
            </w:pPr>
            <w:r>
              <w:rPr>
                <w:color w:val="231F20"/>
                <w:sz w:val="20"/>
              </w:rPr>
              <w:t>Term Loan Agreement payable through 2019 - 4.84%</w:t>
            </w:r>
          </w:p>
        </w:tc>
        <w:tc>
          <w:tcPr>
            <w:tcW w:w="1983" w:type="dxa"/>
          </w:tcPr>
          <w:p>
            <w:pPr>
              <w:pStyle w:val="TableParagraph"/>
              <w:ind w:left="1198"/>
              <w:rPr>
                <w:sz w:val="20"/>
              </w:rPr>
            </w:pPr>
            <w:r>
              <w:rPr>
                <w:color w:val="231F20"/>
                <w:sz w:val="20"/>
              </w:rPr>
              <w:t>28</w:t>
            </w:r>
          </w:p>
        </w:tc>
        <w:tc>
          <w:tcPr>
            <w:tcW w:w="947" w:type="dxa"/>
          </w:tcPr>
          <w:p>
            <w:pPr>
              <w:pStyle w:val="TableParagraph"/>
              <w:ind w:right="219"/>
              <w:jc w:val="right"/>
              <w:rPr>
                <w:sz w:val="20"/>
              </w:rPr>
            </w:pPr>
            <w:r>
              <w:rPr>
                <w:color w:val="231F20"/>
                <w:sz w:val="20"/>
              </w:rPr>
              <w:t>29</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2.65% Notes due 2020</w:t>
            </w:r>
          </w:p>
        </w:tc>
        <w:tc>
          <w:tcPr>
            <w:tcW w:w="1983" w:type="dxa"/>
            <w:shd w:val="clear" w:color="auto" w:fill="D1D3D4"/>
          </w:tcPr>
          <w:p>
            <w:pPr>
              <w:pStyle w:val="TableParagraph"/>
              <w:ind w:left="1098"/>
              <w:rPr>
                <w:sz w:val="20"/>
              </w:rPr>
            </w:pPr>
            <w:r>
              <w:rPr>
                <w:color w:val="231F20"/>
                <w:sz w:val="20"/>
              </w:rPr>
              <w:t>492</w:t>
            </w:r>
          </w:p>
        </w:tc>
        <w:tc>
          <w:tcPr>
            <w:tcW w:w="947" w:type="dxa"/>
            <w:shd w:val="clear" w:color="auto" w:fill="D1D3D4"/>
          </w:tcPr>
          <w:p>
            <w:pPr>
              <w:pStyle w:val="TableParagraph"/>
              <w:ind w:right="219"/>
              <w:jc w:val="right"/>
              <w:rPr>
                <w:sz w:val="20"/>
              </w:rPr>
            </w:pPr>
            <w:r>
              <w:rPr>
                <w:color w:val="231F20"/>
                <w:sz w:val="20"/>
              </w:rPr>
              <w:t>493</w:t>
            </w:r>
          </w:p>
        </w:tc>
        <w:tc>
          <w:tcPr>
            <w:tcW w:w="1211" w:type="dxa"/>
            <w:shd w:val="clear" w:color="auto" w:fill="D1D3D4"/>
          </w:tcPr>
          <w:p>
            <w:pPr>
              <w:pStyle w:val="TableParagraph"/>
              <w:ind w:left="221"/>
              <w:rPr>
                <w:sz w:val="20"/>
              </w:rPr>
            </w:pPr>
            <w:r>
              <w:rPr>
                <w:color w:val="231F20"/>
                <w:sz w:val="20"/>
              </w:rPr>
              <w:t>Level 2</w:t>
            </w:r>
          </w:p>
        </w:tc>
      </w:tr>
      <w:tr>
        <w:trPr>
          <w:trHeight w:val="300" w:hRule="exact"/>
        </w:trPr>
        <w:tc>
          <w:tcPr>
            <w:tcW w:w="4979" w:type="dxa"/>
          </w:tcPr>
          <w:p>
            <w:pPr>
              <w:pStyle w:val="TableParagraph"/>
              <w:ind w:left="80"/>
              <w:rPr>
                <w:sz w:val="20"/>
              </w:rPr>
            </w:pPr>
            <w:r>
              <w:rPr>
                <w:color w:val="231F20"/>
                <w:sz w:val="20"/>
              </w:rPr>
              <w:t>Term Loan Agreement payable through 2020 - 5.223%</w:t>
            </w:r>
          </w:p>
        </w:tc>
        <w:tc>
          <w:tcPr>
            <w:tcW w:w="1983" w:type="dxa"/>
          </w:tcPr>
          <w:p>
            <w:pPr>
              <w:pStyle w:val="TableParagraph"/>
              <w:ind w:left="1098"/>
              <w:rPr>
                <w:sz w:val="20"/>
              </w:rPr>
            </w:pPr>
            <w:r>
              <w:rPr>
                <w:color w:val="231F20"/>
                <w:sz w:val="20"/>
              </w:rPr>
              <w:t>284</w:t>
            </w:r>
          </w:p>
        </w:tc>
        <w:tc>
          <w:tcPr>
            <w:tcW w:w="947" w:type="dxa"/>
          </w:tcPr>
          <w:p>
            <w:pPr>
              <w:pStyle w:val="TableParagraph"/>
              <w:ind w:right="219"/>
              <w:jc w:val="right"/>
              <w:rPr>
                <w:sz w:val="20"/>
              </w:rPr>
            </w:pPr>
            <w:r>
              <w:rPr>
                <w:color w:val="231F20"/>
                <w:sz w:val="20"/>
              </w:rPr>
              <w:t>284</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737 Aircraft Notes payable through 2020</w:t>
            </w:r>
          </w:p>
        </w:tc>
        <w:tc>
          <w:tcPr>
            <w:tcW w:w="1983" w:type="dxa"/>
            <w:shd w:val="clear" w:color="auto" w:fill="D1D3D4"/>
          </w:tcPr>
          <w:p>
            <w:pPr>
              <w:pStyle w:val="TableParagraph"/>
              <w:ind w:left="1098"/>
              <w:rPr>
                <w:sz w:val="20"/>
              </w:rPr>
            </w:pPr>
            <w:r>
              <w:rPr>
                <w:color w:val="231F20"/>
                <w:sz w:val="20"/>
              </w:rPr>
              <w:t>206</w:t>
            </w:r>
          </w:p>
        </w:tc>
        <w:tc>
          <w:tcPr>
            <w:tcW w:w="947" w:type="dxa"/>
            <w:shd w:val="clear" w:color="auto" w:fill="D1D3D4"/>
          </w:tcPr>
          <w:p>
            <w:pPr>
              <w:pStyle w:val="TableParagraph"/>
              <w:ind w:right="219"/>
              <w:jc w:val="right"/>
              <w:rPr>
                <w:sz w:val="20"/>
              </w:rPr>
            </w:pPr>
            <w:r>
              <w:rPr>
                <w:color w:val="231F20"/>
                <w:sz w:val="20"/>
              </w:rPr>
              <w:t>204</w:t>
            </w:r>
          </w:p>
        </w:tc>
        <w:tc>
          <w:tcPr>
            <w:tcW w:w="1211" w:type="dxa"/>
            <w:shd w:val="clear" w:color="auto" w:fill="D1D3D4"/>
          </w:tcPr>
          <w:p>
            <w:pPr>
              <w:pStyle w:val="TableParagraph"/>
              <w:ind w:left="221"/>
              <w:rPr>
                <w:sz w:val="20"/>
              </w:rPr>
            </w:pPr>
            <w:r>
              <w:rPr>
                <w:color w:val="231F20"/>
                <w:sz w:val="20"/>
              </w:rPr>
              <w:t>Level 3</w:t>
            </w:r>
          </w:p>
        </w:tc>
      </w:tr>
      <w:tr>
        <w:trPr>
          <w:trHeight w:val="300" w:hRule="exact"/>
        </w:trPr>
        <w:tc>
          <w:tcPr>
            <w:tcW w:w="4979" w:type="dxa"/>
          </w:tcPr>
          <w:p>
            <w:pPr>
              <w:pStyle w:val="TableParagraph"/>
              <w:ind w:left="80"/>
              <w:rPr>
                <w:sz w:val="20"/>
              </w:rPr>
            </w:pPr>
            <w:r>
              <w:rPr>
                <w:color w:val="231F20"/>
                <w:sz w:val="20"/>
              </w:rPr>
              <w:t>Term Loan Agreements payable through 2021 - 7.94%</w:t>
            </w:r>
          </w:p>
        </w:tc>
        <w:tc>
          <w:tcPr>
            <w:tcW w:w="1983" w:type="dxa"/>
          </w:tcPr>
          <w:p>
            <w:pPr>
              <w:pStyle w:val="TableParagraph"/>
              <w:ind w:left="1198"/>
              <w:rPr>
                <w:sz w:val="20"/>
              </w:rPr>
            </w:pPr>
            <w:r>
              <w:rPr>
                <w:color w:val="231F20"/>
                <w:sz w:val="20"/>
              </w:rPr>
              <w:t>20</w:t>
            </w:r>
          </w:p>
        </w:tc>
        <w:tc>
          <w:tcPr>
            <w:tcW w:w="947" w:type="dxa"/>
          </w:tcPr>
          <w:p>
            <w:pPr>
              <w:pStyle w:val="TableParagraph"/>
              <w:ind w:right="219"/>
              <w:jc w:val="right"/>
              <w:rPr>
                <w:sz w:val="20"/>
              </w:rPr>
            </w:pPr>
            <w:r>
              <w:rPr>
                <w:color w:val="231F20"/>
                <w:sz w:val="20"/>
              </w:rPr>
              <w:t>22</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Pass Through Certificates due 2022 - 6.24%</w:t>
            </w:r>
          </w:p>
        </w:tc>
        <w:tc>
          <w:tcPr>
            <w:tcW w:w="1983" w:type="dxa"/>
            <w:shd w:val="clear" w:color="auto" w:fill="D1D3D4"/>
          </w:tcPr>
          <w:p>
            <w:pPr>
              <w:pStyle w:val="TableParagraph"/>
              <w:ind w:left="1098"/>
              <w:rPr>
                <w:sz w:val="20"/>
              </w:rPr>
            </w:pPr>
            <w:r>
              <w:rPr>
                <w:color w:val="231F20"/>
                <w:sz w:val="20"/>
              </w:rPr>
              <w:t>324</w:t>
            </w:r>
          </w:p>
        </w:tc>
        <w:tc>
          <w:tcPr>
            <w:tcW w:w="947" w:type="dxa"/>
            <w:shd w:val="clear" w:color="auto" w:fill="D1D3D4"/>
          </w:tcPr>
          <w:p>
            <w:pPr>
              <w:pStyle w:val="TableParagraph"/>
              <w:ind w:right="219"/>
              <w:jc w:val="right"/>
              <w:rPr>
                <w:sz w:val="20"/>
              </w:rPr>
            </w:pPr>
            <w:r>
              <w:rPr>
                <w:color w:val="231F20"/>
                <w:sz w:val="20"/>
              </w:rPr>
              <w:t>362</w:t>
            </w:r>
          </w:p>
        </w:tc>
        <w:tc>
          <w:tcPr>
            <w:tcW w:w="1211" w:type="dxa"/>
            <w:shd w:val="clear" w:color="auto" w:fill="D1D3D4"/>
          </w:tcPr>
          <w:p>
            <w:pPr>
              <w:pStyle w:val="TableParagraph"/>
              <w:ind w:left="221"/>
              <w:rPr>
                <w:sz w:val="20"/>
              </w:rPr>
            </w:pPr>
            <w:r>
              <w:rPr>
                <w:color w:val="231F20"/>
                <w:sz w:val="20"/>
              </w:rPr>
              <w:t>Level 2</w:t>
            </w:r>
          </w:p>
        </w:tc>
      </w:tr>
      <w:tr>
        <w:trPr>
          <w:trHeight w:val="300" w:hRule="exact"/>
        </w:trPr>
        <w:tc>
          <w:tcPr>
            <w:tcW w:w="4979" w:type="dxa"/>
          </w:tcPr>
          <w:p>
            <w:pPr>
              <w:pStyle w:val="TableParagraph"/>
              <w:ind w:left="80"/>
              <w:rPr>
                <w:sz w:val="20"/>
              </w:rPr>
            </w:pPr>
            <w:r>
              <w:rPr>
                <w:color w:val="231F20"/>
                <w:sz w:val="20"/>
              </w:rPr>
              <w:t>Term Loan Agreement payable through 2026 - 2.36%</w:t>
            </w:r>
          </w:p>
        </w:tc>
        <w:tc>
          <w:tcPr>
            <w:tcW w:w="1983" w:type="dxa"/>
          </w:tcPr>
          <w:p>
            <w:pPr>
              <w:pStyle w:val="TableParagraph"/>
              <w:ind w:left="1098"/>
              <w:rPr>
                <w:sz w:val="20"/>
              </w:rPr>
            </w:pPr>
            <w:r>
              <w:rPr>
                <w:color w:val="231F20"/>
                <w:sz w:val="20"/>
              </w:rPr>
              <w:t>215</w:t>
            </w:r>
          </w:p>
        </w:tc>
        <w:tc>
          <w:tcPr>
            <w:tcW w:w="947" w:type="dxa"/>
          </w:tcPr>
          <w:p>
            <w:pPr>
              <w:pStyle w:val="TableParagraph"/>
              <w:ind w:right="219"/>
              <w:jc w:val="right"/>
              <w:rPr>
                <w:sz w:val="20"/>
              </w:rPr>
            </w:pPr>
            <w:r>
              <w:rPr>
                <w:color w:val="231F20"/>
                <w:sz w:val="20"/>
              </w:rPr>
              <w:t>215</w:t>
            </w:r>
          </w:p>
        </w:tc>
        <w:tc>
          <w:tcPr>
            <w:tcW w:w="1211" w:type="dxa"/>
          </w:tcPr>
          <w:p>
            <w:pPr>
              <w:pStyle w:val="TableParagraph"/>
              <w:ind w:left="221"/>
              <w:rPr>
                <w:sz w:val="20"/>
              </w:rPr>
            </w:pPr>
            <w:r>
              <w:rPr>
                <w:color w:val="231F20"/>
                <w:sz w:val="20"/>
              </w:rPr>
              <w:t>Level 3</w:t>
            </w:r>
          </w:p>
        </w:tc>
      </w:tr>
      <w:tr>
        <w:trPr>
          <w:trHeight w:val="300" w:hRule="exact"/>
        </w:trPr>
        <w:tc>
          <w:tcPr>
            <w:tcW w:w="4979" w:type="dxa"/>
            <w:shd w:val="clear" w:color="auto" w:fill="D1D3D4"/>
          </w:tcPr>
          <w:p>
            <w:pPr>
              <w:pStyle w:val="TableParagraph"/>
              <w:ind w:left="80"/>
              <w:rPr>
                <w:sz w:val="20"/>
              </w:rPr>
            </w:pPr>
            <w:r>
              <w:rPr>
                <w:color w:val="231F20"/>
                <w:sz w:val="20"/>
              </w:rPr>
              <w:t>3.00% Notes due 2026</w:t>
            </w:r>
          </w:p>
        </w:tc>
        <w:tc>
          <w:tcPr>
            <w:tcW w:w="1983" w:type="dxa"/>
            <w:shd w:val="clear" w:color="auto" w:fill="D1D3D4"/>
          </w:tcPr>
          <w:p>
            <w:pPr>
              <w:pStyle w:val="TableParagraph"/>
              <w:ind w:left="1098"/>
              <w:rPr>
                <w:sz w:val="20"/>
              </w:rPr>
            </w:pPr>
            <w:r>
              <w:rPr>
                <w:color w:val="231F20"/>
                <w:sz w:val="20"/>
              </w:rPr>
              <w:t>300</w:t>
            </w:r>
          </w:p>
        </w:tc>
        <w:tc>
          <w:tcPr>
            <w:tcW w:w="947" w:type="dxa"/>
            <w:shd w:val="clear" w:color="auto" w:fill="D1D3D4"/>
          </w:tcPr>
          <w:p>
            <w:pPr>
              <w:pStyle w:val="TableParagraph"/>
              <w:ind w:right="219"/>
              <w:jc w:val="right"/>
              <w:rPr>
                <w:sz w:val="20"/>
              </w:rPr>
            </w:pPr>
            <w:r>
              <w:rPr>
                <w:color w:val="231F20"/>
                <w:sz w:val="20"/>
              </w:rPr>
              <w:t>284</w:t>
            </w:r>
          </w:p>
        </w:tc>
        <w:tc>
          <w:tcPr>
            <w:tcW w:w="1211" w:type="dxa"/>
            <w:shd w:val="clear" w:color="auto" w:fill="D1D3D4"/>
          </w:tcPr>
          <w:p>
            <w:pPr>
              <w:pStyle w:val="TableParagraph"/>
              <w:ind w:left="221"/>
              <w:rPr>
                <w:sz w:val="20"/>
              </w:rPr>
            </w:pPr>
            <w:r>
              <w:rPr>
                <w:color w:val="231F20"/>
                <w:sz w:val="20"/>
              </w:rPr>
              <w:t>Level 2</w:t>
            </w:r>
          </w:p>
        </w:tc>
      </w:tr>
      <w:tr>
        <w:trPr>
          <w:trHeight w:val="284" w:hRule="exact"/>
        </w:trPr>
        <w:tc>
          <w:tcPr>
            <w:tcW w:w="4979" w:type="dxa"/>
          </w:tcPr>
          <w:p>
            <w:pPr>
              <w:pStyle w:val="TableParagraph"/>
              <w:ind w:left="80"/>
              <w:rPr>
                <w:sz w:val="20"/>
              </w:rPr>
            </w:pPr>
            <w:r>
              <w:rPr>
                <w:color w:val="231F20"/>
                <w:sz w:val="20"/>
              </w:rPr>
              <w:t>7.375% Debentures due 2027</w:t>
            </w:r>
          </w:p>
        </w:tc>
        <w:tc>
          <w:tcPr>
            <w:tcW w:w="1983" w:type="dxa"/>
          </w:tcPr>
          <w:p>
            <w:pPr>
              <w:pStyle w:val="TableParagraph"/>
              <w:ind w:left="1098"/>
              <w:rPr>
                <w:sz w:val="20"/>
              </w:rPr>
            </w:pPr>
            <w:r>
              <w:rPr>
                <w:color w:val="231F20"/>
                <w:sz w:val="20"/>
              </w:rPr>
              <w:t>130</w:t>
            </w:r>
          </w:p>
        </w:tc>
        <w:tc>
          <w:tcPr>
            <w:tcW w:w="947" w:type="dxa"/>
          </w:tcPr>
          <w:p>
            <w:pPr>
              <w:pStyle w:val="TableParagraph"/>
              <w:ind w:right="219"/>
              <w:jc w:val="right"/>
              <w:rPr>
                <w:sz w:val="20"/>
              </w:rPr>
            </w:pPr>
            <w:r>
              <w:rPr>
                <w:color w:val="231F20"/>
                <w:sz w:val="20"/>
              </w:rPr>
              <w:t>156</w:t>
            </w:r>
          </w:p>
        </w:tc>
        <w:tc>
          <w:tcPr>
            <w:tcW w:w="1211" w:type="dxa"/>
          </w:tcPr>
          <w:p>
            <w:pPr>
              <w:pStyle w:val="TableParagraph"/>
              <w:ind w:left="221"/>
              <w:rPr>
                <w:sz w:val="20"/>
              </w:rPr>
            </w:pPr>
            <w:r>
              <w:rPr>
                <w:color w:val="231F20"/>
                <w:sz w:val="20"/>
              </w:rPr>
              <w:t>Level 2</w:t>
            </w:r>
          </w:p>
        </w:tc>
      </w:tr>
    </w:tbl>
    <w:p>
      <w:pPr>
        <w:pStyle w:val="BodyText"/>
        <w:spacing w:before="10"/>
        <w:rPr>
          <w:b/>
          <w:sz w:val="19"/>
        </w:rPr>
      </w:pPr>
    </w:p>
    <w:p>
      <w:pPr>
        <w:pStyle w:val="Heading1"/>
        <w:numPr>
          <w:ilvl w:val="0"/>
          <w:numId w:val="16"/>
        </w:numPr>
        <w:tabs>
          <w:tab w:pos="450" w:val="left" w:leader="none"/>
        </w:tabs>
        <w:spacing w:line="240" w:lineRule="auto" w:before="100" w:after="0"/>
        <w:ind w:left="450" w:right="0" w:hanging="330"/>
        <w:jc w:val="left"/>
      </w:pPr>
      <w:r>
        <w:rPr>
          <w:color w:val="231F20"/>
        </w:rPr>
        <w:t>ACCUMULATED OTHER COMPREHENSIVE INCOME</w:t>
      </w:r>
      <w:r>
        <w:rPr>
          <w:color w:val="231F20"/>
          <w:spacing w:val="3"/>
        </w:rPr>
        <w:t> </w:t>
      </w:r>
      <w:r>
        <w:rPr>
          <w:color w:val="231F20"/>
        </w:rPr>
        <w:t>(LOSS)</w:t>
      </w:r>
    </w:p>
    <w:p>
      <w:pPr>
        <w:pStyle w:val="BodyText"/>
        <w:spacing w:before="5"/>
        <w:rPr>
          <w:b/>
          <w:sz w:val="21"/>
        </w:rPr>
      </w:pPr>
    </w:p>
    <w:p>
      <w:pPr>
        <w:pStyle w:val="BodyText"/>
        <w:spacing w:line="247" w:lineRule="auto"/>
        <w:ind w:left="120" w:right="258"/>
      </w:pPr>
      <w:r>
        <w:rPr>
          <w:color w:val="231F20"/>
        </w:rPr>
        <w:t>Comprehensive income includes changes in the fair value of certain financial derivative instruments that qualify for hedge accounting, unrealized gains and losses on certain investments, and actuarial</w:t>
      </w:r>
    </w:p>
    <w:p>
      <w:pPr>
        <w:spacing w:after="0" w:line="247" w:lineRule="auto"/>
        <w:sectPr>
          <w:type w:val="continuous"/>
          <w:pgSz w:w="11880" w:h="15480"/>
          <w:pgMar w:top="1260" w:bottom="280" w:left="1260" w:right="1260"/>
        </w:sectPr>
      </w:pPr>
    </w:p>
    <w:p>
      <w:pPr>
        <w:pStyle w:val="BodyText"/>
        <w:spacing w:line="247" w:lineRule="auto" w:before="74"/>
        <w:ind w:left="120" w:right="258"/>
      </w:pPr>
      <w:bookmarkStart w:name="13. EMPLOYEE RETIREMENT PLANS" w:id="38"/>
      <w:bookmarkEnd w:id="38"/>
      <w:r>
        <w:rPr/>
      </w:r>
      <w:r>
        <w:rPr>
          <w:color w:val="231F20"/>
        </w:rPr>
        <w:t>gains/losses arising from the Company’s postretirement benefit obligation. A rollforward of the amounts included in AOCI, net of taxes, is shown below for 2016 and 2015:</w:t>
      </w:r>
    </w:p>
    <w:p>
      <w:pPr>
        <w:pStyle w:val="BodyText"/>
        <w:rPr>
          <w:sz w:val="12"/>
        </w:rPr>
      </w:pPr>
    </w:p>
    <w:p>
      <w:pPr>
        <w:spacing w:after="0"/>
        <w:rPr>
          <w:sz w:val="12"/>
        </w:rPr>
        <w:sectPr>
          <w:pgSz w:w="11880" w:h="15480"/>
          <w:pgMar w:header="0" w:footer="1240" w:top="1240" w:bottom="1420" w:left="1260" w:right="1260"/>
        </w:sectPr>
      </w:pPr>
    </w:p>
    <w:p>
      <w:pPr>
        <w:pStyle w:val="BodyText"/>
      </w:pPr>
    </w:p>
    <w:p>
      <w:pPr>
        <w:pStyle w:val="BodyText"/>
        <w:spacing w:before="4"/>
        <w:rPr>
          <w:sz w:val="28"/>
        </w:rPr>
      </w:pPr>
    </w:p>
    <w:p>
      <w:pPr>
        <w:spacing w:before="1"/>
        <w:ind w:left="160" w:right="0" w:firstLine="0"/>
        <w:jc w:val="left"/>
        <w:rPr>
          <w:b/>
          <w:sz w:val="20"/>
        </w:rPr>
      </w:pPr>
      <w:r>
        <w:rPr>
          <w:b/>
          <w:color w:val="231F20"/>
          <w:sz w:val="20"/>
        </w:rPr>
        <w:t>(in millions)</w:t>
      </w:r>
    </w:p>
    <w:p>
      <w:pPr>
        <w:pStyle w:val="BodyText"/>
        <w:spacing w:before="6"/>
        <w:rPr>
          <w:b/>
          <w:sz w:val="29"/>
        </w:rPr>
      </w:pPr>
      <w:r>
        <w:rPr/>
        <w:br w:type="column"/>
      </w:r>
      <w:r>
        <w:rPr>
          <w:b/>
          <w:sz w:val="29"/>
        </w:rPr>
      </w:r>
    </w:p>
    <w:p>
      <w:pPr>
        <w:spacing w:line="249" w:lineRule="auto" w:before="0"/>
        <w:ind w:left="160" w:right="-20" w:firstLine="278"/>
        <w:jc w:val="left"/>
        <w:rPr>
          <w:b/>
          <w:sz w:val="20"/>
        </w:rPr>
      </w:pPr>
      <w:r>
        <w:rPr>
          <w:b/>
          <w:color w:val="231F20"/>
          <w:sz w:val="20"/>
        </w:rPr>
        <w:t>Fuel derivatives</w:t>
      </w:r>
    </w:p>
    <w:p>
      <w:pPr>
        <w:spacing w:line="249" w:lineRule="auto" w:before="99"/>
        <w:ind w:left="81" w:right="0" w:hanging="1"/>
        <w:jc w:val="center"/>
        <w:rPr>
          <w:b/>
          <w:sz w:val="20"/>
        </w:rPr>
      </w:pPr>
      <w:r>
        <w:rPr/>
        <w:br w:type="column"/>
      </w:r>
      <w:r>
        <w:rPr>
          <w:b/>
          <w:color w:val="231F20"/>
          <w:sz w:val="20"/>
        </w:rPr>
        <w:t>Interest rate derivatives</w:t>
      </w:r>
    </w:p>
    <w:p>
      <w:pPr>
        <w:spacing w:line="249" w:lineRule="auto" w:before="99"/>
        <w:ind w:left="81" w:right="613" w:firstLine="175"/>
        <w:jc w:val="left"/>
        <w:rPr>
          <w:b/>
          <w:sz w:val="20"/>
        </w:rPr>
      </w:pPr>
      <w:r>
        <w:rPr/>
        <w:br w:type="column"/>
      </w:r>
      <w:r>
        <w:rPr>
          <w:b/>
          <w:color w:val="231F20"/>
          <w:sz w:val="20"/>
        </w:rPr>
        <w:t>Defined benefit plan</w:t>
      </w:r>
    </w:p>
    <w:p>
      <w:pPr>
        <w:tabs>
          <w:tab w:pos="1219" w:val="left" w:leader="none"/>
        </w:tabs>
        <w:spacing w:before="0"/>
        <w:ind w:left="361" w:right="0" w:firstLine="0"/>
        <w:jc w:val="left"/>
        <w:rPr>
          <w:b/>
          <w:sz w:val="20"/>
        </w:rPr>
      </w:pPr>
      <w:r>
        <w:rPr>
          <w:b/>
          <w:color w:val="231F20"/>
          <w:sz w:val="20"/>
        </w:rPr>
        <w:t>items</w:t>
        <w:tab/>
        <w:t>Other</w:t>
      </w:r>
    </w:p>
    <w:p>
      <w:pPr>
        <w:spacing w:line="249" w:lineRule="auto" w:before="99"/>
        <w:ind w:left="80" w:right="0" w:firstLine="0"/>
        <w:jc w:val="center"/>
        <w:rPr>
          <w:b/>
          <w:sz w:val="20"/>
        </w:rPr>
      </w:pPr>
      <w:r>
        <w:rPr/>
        <w:br w:type="column"/>
      </w:r>
      <w:r>
        <w:rPr>
          <w:b/>
          <w:color w:val="231F20"/>
          <w:sz w:val="20"/>
        </w:rPr>
        <w:t>Deferred</w:t>
      </w:r>
      <w:r>
        <w:rPr>
          <w:b/>
          <w:color w:val="231F20"/>
          <w:w w:val="100"/>
          <w:sz w:val="20"/>
        </w:rPr>
        <w:t> </w:t>
      </w:r>
      <w:r>
        <w:rPr>
          <w:b/>
          <w:color w:val="231F20"/>
          <w:sz w:val="20"/>
        </w:rPr>
        <w:t>tax impact</w:t>
      </w:r>
    </w:p>
    <w:p>
      <w:pPr>
        <w:spacing w:line="249" w:lineRule="auto" w:before="99"/>
        <w:ind w:left="80" w:right="118" w:firstLine="0"/>
        <w:jc w:val="center"/>
        <w:rPr>
          <w:b/>
          <w:sz w:val="20"/>
        </w:rPr>
      </w:pPr>
      <w:r>
        <w:rPr/>
        <w:br w:type="column"/>
      </w:r>
      <w:r>
        <w:rPr>
          <w:b/>
          <w:color w:val="231F20"/>
          <w:sz w:val="20"/>
        </w:rPr>
        <w:t>Accumulated other</w:t>
      </w:r>
      <w:r>
        <w:rPr>
          <w:b/>
          <w:color w:val="231F20"/>
          <w:w w:val="99"/>
          <w:sz w:val="20"/>
        </w:rPr>
        <w:t> </w:t>
      </w:r>
      <w:r>
        <w:rPr>
          <w:b/>
          <w:color w:val="231F20"/>
          <w:sz w:val="20"/>
        </w:rPr>
        <w:t>comprehensive income (loss)</w:t>
      </w:r>
    </w:p>
    <w:p>
      <w:pPr>
        <w:spacing w:after="0" w:line="249" w:lineRule="auto"/>
        <w:jc w:val="center"/>
        <w:rPr>
          <w:sz w:val="20"/>
        </w:rPr>
        <w:sectPr>
          <w:type w:val="continuous"/>
          <w:pgSz w:w="11880" w:h="15480"/>
          <w:pgMar w:top="1260" w:bottom="280" w:left="1260" w:right="1260"/>
          <w:cols w:num="6" w:equalWidth="0">
            <w:col w:w="1189" w:space="1484"/>
            <w:col w:w="1094" w:space="40"/>
            <w:col w:w="1016" w:space="40"/>
            <w:col w:w="1731" w:space="40"/>
            <w:col w:w="848" w:space="40"/>
            <w:col w:w="1838"/>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13"/>
        <w:gridCol w:w="935"/>
        <w:gridCol w:w="120"/>
        <w:gridCol w:w="935"/>
        <w:gridCol w:w="120"/>
        <w:gridCol w:w="1018"/>
        <w:gridCol w:w="120"/>
        <w:gridCol w:w="512"/>
        <w:gridCol w:w="120"/>
        <w:gridCol w:w="767"/>
        <w:gridCol w:w="120"/>
        <w:gridCol w:w="1640"/>
      </w:tblGrid>
      <w:tr>
        <w:trPr>
          <w:trHeight w:val="310" w:hRule="exact"/>
        </w:trPr>
        <w:tc>
          <w:tcPr>
            <w:tcW w:w="2713" w:type="dxa"/>
            <w:tcBorders>
              <w:top w:val="single" w:sz="8" w:space="0" w:color="231F20"/>
            </w:tcBorders>
            <w:shd w:val="clear" w:color="auto" w:fill="D1D3D4"/>
          </w:tcPr>
          <w:p>
            <w:pPr>
              <w:pStyle w:val="TableParagraph"/>
              <w:spacing w:before="50"/>
              <w:ind w:left="40"/>
              <w:rPr>
                <w:sz w:val="20"/>
              </w:rPr>
            </w:pPr>
            <w:r>
              <w:rPr>
                <w:color w:val="231F20"/>
                <w:sz w:val="20"/>
              </w:rPr>
              <w:t>Balance at December 31, 2014</w:t>
            </w:r>
          </w:p>
        </w:tc>
        <w:tc>
          <w:tcPr>
            <w:tcW w:w="935" w:type="dxa"/>
            <w:tcBorders>
              <w:top w:val="single" w:sz="8" w:space="0" w:color="231F20"/>
            </w:tcBorders>
            <w:shd w:val="clear" w:color="auto" w:fill="D1D3D4"/>
          </w:tcPr>
          <w:p>
            <w:pPr>
              <w:pStyle w:val="TableParagraph"/>
              <w:tabs>
                <w:tab w:pos="300" w:val="left" w:leader="none"/>
              </w:tabs>
              <w:spacing w:before="50"/>
              <w:ind w:right="48"/>
              <w:jc w:val="right"/>
              <w:rPr>
                <w:sz w:val="20"/>
              </w:rPr>
            </w:pPr>
            <w:r>
              <w:rPr>
                <w:color w:val="231F20"/>
                <w:sz w:val="20"/>
              </w:rPr>
              <w:t>$</w:t>
              <w:tab/>
              <w:t>(1,177)</w:t>
            </w:r>
          </w:p>
        </w:tc>
        <w:tc>
          <w:tcPr>
            <w:tcW w:w="120" w:type="dxa"/>
            <w:tcBorders>
              <w:top w:val="single" w:sz="8" w:space="0" w:color="231F20"/>
            </w:tcBorders>
            <w:shd w:val="clear" w:color="auto" w:fill="D1D3D4"/>
          </w:tcPr>
          <w:p>
            <w:pPr/>
          </w:p>
        </w:tc>
        <w:tc>
          <w:tcPr>
            <w:tcW w:w="935" w:type="dxa"/>
            <w:tcBorders>
              <w:top w:val="single" w:sz="8" w:space="0" w:color="231F20"/>
            </w:tcBorders>
            <w:shd w:val="clear" w:color="auto" w:fill="D1D3D4"/>
          </w:tcPr>
          <w:p>
            <w:pPr>
              <w:pStyle w:val="TableParagraph"/>
              <w:tabs>
                <w:tab w:pos="550" w:val="left" w:leader="none"/>
              </w:tabs>
              <w:spacing w:before="50"/>
              <w:ind w:right="48"/>
              <w:jc w:val="right"/>
              <w:rPr>
                <w:sz w:val="20"/>
              </w:rPr>
            </w:pPr>
            <w:r>
              <w:rPr>
                <w:color w:val="231F20"/>
                <w:sz w:val="20"/>
              </w:rPr>
              <w:t>$</w:t>
              <w:tab/>
              <w:t>(45)</w:t>
            </w:r>
          </w:p>
        </w:tc>
        <w:tc>
          <w:tcPr>
            <w:tcW w:w="120" w:type="dxa"/>
            <w:tcBorders>
              <w:top w:val="single" w:sz="8" w:space="0" w:color="231F20"/>
            </w:tcBorders>
            <w:shd w:val="clear" w:color="auto" w:fill="D1D3D4"/>
          </w:tcPr>
          <w:p>
            <w:pPr/>
          </w:p>
        </w:tc>
        <w:tc>
          <w:tcPr>
            <w:tcW w:w="1018" w:type="dxa"/>
            <w:tcBorders>
              <w:top w:val="single" w:sz="8" w:space="0" w:color="231F20"/>
            </w:tcBorders>
            <w:shd w:val="clear" w:color="auto" w:fill="D1D3D4"/>
          </w:tcPr>
          <w:p>
            <w:pPr>
              <w:pStyle w:val="TableParagraph"/>
              <w:tabs>
                <w:tab w:pos="717" w:val="left" w:leader="none"/>
              </w:tabs>
              <w:spacing w:before="50"/>
              <w:ind w:right="97"/>
              <w:jc w:val="right"/>
              <w:rPr>
                <w:sz w:val="20"/>
              </w:rPr>
            </w:pPr>
            <w:r>
              <w:rPr>
                <w:color w:val="231F20"/>
                <w:sz w:val="20"/>
              </w:rPr>
              <w:t>$</w:t>
              <w:tab/>
              <w:t>41</w:t>
            </w:r>
          </w:p>
        </w:tc>
        <w:tc>
          <w:tcPr>
            <w:tcW w:w="120" w:type="dxa"/>
            <w:tcBorders>
              <w:top w:val="single" w:sz="8" w:space="0" w:color="231F20"/>
            </w:tcBorders>
            <w:shd w:val="clear" w:color="auto" w:fill="D1D3D4"/>
          </w:tcPr>
          <w:p>
            <w:pPr/>
          </w:p>
        </w:tc>
        <w:tc>
          <w:tcPr>
            <w:tcW w:w="512" w:type="dxa"/>
            <w:tcBorders>
              <w:top w:val="single" w:sz="8" w:space="0" w:color="231F20"/>
            </w:tcBorders>
            <w:shd w:val="clear" w:color="auto" w:fill="D1D3D4"/>
          </w:tcPr>
          <w:p>
            <w:pPr>
              <w:pStyle w:val="TableParagraph"/>
              <w:tabs>
                <w:tab w:pos="311" w:val="left" w:leader="none"/>
              </w:tabs>
              <w:spacing w:before="50"/>
              <w:rPr>
                <w:sz w:val="20"/>
              </w:rPr>
            </w:pPr>
            <w:r>
              <w:rPr>
                <w:color w:val="231F20"/>
                <w:sz w:val="20"/>
              </w:rPr>
              <w:t>$</w:t>
              <w:tab/>
              <w:t>8</w:t>
            </w:r>
          </w:p>
        </w:tc>
        <w:tc>
          <w:tcPr>
            <w:tcW w:w="120" w:type="dxa"/>
            <w:tcBorders>
              <w:top w:val="single" w:sz="8" w:space="0" w:color="231F20"/>
            </w:tcBorders>
            <w:shd w:val="clear" w:color="auto" w:fill="D1D3D4"/>
          </w:tcPr>
          <w:p>
            <w:pPr/>
          </w:p>
        </w:tc>
        <w:tc>
          <w:tcPr>
            <w:tcW w:w="767" w:type="dxa"/>
            <w:tcBorders>
              <w:top w:val="single" w:sz="8" w:space="0" w:color="231F20"/>
            </w:tcBorders>
            <w:shd w:val="clear" w:color="auto" w:fill="D1D3D4"/>
          </w:tcPr>
          <w:p>
            <w:pPr>
              <w:pStyle w:val="TableParagraph"/>
              <w:tabs>
                <w:tab w:pos="366" w:val="left" w:leader="none"/>
              </w:tabs>
              <w:spacing w:before="50"/>
              <w:ind w:right="97"/>
              <w:jc w:val="right"/>
              <w:rPr>
                <w:sz w:val="20"/>
              </w:rPr>
            </w:pPr>
            <w:r>
              <w:rPr>
                <w:color w:val="231F20"/>
                <w:sz w:val="20"/>
              </w:rPr>
              <w:t>$</w:t>
              <w:tab/>
              <w:t>435</w:t>
            </w:r>
          </w:p>
        </w:tc>
        <w:tc>
          <w:tcPr>
            <w:tcW w:w="120" w:type="dxa"/>
            <w:tcBorders>
              <w:top w:val="single" w:sz="8" w:space="0" w:color="231F20"/>
            </w:tcBorders>
            <w:shd w:val="clear" w:color="auto" w:fill="D1D3D4"/>
          </w:tcPr>
          <w:p>
            <w:pPr/>
          </w:p>
        </w:tc>
        <w:tc>
          <w:tcPr>
            <w:tcW w:w="1640" w:type="dxa"/>
            <w:tcBorders>
              <w:top w:val="single" w:sz="8" w:space="0" w:color="231F20"/>
            </w:tcBorders>
            <w:shd w:val="clear" w:color="auto" w:fill="D1D3D4"/>
          </w:tcPr>
          <w:p>
            <w:pPr>
              <w:pStyle w:val="TableParagraph"/>
              <w:tabs>
                <w:tab w:pos="1155" w:val="left" w:leader="none"/>
              </w:tabs>
              <w:spacing w:before="50"/>
              <w:ind w:right="48"/>
              <w:jc w:val="right"/>
              <w:rPr>
                <w:sz w:val="20"/>
              </w:rPr>
            </w:pPr>
            <w:r>
              <w:rPr>
                <w:color w:val="231F20"/>
                <w:sz w:val="20"/>
              </w:rPr>
              <w:t>$</w:t>
              <w:tab/>
              <w:t>(738)</w:t>
            </w:r>
          </w:p>
        </w:tc>
      </w:tr>
      <w:tr>
        <w:trPr>
          <w:trHeight w:val="300" w:hRule="exact"/>
        </w:trPr>
        <w:tc>
          <w:tcPr>
            <w:tcW w:w="2713" w:type="dxa"/>
          </w:tcPr>
          <w:p>
            <w:pPr>
              <w:pStyle w:val="TableParagraph"/>
              <w:spacing w:before="50"/>
              <w:ind w:left="240"/>
              <w:rPr>
                <w:sz w:val="20"/>
              </w:rPr>
            </w:pPr>
            <w:r>
              <w:rPr>
                <w:color w:val="231F20"/>
                <w:sz w:val="20"/>
              </w:rPr>
              <w:t>Changes in fair value</w:t>
            </w:r>
          </w:p>
        </w:tc>
        <w:tc>
          <w:tcPr>
            <w:tcW w:w="935" w:type="dxa"/>
          </w:tcPr>
          <w:p>
            <w:pPr>
              <w:pStyle w:val="TableParagraph"/>
              <w:spacing w:before="50"/>
              <w:ind w:right="48"/>
              <w:jc w:val="right"/>
              <w:rPr>
                <w:sz w:val="20"/>
              </w:rPr>
            </w:pPr>
            <w:r>
              <w:rPr>
                <w:color w:val="231F20"/>
                <w:sz w:val="20"/>
              </w:rPr>
              <w:t>(867)</w:t>
            </w:r>
          </w:p>
        </w:tc>
        <w:tc>
          <w:tcPr>
            <w:tcW w:w="120" w:type="dxa"/>
          </w:tcPr>
          <w:p>
            <w:pPr/>
          </w:p>
        </w:tc>
        <w:tc>
          <w:tcPr>
            <w:tcW w:w="935" w:type="dxa"/>
          </w:tcPr>
          <w:p>
            <w:pPr>
              <w:pStyle w:val="TableParagraph"/>
              <w:spacing w:before="50"/>
              <w:ind w:right="48"/>
              <w:jc w:val="right"/>
              <w:rPr>
                <w:sz w:val="20"/>
              </w:rPr>
            </w:pPr>
            <w:r>
              <w:rPr>
                <w:color w:val="231F20"/>
                <w:sz w:val="20"/>
              </w:rPr>
              <w:t>(5)</w:t>
            </w:r>
          </w:p>
        </w:tc>
        <w:tc>
          <w:tcPr>
            <w:tcW w:w="120" w:type="dxa"/>
          </w:tcPr>
          <w:p>
            <w:pPr/>
          </w:p>
        </w:tc>
        <w:tc>
          <w:tcPr>
            <w:tcW w:w="1018" w:type="dxa"/>
          </w:tcPr>
          <w:p>
            <w:pPr>
              <w:pStyle w:val="TableParagraph"/>
              <w:spacing w:before="50"/>
              <w:ind w:right="48"/>
              <w:jc w:val="right"/>
              <w:rPr>
                <w:sz w:val="20"/>
              </w:rPr>
            </w:pPr>
            <w:r>
              <w:rPr>
                <w:color w:val="231F20"/>
                <w:sz w:val="20"/>
              </w:rPr>
              <w:t>(19)</w:t>
            </w:r>
          </w:p>
        </w:tc>
        <w:tc>
          <w:tcPr>
            <w:tcW w:w="120" w:type="dxa"/>
          </w:tcPr>
          <w:p>
            <w:pPr/>
          </w:p>
        </w:tc>
        <w:tc>
          <w:tcPr>
            <w:tcW w:w="512" w:type="dxa"/>
          </w:tcPr>
          <w:p>
            <w:pPr>
              <w:pStyle w:val="TableParagraph"/>
              <w:spacing w:before="50"/>
              <w:ind w:left="228"/>
              <w:rPr>
                <w:sz w:val="20"/>
              </w:rPr>
            </w:pPr>
            <w:r>
              <w:rPr>
                <w:color w:val="231F20"/>
                <w:sz w:val="20"/>
              </w:rPr>
              <w:t>(2)</w:t>
            </w:r>
          </w:p>
        </w:tc>
        <w:tc>
          <w:tcPr>
            <w:tcW w:w="120" w:type="dxa"/>
          </w:tcPr>
          <w:p>
            <w:pPr/>
          </w:p>
        </w:tc>
        <w:tc>
          <w:tcPr>
            <w:tcW w:w="767" w:type="dxa"/>
          </w:tcPr>
          <w:p>
            <w:pPr>
              <w:pStyle w:val="TableParagraph"/>
              <w:spacing w:before="50"/>
              <w:ind w:right="99"/>
              <w:jc w:val="right"/>
              <w:rPr>
                <w:sz w:val="20"/>
              </w:rPr>
            </w:pPr>
            <w:r>
              <w:rPr>
                <w:color w:val="231F20"/>
                <w:sz w:val="20"/>
              </w:rPr>
              <w:t>329</w:t>
            </w:r>
          </w:p>
        </w:tc>
        <w:tc>
          <w:tcPr>
            <w:tcW w:w="120" w:type="dxa"/>
          </w:tcPr>
          <w:p>
            <w:pPr/>
          </w:p>
        </w:tc>
        <w:tc>
          <w:tcPr>
            <w:tcW w:w="1640" w:type="dxa"/>
          </w:tcPr>
          <w:p>
            <w:pPr>
              <w:pStyle w:val="TableParagraph"/>
              <w:spacing w:before="50"/>
              <w:ind w:right="48"/>
              <w:jc w:val="right"/>
              <w:rPr>
                <w:sz w:val="20"/>
              </w:rPr>
            </w:pPr>
            <w:r>
              <w:rPr>
                <w:color w:val="231F20"/>
                <w:sz w:val="20"/>
              </w:rPr>
              <w:t>(564)</w:t>
            </w:r>
          </w:p>
        </w:tc>
      </w:tr>
      <w:tr>
        <w:trPr>
          <w:trHeight w:val="315" w:hRule="exact"/>
        </w:trPr>
        <w:tc>
          <w:tcPr>
            <w:tcW w:w="2713" w:type="dxa"/>
            <w:shd w:val="clear" w:color="auto" w:fill="D1D3D4"/>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shd w:val="clear" w:color="auto" w:fill="D1D3D4"/>
          </w:tcPr>
          <w:p>
            <w:pPr>
              <w:pStyle w:val="TableParagraph"/>
              <w:spacing w:before="50"/>
              <w:ind w:right="97"/>
              <w:jc w:val="right"/>
              <w:rPr>
                <w:sz w:val="20"/>
              </w:rPr>
            </w:pPr>
            <w:r>
              <w:rPr>
                <w:color w:val="231F20"/>
                <w:sz w:val="20"/>
              </w:rPr>
              <w:t>378</w:t>
            </w:r>
          </w:p>
        </w:tc>
        <w:tc>
          <w:tcPr>
            <w:tcW w:w="120" w:type="dxa"/>
            <w:shd w:val="clear" w:color="auto" w:fill="D1D3D4"/>
          </w:tcPr>
          <w:p>
            <w:pPr/>
          </w:p>
        </w:tc>
        <w:tc>
          <w:tcPr>
            <w:tcW w:w="935" w:type="dxa"/>
            <w:tcBorders>
              <w:bottom w:val="single" w:sz="4" w:space="0" w:color="231F20"/>
            </w:tcBorders>
            <w:shd w:val="clear" w:color="auto" w:fill="D1D3D4"/>
          </w:tcPr>
          <w:p>
            <w:pPr>
              <w:pStyle w:val="TableParagraph"/>
              <w:spacing w:before="50"/>
              <w:ind w:right="97"/>
              <w:jc w:val="right"/>
              <w:rPr>
                <w:sz w:val="20"/>
              </w:rPr>
            </w:pPr>
            <w:r>
              <w:rPr>
                <w:color w:val="231F20"/>
                <w:sz w:val="20"/>
              </w:rPr>
              <w:t>20</w:t>
            </w:r>
          </w:p>
        </w:tc>
        <w:tc>
          <w:tcPr>
            <w:tcW w:w="120" w:type="dxa"/>
            <w:shd w:val="clear" w:color="auto" w:fill="D1D3D4"/>
          </w:tcPr>
          <w:p>
            <w:pPr/>
          </w:p>
        </w:tc>
        <w:tc>
          <w:tcPr>
            <w:tcW w:w="1018" w:type="dxa"/>
            <w:tcBorders>
              <w:bottom w:val="single" w:sz="4" w:space="0" w:color="231F20"/>
            </w:tcBorders>
            <w:shd w:val="clear" w:color="auto" w:fill="D1D3D4"/>
          </w:tcPr>
          <w:p>
            <w:pPr>
              <w:pStyle w:val="TableParagraph"/>
              <w:spacing w:before="50"/>
              <w:ind w:right="97"/>
              <w:jc w:val="right"/>
              <w:rPr>
                <w:sz w:val="20"/>
              </w:rPr>
            </w:pPr>
            <w:r>
              <w:rPr>
                <w:color w:val="231F20"/>
                <w:sz w:val="20"/>
              </w:rPr>
              <w:t>—</w:t>
            </w:r>
          </w:p>
        </w:tc>
        <w:tc>
          <w:tcPr>
            <w:tcW w:w="120" w:type="dxa"/>
            <w:shd w:val="clear" w:color="auto" w:fill="D1D3D4"/>
          </w:tcPr>
          <w:p>
            <w:pPr/>
          </w:p>
        </w:tc>
        <w:tc>
          <w:tcPr>
            <w:tcW w:w="512" w:type="dxa"/>
            <w:tcBorders>
              <w:bottom w:val="single" w:sz="4" w:space="0" w:color="231F20"/>
            </w:tcBorders>
            <w:shd w:val="clear" w:color="auto" w:fill="D1D3D4"/>
          </w:tcPr>
          <w:p>
            <w:pPr>
              <w:pStyle w:val="TableParagraph"/>
              <w:spacing w:before="50"/>
              <w:ind w:left="212"/>
              <w:rPr>
                <w:sz w:val="20"/>
              </w:rPr>
            </w:pPr>
            <w:r>
              <w:rPr>
                <w:color w:val="231F20"/>
                <w:sz w:val="20"/>
              </w:rPr>
              <w:t>—</w:t>
            </w:r>
          </w:p>
        </w:tc>
        <w:tc>
          <w:tcPr>
            <w:tcW w:w="120" w:type="dxa"/>
            <w:shd w:val="clear" w:color="auto" w:fill="D1D3D4"/>
          </w:tcPr>
          <w:p>
            <w:pPr/>
          </w:p>
        </w:tc>
        <w:tc>
          <w:tcPr>
            <w:tcW w:w="767" w:type="dxa"/>
            <w:tcBorders>
              <w:bottom w:val="single" w:sz="4" w:space="0" w:color="231F20"/>
            </w:tcBorders>
            <w:shd w:val="clear" w:color="auto" w:fill="D1D3D4"/>
          </w:tcPr>
          <w:p>
            <w:pPr>
              <w:pStyle w:val="TableParagraph"/>
              <w:spacing w:before="50"/>
              <w:ind w:right="48"/>
              <w:jc w:val="right"/>
              <w:rPr>
                <w:sz w:val="20"/>
              </w:rPr>
            </w:pPr>
            <w:r>
              <w:rPr>
                <w:color w:val="231F20"/>
                <w:sz w:val="20"/>
              </w:rPr>
              <w:t>(147)</w:t>
            </w:r>
          </w:p>
        </w:tc>
        <w:tc>
          <w:tcPr>
            <w:tcW w:w="120" w:type="dxa"/>
            <w:shd w:val="clear" w:color="auto" w:fill="D1D3D4"/>
          </w:tcPr>
          <w:p>
            <w:pPr/>
          </w:p>
        </w:tc>
        <w:tc>
          <w:tcPr>
            <w:tcW w:w="1640" w:type="dxa"/>
            <w:tcBorders>
              <w:bottom w:val="single" w:sz="4" w:space="0" w:color="231F20"/>
            </w:tcBorders>
            <w:shd w:val="clear" w:color="auto" w:fill="D1D3D4"/>
          </w:tcPr>
          <w:p>
            <w:pPr>
              <w:pStyle w:val="TableParagraph"/>
              <w:spacing w:before="50"/>
              <w:ind w:right="97"/>
              <w:jc w:val="right"/>
              <w:rPr>
                <w:sz w:val="20"/>
              </w:rPr>
            </w:pPr>
            <w:r>
              <w:rPr>
                <w:color w:val="231F20"/>
                <w:sz w:val="20"/>
              </w:rPr>
              <w:t>251</w:t>
            </w:r>
          </w:p>
        </w:tc>
      </w:tr>
      <w:tr>
        <w:trPr>
          <w:trHeight w:val="305" w:hRule="exact"/>
        </w:trPr>
        <w:tc>
          <w:tcPr>
            <w:tcW w:w="2713" w:type="dxa"/>
          </w:tcPr>
          <w:p>
            <w:pPr>
              <w:pStyle w:val="TableParagraph"/>
              <w:spacing w:before="70"/>
              <w:ind w:left="40"/>
              <w:rPr>
                <w:sz w:val="20"/>
              </w:rPr>
            </w:pPr>
            <w:r>
              <w:rPr>
                <w:color w:val="231F20"/>
                <w:sz w:val="20"/>
              </w:rPr>
              <w:t>Balance at December 31, 2015</w:t>
            </w:r>
          </w:p>
        </w:tc>
        <w:tc>
          <w:tcPr>
            <w:tcW w:w="935" w:type="dxa"/>
            <w:tcBorders>
              <w:top w:val="single" w:sz="4" w:space="0" w:color="231F20"/>
            </w:tcBorders>
          </w:tcPr>
          <w:p>
            <w:pPr>
              <w:pStyle w:val="TableParagraph"/>
              <w:tabs>
                <w:tab w:pos="300" w:val="left" w:leader="none"/>
              </w:tabs>
              <w:spacing w:before="50"/>
              <w:ind w:right="48"/>
              <w:jc w:val="right"/>
              <w:rPr>
                <w:sz w:val="20"/>
              </w:rPr>
            </w:pPr>
            <w:r>
              <w:rPr>
                <w:color w:val="231F20"/>
                <w:sz w:val="20"/>
              </w:rPr>
              <w:t>$</w:t>
              <w:tab/>
              <w:t>(1,666)</w:t>
            </w:r>
          </w:p>
        </w:tc>
        <w:tc>
          <w:tcPr>
            <w:tcW w:w="120" w:type="dxa"/>
          </w:tcPr>
          <w:p>
            <w:pPr/>
          </w:p>
        </w:tc>
        <w:tc>
          <w:tcPr>
            <w:tcW w:w="935" w:type="dxa"/>
            <w:tcBorders>
              <w:top w:val="single" w:sz="4" w:space="0" w:color="231F20"/>
            </w:tcBorders>
          </w:tcPr>
          <w:p>
            <w:pPr>
              <w:pStyle w:val="TableParagraph"/>
              <w:tabs>
                <w:tab w:pos="550" w:val="left" w:leader="none"/>
              </w:tabs>
              <w:spacing w:before="50"/>
              <w:ind w:right="48"/>
              <w:jc w:val="right"/>
              <w:rPr>
                <w:sz w:val="20"/>
              </w:rPr>
            </w:pPr>
            <w:r>
              <w:rPr>
                <w:color w:val="231F20"/>
                <w:sz w:val="20"/>
              </w:rPr>
              <w:t>$</w:t>
              <w:tab/>
              <w:t>(30)</w:t>
            </w:r>
          </w:p>
        </w:tc>
        <w:tc>
          <w:tcPr>
            <w:tcW w:w="120" w:type="dxa"/>
          </w:tcPr>
          <w:p>
            <w:pPr/>
          </w:p>
        </w:tc>
        <w:tc>
          <w:tcPr>
            <w:tcW w:w="1018" w:type="dxa"/>
            <w:tcBorders>
              <w:top w:val="single" w:sz="4" w:space="0" w:color="231F20"/>
            </w:tcBorders>
          </w:tcPr>
          <w:p>
            <w:pPr>
              <w:pStyle w:val="TableParagraph"/>
              <w:tabs>
                <w:tab w:pos="717" w:val="left" w:leader="none"/>
              </w:tabs>
              <w:spacing w:before="50"/>
              <w:ind w:right="97"/>
              <w:jc w:val="right"/>
              <w:rPr>
                <w:sz w:val="20"/>
              </w:rPr>
            </w:pPr>
            <w:r>
              <w:rPr>
                <w:color w:val="231F20"/>
                <w:sz w:val="20"/>
              </w:rPr>
              <w:t>$</w:t>
              <w:tab/>
              <w:t>22</w:t>
            </w:r>
          </w:p>
        </w:tc>
        <w:tc>
          <w:tcPr>
            <w:tcW w:w="120" w:type="dxa"/>
          </w:tcPr>
          <w:p>
            <w:pPr/>
          </w:p>
        </w:tc>
        <w:tc>
          <w:tcPr>
            <w:tcW w:w="512" w:type="dxa"/>
            <w:tcBorders>
              <w:top w:val="single" w:sz="4" w:space="0" w:color="231F20"/>
            </w:tcBorders>
          </w:tcPr>
          <w:p>
            <w:pPr>
              <w:pStyle w:val="TableParagraph"/>
              <w:tabs>
                <w:tab w:pos="311" w:val="left" w:leader="none"/>
              </w:tabs>
              <w:spacing w:before="50"/>
              <w:rPr>
                <w:sz w:val="20"/>
              </w:rPr>
            </w:pPr>
            <w:r>
              <w:rPr>
                <w:color w:val="231F20"/>
                <w:sz w:val="20"/>
              </w:rPr>
              <w:t>$</w:t>
              <w:tab/>
              <w:t>6</w:t>
            </w:r>
          </w:p>
        </w:tc>
        <w:tc>
          <w:tcPr>
            <w:tcW w:w="120" w:type="dxa"/>
          </w:tcPr>
          <w:p>
            <w:pPr/>
          </w:p>
        </w:tc>
        <w:tc>
          <w:tcPr>
            <w:tcW w:w="767" w:type="dxa"/>
            <w:tcBorders>
              <w:top w:val="single" w:sz="4" w:space="0" w:color="231F20"/>
            </w:tcBorders>
          </w:tcPr>
          <w:p>
            <w:pPr>
              <w:pStyle w:val="TableParagraph"/>
              <w:tabs>
                <w:tab w:pos="366" w:val="left" w:leader="none"/>
              </w:tabs>
              <w:spacing w:before="50"/>
              <w:ind w:right="97"/>
              <w:jc w:val="right"/>
              <w:rPr>
                <w:sz w:val="20"/>
              </w:rPr>
            </w:pPr>
            <w:r>
              <w:rPr>
                <w:color w:val="231F20"/>
                <w:sz w:val="20"/>
              </w:rPr>
              <w:t>$</w:t>
              <w:tab/>
              <w:t>617</w:t>
            </w:r>
          </w:p>
        </w:tc>
        <w:tc>
          <w:tcPr>
            <w:tcW w:w="120" w:type="dxa"/>
          </w:tcPr>
          <w:p>
            <w:pPr/>
          </w:p>
        </w:tc>
        <w:tc>
          <w:tcPr>
            <w:tcW w:w="1640" w:type="dxa"/>
            <w:tcBorders>
              <w:top w:val="single" w:sz="4" w:space="0" w:color="231F20"/>
            </w:tcBorders>
          </w:tcPr>
          <w:p>
            <w:pPr>
              <w:pStyle w:val="TableParagraph"/>
              <w:tabs>
                <w:tab w:pos="1005" w:val="left" w:leader="none"/>
              </w:tabs>
              <w:spacing w:before="50"/>
              <w:ind w:right="48"/>
              <w:jc w:val="right"/>
              <w:rPr>
                <w:sz w:val="20"/>
              </w:rPr>
            </w:pPr>
            <w:r>
              <w:rPr>
                <w:color w:val="231F20"/>
                <w:sz w:val="20"/>
              </w:rPr>
              <w:t>$</w:t>
              <w:tab/>
              <w:t>(1,051)</w:t>
            </w:r>
          </w:p>
        </w:tc>
      </w:tr>
      <w:tr>
        <w:trPr>
          <w:trHeight w:val="300" w:hRule="exact"/>
        </w:trPr>
        <w:tc>
          <w:tcPr>
            <w:tcW w:w="2713" w:type="dxa"/>
            <w:shd w:val="clear" w:color="auto" w:fill="D1D3D4"/>
          </w:tcPr>
          <w:p>
            <w:pPr>
              <w:pStyle w:val="TableParagraph"/>
              <w:spacing w:before="50"/>
              <w:ind w:left="240"/>
              <w:rPr>
                <w:sz w:val="20"/>
              </w:rPr>
            </w:pPr>
            <w:r>
              <w:rPr>
                <w:color w:val="231F20"/>
                <w:sz w:val="20"/>
              </w:rPr>
              <w:t>Changes in fair value</w:t>
            </w:r>
          </w:p>
        </w:tc>
        <w:tc>
          <w:tcPr>
            <w:tcW w:w="935" w:type="dxa"/>
            <w:shd w:val="clear" w:color="auto" w:fill="D1D3D4"/>
          </w:tcPr>
          <w:p>
            <w:pPr>
              <w:pStyle w:val="TableParagraph"/>
              <w:spacing w:before="50"/>
              <w:ind w:right="99"/>
              <w:jc w:val="right"/>
              <w:rPr>
                <w:sz w:val="20"/>
              </w:rPr>
            </w:pPr>
            <w:r>
              <w:rPr>
                <w:color w:val="231F20"/>
                <w:sz w:val="20"/>
              </w:rPr>
              <w:t>194</w:t>
            </w:r>
          </w:p>
        </w:tc>
        <w:tc>
          <w:tcPr>
            <w:tcW w:w="120" w:type="dxa"/>
            <w:shd w:val="clear" w:color="auto" w:fill="D1D3D4"/>
          </w:tcPr>
          <w:p>
            <w:pPr/>
          </w:p>
        </w:tc>
        <w:tc>
          <w:tcPr>
            <w:tcW w:w="935" w:type="dxa"/>
            <w:shd w:val="clear" w:color="auto" w:fill="D1D3D4"/>
          </w:tcPr>
          <w:p>
            <w:pPr>
              <w:pStyle w:val="TableParagraph"/>
              <w:spacing w:before="50"/>
              <w:ind w:right="48"/>
              <w:jc w:val="right"/>
              <w:rPr>
                <w:sz w:val="20"/>
              </w:rPr>
            </w:pPr>
            <w:r>
              <w:rPr>
                <w:color w:val="231F20"/>
                <w:sz w:val="20"/>
              </w:rPr>
              <w:t>(3)</w:t>
            </w:r>
          </w:p>
        </w:tc>
        <w:tc>
          <w:tcPr>
            <w:tcW w:w="120" w:type="dxa"/>
            <w:shd w:val="clear" w:color="auto" w:fill="D1D3D4"/>
          </w:tcPr>
          <w:p>
            <w:pPr/>
          </w:p>
        </w:tc>
        <w:tc>
          <w:tcPr>
            <w:tcW w:w="1018" w:type="dxa"/>
            <w:shd w:val="clear" w:color="auto" w:fill="D1D3D4"/>
          </w:tcPr>
          <w:p>
            <w:pPr>
              <w:pStyle w:val="TableParagraph"/>
              <w:spacing w:before="50"/>
              <w:ind w:right="48"/>
              <w:jc w:val="right"/>
              <w:rPr>
                <w:sz w:val="20"/>
              </w:rPr>
            </w:pPr>
            <w:r>
              <w:rPr>
                <w:color w:val="231F20"/>
                <w:sz w:val="20"/>
              </w:rPr>
              <w:t>(36)</w:t>
            </w:r>
          </w:p>
        </w:tc>
        <w:tc>
          <w:tcPr>
            <w:tcW w:w="120" w:type="dxa"/>
            <w:shd w:val="clear" w:color="auto" w:fill="D1D3D4"/>
          </w:tcPr>
          <w:p>
            <w:pPr/>
          </w:p>
        </w:tc>
        <w:tc>
          <w:tcPr>
            <w:tcW w:w="512" w:type="dxa"/>
            <w:shd w:val="clear" w:color="auto" w:fill="D1D3D4"/>
          </w:tcPr>
          <w:p>
            <w:pPr>
              <w:pStyle w:val="TableParagraph"/>
              <w:spacing w:before="50"/>
              <w:ind w:left="212"/>
              <w:rPr>
                <w:sz w:val="20"/>
              </w:rPr>
            </w:pPr>
            <w:r>
              <w:rPr>
                <w:color w:val="231F20"/>
                <w:sz w:val="20"/>
              </w:rPr>
              <w:t>14</w:t>
            </w:r>
          </w:p>
        </w:tc>
        <w:tc>
          <w:tcPr>
            <w:tcW w:w="120" w:type="dxa"/>
            <w:shd w:val="clear" w:color="auto" w:fill="D1D3D4"/>
          </w:tcPr>
          <w:p>
            <w:pPr/>
          </w:p>
        </w:tc>
        <w:tc>
          <w:tcPr>
            <w:tcW w:w="767" w:type="dxa"/>
            <w:shd w:val="clear" w:color="auto" w:fill="D1D3D4"/>
          </w:tcPr>
          <w:p>
            <w:pPr>
              <w:pStyle w:val="TableParagraph"/>
              <w:spacing w:before="50"/>
              <w:ind w:right="48"/>
              <w:jc w:val="right"/>
              <w:rPr>
                <w:sz w:val="20"/>
              </w:rPr>
            </w:pPr>
            <w:r>
              <w:rPr>
                <w:color w:val="231F20"/>
                <w:sz w:val="20"/>
              </w:rPr>
              <w:t>(63)</w:t>
            </w:r>
          </w:p>
        </w:tc>
        <w:tc>
          <w:tcPr>
            <w:tcW w:w="120" w:type="dxa"/>
            <w:shd w:val="clear" w:color="auto" w:fill="D1D3D4"/>
          </w:tcPr>
          <w:p>
            <w:pPr/>
          </w:p>
        </w:tc>
        <w:tc>
          <w:tcPr>
            <w:tcW w:w="1640" w:type="dxa"/>
            <w:shd w:val="clear" w:color="auto" w:fill="D1D3D4"/>
          </w:tcPr>
          <w:p>
            <w:pPr>
              <w:pStyle w:val="TableParagraph"/>
              <w:spacing w:before="50"/>
              <w:ind w:right="99"/>
              <w:jc w:val="right"/>
              <w:rPr>
                <w:sz w:val="20"/>
              </w:rPr>
            </w:pPr>
            <w:r>
              <w:rPr>
                <w:color w:val="231F20"/>
                <w:sz w:val="20"/>
              </w:rPr>
              <w:t>106</w:t>
            </w:r>
          </w:p>
        </w:tc>
      </w:tr>
      <w:tr>
        <w:trPr>
          <w:trHeight w:val="315" w:hRule="exact"/>
        </w:trPr>
        <w:tc>
          <w:tcPr>
            <w:tcW w:w="2713" w:type="dxa"/>
          </w:tcPr>
          <w:p>
            <w:pPr>
              <w:pStyle w:val="TableParagraph"/>
              <w:spacing w:before="50"/>
              <w:ind w:left="240"/>
              <w:rPr>
                <w:sz w:val="20"/>
              </w:rPr>
            </w:pPr>
            <w:r>
              <w:rPr>
                <w:color w:val="231F20"/>
                <w:sz w:val="20"/>
              </w:rPr>
              <w:t>Reclassification to earnings</w:t>
            </w:r>
          </w:p>
        </w:tc>
        <w:tc>
          <w:tcPr>
            <w:tcW w:w="935" w:type="dxa"/>
            <w:tcBorders>
              <w:bottom w:val="single" w:sz="4" w:space="0" w:color="231F20"/>
            </w:tcBorders>
          </w:tcPr>
          <w:p>
            <w:pPr>
              <w:pStyle w:val="TableParagraph"/>
              <w:spacing w:before="50"/>
              <w:ind w:right="97"/>
              <w:jc w:val="right"/>
              <w:rPr>
                <w:sz w:val="20"/>
              </w:rPr>
            </w:pPr>
            <w:r>
              <w:rPr>
                <w:color w:val="231F20"/>
                <w:sz w:val="20"/>
              </w:rPr>
              <w:t>973</w:t>
            </w:r>
          </w:p>
        </w:tc>
        <w:tc>
          <w:tcPr>
            <w:tcW w:w="120" w:type="dxa"/>
          </w:tcPr>
          <w:p>
            <w:pPr/>
          </w:p>
        </w:tc>
        <w:tc>
          <w:tcPr>
            <w:tcW w:w="935" w:type="dxa"/>
            <w:tcBorders>
              <w:bottom w:val="single" w:sz="4" w:space="0" w:color="231F20"/>
            </w:tcBorders>
          </w:tcPr>
          <w:p>
            <w:pPr>
              <w:pStyle w:val="TableParagraph"/>
              <w:spacing w:before="50"/>
              <w:ind w:right="97"/>
              <w:jc w:val="right"/>
              <w:rPr>
                <w:sz w:val="20"/>
              </w:rPr>
            </w:pPr>
            <w:r>
              <w:rPr>
                <w:color w:val="231F20"/>
                <w:sz w:val="20"/>
              </w:rPr>
              <w:t>15</w:t>
            </w:r>
          </w:p>
        </w:tc>
        <w:tc>
          <w:tcPr>
            <w:tcW w:w="120" w:type="dxa"/>
          </w:tcPr>
          <w:p>
            <w:pPr/>
          </w:p>
        </w:tc>
        <w:tc>
          <w:tcPr>
            <w:tcW w:w="1018" w:type="dxa"/>
            <w:tcBorders>
              <w:bottom w:val="single" w:sz="4" w:space="0" w:color="231F20"/>
            </w:tcBorders>
          </w:tcPr>
          <w:p>
            <w:pPr>
              <w:pStyle w:val="TableParagraph"/>
              <w:spacing w:before="50"/>
              <w:ind w:right="97"/>
              <w:jc w:val="right"/>
              <w:rPr>
                <w:sz w:val="20"/>
              </w:rPr>
            </w:pPr>
            <w:r>
              <w:rPr>
                <w:color w:val="231F20"/>
                <w:sz w:val="20"/>
              </w:rPr>
              <w:t>—</w:t>
            </w:r>
          </w:p>
        </w:tc>
        <w:tc>
          <w:tcPr>
            <w:tcW w:w="120" w:type="dxa"/>
          </w:tcPr>
          <w:p>
            <w:pPr/>
          </w:p>
        </w:tc>
        <w:tc>
          <w:tcPr>
            <w:tcW w:w="512" w:type="dxa"/>
            <w:tcBorders>
              <w:bottom w:val="single" w:sz="4" w:space="0" w:color="231F20"/>
            </w:tcBorders>
          </w:tcPr>
          <w:p>
            <w:pPr>
              <w:pStyle w:val="TableParagraph"/>
              <w:spacing w:before="50"/>
              <w:ind w:left="212"/>
              <w:rPr>
                <w:sz w:val="20"/>
              </w:rPr>
            </w:pPr>
            <w:r>
              <w:rPr>
                <w:color w:val="231F20"/>
                <w:sz w:val="20"/>
              </w:rPr>
              <w:t>—</w:t>
            </w:r>
          </w:p>
        </w:tc>
        <w:tc>
          <w:tcPr>
            <w:tcW w:w="120" w:type="dxa"/>
          </w:tcPr>
          <w:p>
            <w:pPr/>
          </w:p>
        </w:tc>
        <w:tc>
          <w:tcPr>
            <w:tcW w:w="767" w:type="dxa"/>
            <w:tcBorders>
              <w:bottom w:val="single" w:sz="4" w:space="0" w:color="231F20"/>
            </w:tcBorders>
          </w:tcPr>
          <w:p>
            <w:pPr>
              <w:pStyle w:val="TableParagraph"/>
              <w:spacing w:before="50"/>
              <w:ind w:right="48"/>
              <w:jc w:val="right"/>
              <w:rPr>
                <w:sz w:val="20"/>
              </w:rPr>
            </w:pPr>
            <w:r>
              <w:rPr>
                <w:color w:val="231F20"/>
                <w:sz w:val="20"/>
              </w:rPr>
              <w:t>(366)</w:t>
            </w:r>
          </w:p>
        </w:tc>
        <w:tc>
          <w:tcPr>
            <w:tcW w:w="120" w:type="dxa"/>
          </w:tcPr>
          <w:p>
            <w:pPr/>
          </w:p>
        </w:tc>
        <w:tc>
          <w:tcPr>
            <w:tcW w:w="1640" w:type="dxa"/>
            <w:tcBorders>
              <w:bottom w:val="single" w:sz="4" w:space="0" w:color="231F20"/>
            </w:tcBorders>
          </w:tcPr>
          <w:p>
            <w:pPr>
              <w:pStyle w:val="TableParagraph"/>
              <w:spacing w:before="50"/>
              <w:ind w:right="97"/>
              <w:jc w:val="right"/>
              <w:rPr>
                <w:sz w:val="20"/>
              </w:rPr>
            </w:pPr>
            <w:r>
              <w:rPr>
                <w:color w:val="231F20"/>
                <w:sz w:val="20"/>
              </w:rPr>
              <w:t>622</w:t>
            </w:r>
          </w:p>
        </w:tc>
      </w:tr>
      <w:tr>
        <w:trPr>
          <w:trHeight w:val="360" w:hRule="exact"/>
        </w:trPr>
        <w:tc>
          <w:tcPr>
            <w:tcW w:w="2713" w:type="dxa"/>
            <w:shd w:val="clear" w:color="auto" w:fill="D1D3D4"/>
          </w:tcPr>
          <w:p>
            <w:pPr>
              <w:pStyle w:val="TableParagraph"/>
              <w:spacing w:before="50"/>
              <w:ind w:left="40"/>
              <w:rPr>
                <w:sz w:val="20"/>
              </w:rPr>
            </w:pPr>
            <w:r>
              <w:rPr>
                <w:color w:val="231F20"/>
                <w:sz w:val="20"/>
              </w:rPr>
              <w:t>Balance at December 31, 2016</w:t>
            </w:r>
          </w:p>
        </w:tc>
        <w:tc>
          <w:tcPr>
            <w:tcW w:w="935" w:type="dxa"/>
            <w:tcBorders>
              <w:top w:val="single" w:sz="4" w:space="0" w:color="231F20"/>
              <w:bottom w:val="single" w:sz="4" w:space="0" w:color="231F20"/>
            </w:tcBorders>
            <w:shd w:val="clear" w:color="auto" w:fill="D1D3D4"/>
          </w:tcPr>
          <w:p>
            <w:pPr>
              <w:pStyle w:val="TableParagraph"/>
              <w:tabs>
                <w:tab w:pos="450" w:val="left" w:leader="none"/>
              </w:tabs>
              <w:spacing w:before="50"/>
              <w:ind w:right="48"/>
              <w:jc w:val="right"/>
              <w:rPr>
                <w:sz w:val="20"/>
              </w:rPr>
            </w:pPr>
            <w:r>
              <w:rPr>
                <w:color w:val="231F20"/>
                <w:sz w:val="20"/>
              </w:rPr>
              <w:t>$</w:t>
              <w:tab/>
              <w:t>(499)</w:t>
            </w:r>
          </w:p>
        </w:tc>
        <w:tc>
          <w:tcPr>
            <w:tcW w:w="120" w:type="dxa"/>
            <w:shd w:val="clear" w:color="auto" w:fill="D1D3D4"/>
          </w:tcPr>
          <w:p>
            <w:pPr/>
          </w:p>
        </w:tc>
        <w:tc>
          <w:tcPr>
            <w:tcW w:w="935" w:type="dxa"/>
            <w:tcBorders>
              <w:top w:val="single" w:sz="4" w:space="0" w:color="231F20"/>
              <w:bottom w:val="single" w:sz="4" w:space="0" w:color="231F20"/>
            </w:tcBorders>
            <w:shd w:val="clear" w:color="auto" w:fill="D1D3D4"/>
          </w:tcPr>
          <w:p>
            <w:pPr>
              <w:pStyle w:val="TableParagraph"/>
              <w:tabs>
                <w:tab w:pos="550" w:val="left" w:leader="none"/>
              </w:tabs>
              <w:spacing w:before="50"/>
              <w:ind w:right="48"/>
              <w:jc w:val="right"/>
              <w:rPr>
                <w:sz w:val="20"/>
              </w:rPr>
            </w:pPr>
            <w:r>
              <w:rPr>
                <w:color w:val="231F20"/>
                <w:sz w:val="20"/>
              </w:rPr>
              <w:t>$</w:t>
              <w:tab/>
              <w:t>(18)</w:t>
            </w:r>
          </w:p>
        </w:tc>
        <w:tc>
          <w:tcPr>
            <w:tcW w:w="120" w:type="dxa"/>
            <w:shd w:val="clear" w:color="auto" w:fill="D1D3D4"/>
          </w:tcPr>
          <w:p>
            <w:pPr/>
          </w:p>
        </w:tc>
        <w:tc>
          <w:tcPr>
            <w:tcW w:w="1018" w:type="dxa"/>
            <w:tcBorders>
              <w:top w:val="single" w:sz="4" w:space="0" w:color="231F20"/>
              <w:bottom w:val="single" w:sz="4" w:space="0" w:color="231F20"/>
            </w:tcBorders>
            <w:shd w:val="clear" w:color="auto" w:fill="D1D3D4"/>
          </w:tcPr>
          <w:p>
            <w:pPr>
              <w:pStyle w:val="TableParagraph"/>
              <w:tabs>
                <w:tab w:pos="633" w:val="left" w:leader="none"/>
              </w:tabs>
              <w:spacing w:before="50"/>
              <w:ind w:right="48"/>
              <w:jc w:val="right"/>
              <w:rPr>
                <w:sz w:val="20"/>
              </w:rPr>
            </w:pPr>
            <w:r>
              <w:rPr>
                <w:color w:val="231F20"/>
                <w:sz w:val="20"/>
              </w:rPr>
              <w:t>$</w:t>
              <w:tab/>
              <w:t>(14)</w:t>
            </w:r>
          </w:p>
        </w:tc>
        <w:tc>
          <w:tcPr>
            <w:tcW w:w="120" w:type="dxa"/>
            <w:shd w:val="clear" w:color="auto" w:fill="D1D3D4"/>
          </w:tcPr>
          <w:p>
            <w:pPr/>
          </w:p>
        </w:tc>
        <w:tc>
          <w:tcPr>
            <w:tcW w:w="512" w:type="dxa"/>
            <w:tcBorders>
              <w:top w:val="single" w:sz="4" w:space="0" w:color="231F20"/>
              <w:bottom w:val="single" w:sz="4" w:space="0" w:color="231F20"/>
            </w:tcBorders>
            <w:shd w:val="clear" w:color="auto" w:fill="D1D3D4"/>
          </w:tcPr>
          <w:p>
            <w:pPr>
              <w:pStyle w:val="TableParagraph"/>
              <w:spacing w:before="50"/>
              <w:rPr>
                <w:sz w:val="20"/>
              </w:rPr>
            </w:pPr>
            <w:r>
              <w:rPr>
                <w:color w:val="231F20"/>
                <w:sz w:val="20"/>
              </w:rPr>
              <w:t>$  20</w:t>
            </w:r>
          </w:p>
        </w:tc>
        <w:tc>
          <w:tcPr>
            <w:tcW w:w="120" w:type="dxa"/>
            <w:shd w:val="clear" w:color="auto" w:fill="D1D3D4"/>
          </w:tcPr>
          <w:p>
            <w:pPr/>
          </w:p>
        </w:tc>
        <w:tc>
          <w:tcPr>
            <w:tcW w:w="767" w:type="dxa"/>
            <w:tcBorders>
              <w:top w:val="single" w:sz="4" w:space="0" w:color="231F20"/>
              <w:bottom w:val="single" w:sz="4" w:space="0" w:color="231F20"/>
            </w:tcBorders>
            <w:shd w:val="clear" w:color="auto" w:fill="D1D3D4"/>
          </w:tcPr>
          <w:p>
            <w:pPr>
              <w:pStyle w:val="TableParagraph"/>
              <w:tabs>
                <w:tab w:pos="366" w:val="left" w:leader="none"/>
              </w:tabs>
              <w:spacing w:before="50"/>
              <w:ind w:right="97"/>
              <w:jc w:val="right"/>
              <w:rPr>
                <w:sz w:val="20"/>
              </w:rPr>
            </w:pPr>
            <w:r>
              <w:rPr>
                <w:color w:val="231F20"/>
                <w:sz w:val="20"/>
              </w:rPr>
              <w:t>$</w:t>
              <w:tab/>
              <w:t>188</w:t>
            </w:r>
          </w:p>
        </w:tc>
        <w:tc>
          <w:tcPr>
            <w:tcW w:w="120" w:type="dxa"/>
            <w:shd w:val="clear" w:color="auto" w:fill="D1D3D4"/>
          </w:tcPr>
          <w:p>
            <w:pPr/>
          </w:p>
        </w:tc>
        <w:tc>
          <w:tcPr>
            <w:tcW w:w="1640" w:type="dxa"/>
            <w:tcBorders>
              <w:top w:val="single" w:sz="4" w:space="0" w:color="231F20"/>
              <w:bottom w:val="single" w:sz="4" w:space="0" w:color="231F20"/>
            </w:tcBorders>
            <w:shd w:val="clear" w:color="auto" w:fill="D1D3D4"/>
          </w:tcPr>
          <w:p>
            <w:pPr>
              <w:pStyle w:val="TableParagraph"/>
              <w:tabs>
                <w:tab w:pos="1155" w:val="left" w:leader="none"/>
              </w:tabs>
              <w:spacing w:before="45"/>
              <w:ind w:right="48"/>
              <w:jc w:val="right"/>
              <w:rPr>
                <w:sz w:val="20"/>
              </w:rPr>
            </w:pPr>
            <w:r>
              <w:rPr>
                <w:color w:val="231F20"/>
                <w:sz w:val="20"/>
              </w:rPr>
              <w:t>$</w:t>
              <w:tab/>
              <w:t>(323)</w:t>
            </w:r>
          </w:p>
        </w:tc>
      </w:tr>
    </w:tbl>
    <w:p>
      <w:pPr>
        <w:pStyle w:val="BodyText"/>
        <w:spacing w:before="10"/>
        <w:rPr>
          <w:b/>
          <w:sz w:val="16"/>
        </w:rPr>
      </w:pPr>
    </w:p>
    <w:p>
      <w:pPr>
        <w:pStyle w:val="BodyText"/>
        <w:spacing w:line="247" w:lineRule="auto" w:before="92"/>
        <w:ind w:left="120"/>
      </w:pPr>
      <w:r>
        <w:rPr/>
        <w:pict>
          <v:line style="position:absolute;mso-position-horizontal-relative:page;mso-position-vertical-relative:paragraph;z-index:-372208" from="204.649994pt,-12.380468pt" to="251.399994pt,-12.380468pt" stroked="true" strokeweight=".5pt" strokecolor="#231f20">
            <v:stroke dashstyle="solid"/>
            <w10:wrap type="none"/>
          </v:line>
        </w:pict>
      </w:r>
      <w:r>
        <w:rPr/>
        <w:pict>
          <v:line style="position:absolute;mso-position-horizontal-relative:page;mso-position-vertical-relative:paragraph;z-index:-372184" from="257.399994pt,-12.380468pt" to="304.149994pt,-12.380468pt" stroked="true" strokeweight=".5pt" strokecolor="#231f20">
            <v:stroke dashstyle="solid"/>
            <w10:wrap type="none"/>
          </v:line>
        </w:pict>
      </w:r>
      <w:r>
        <w:rPr/>
        <w:pict>
          <v:line style="position:absolute;mso-position-horizontal-relative:page;mso-position-vertical-relative:paragraph;z-index:-372160" from="310.149994pt,-12.380468pt" to="361.049994pt,-12.380468pt" stroked="true" strokeweight=".5pt" strokecolor="#231f20">
            <v:stroke dashstyle="solid"/>
            <w10:wrap type="none"/>
          </v:line>
        </w:pict>
      </w:r>
      <w:r>
        <w:rPr/>
        <w:pict>
          <v:line style="position:absolute;mso-position-horizontal-relative:page;mso-position-vertical-relative:paragraph;z-index:-372136" from="367.049988pt,-12.380468pt" to="392.649988pt,-12.380468pt" stroked="true" strokeweight=".5pt" strokecolor="#231f20">
            <v:stroke dashstyle="solid"/>
            <w10:wrap type="none"/>
          </v:line>
        </w:pict>
      </w:r>
      <w:r>
        <w:rPr/>
        <w:pict>
          <v:line style="position:absolute;mso-position-horizontal-relative:page;mso-position-vertical-relative:paragraph;z-index:-372112" from="398.649994pt,-12.380468pt" to="436.999994pt,-12.380468pt" stroked="true" strokeweight=".5pt" strokecolor="#231f20">
            <v:stroke dashstyle="solid"/>
            <w10:wrap type="none"/>
          </v:line>
        </w:pict>
      </w:r>
      <w:r>
        <w:rPr>
          <w:color w:val="231F20"/>
        </w:rPr>
        <w:t>The following table illustrates the significant amounts reclassified out of each component of AOCI for the year ended December 31, 2016:</w:t>
      </w:r>
    </w:p>
    <w:p>
      <w:pPr>
        <w:pStyle w:val="BodyText"/>
        <w:rPr>
          <w:sz w:val="12"/>
        </w:rPr>
      </w:pPr>
    </w:p>
    <w:p>
      <w:pPr>
        <w:spacing w:after="0"/>
        <w:rPr>
          <w:sz w:val="12"/>
        </w:rPr>
        <w:sectPr>
          <w:type w:val="continuous"/>
          <w:pgSz w:w="11880" w:h="15480"/>
          <w:pgMar w:top="1260" w:bottom="280" w:left="1260" w:right="1260"/>
        </w:sectPr>
      </w:pPr>
    </w:p>
    <w:p>
      <w:pPr>
        <w:spacing w:line="560" w:lineRule="atLeast" w:before="89"/>
        <w:ind w:left="180" w:right="1102" w:firstLine="0"/>
        <w:jc w:val="left"/>
        <w:rPr>
          <w:b/>
          <w:sz w:val="20"/>
        </w:rPr>
      </w:pPr>
      <w:r>
        <w:rPr>
          <w:b/>
          <w:color w:val="231F20"/>
          <w:sz w:val="20"/>
        </w:rPr>
        <w:t>(in  millions) AOCI components</w:t>
      </w:r>
    </w:p>
    <w:p>
      <w:pPr>
        <w:spacing w:before="69"/>
        <w:ind w:left="180" w:right="0" w:firstLine="0"/>
        <w:jc w:val="left"/>
        <w:rPr>
          <w:sz w:val="20"/>
        </w:rPr>
      </w:pPr>
      <w:r>
        <w:rPr>
          <w:color w:val="231F20"/>
          <w:sz w:val="20"/>
        </w:rPr>
        <w:t>Unrealized loss on fuel derivative</w:t>
      </w:r>
    </w:p>
    <w:p>
      <w:pPr>
        <w:spacing w:before="99"/>
        <w:ind w:left="179" w:right="0" w:firstLine="0"/>
        <w:jc w:val="center"/>
        <w:rPr>
          <w:b/>
          <w:sz w:val="20"/>
        </w:rPr>
      </w:pPr>
      <w:r>
        <w:rPr/>
        <w:br w:type="column"/>
      </w:r>
      <w:r>
        <w:rPr>
          <w:b/>
          <w:color w:val="231F20"/>
          <w:sz w:val="20"/>
        </w:rPr>
        <w:t>Year ended December 31, 2016</w:t>
      </w:r>
    </w:p>
    <w:p>
      <w:pPr>
        <w:pStyle w:val="BodyText"/>
        <w:rPr>
          <w:b/>
        </w:rPr>
      </w:pPr>
    </w:p>
    <w:p>
      <w:pPr>
        <w:spacing w:line="249" w:lineRule="auto" w:before="156"/>
        <w:ind w:left="641" w:right="402" w:firstLine="0"/>
        <w:jc w:val="center"/>
        <w:rPr>
          <w:b/>
          <w:sz w:val="20"/>
        </w:rPr>
      </w:pPr>
      <w:r>
        <w:rPr/>
        <w:pict>
          <v:line style="position:absolute;mso-position-horizontal-relative:page;mso-position-vertical-relative:paragraph;z-index:-372040" from="524.5pt,31.635937pt" to="69.5pt,31.635937pt" stroked="true" strokeweight="1pt" strokecolor="#231f20">
            <v:stroke dashstyle="solid"/>
            <w10:wrap type="none"/>
          </v:line>
        </w:pict>
      </w:r>
      <w:r>
        <w:rPr/>
        <w:pict>
          <v:line style="position:absolute;mso-position-horizontal-relative:page;mso-position-vertical-relative:paragraph;z-index:-372016" from="69pt,-11.364062pt" to="525pt,-11.364062pt" stroked="true" strokeweight="1pt" strokecolor="#231f20">
            <v:stroke dashstyle="solid"/>
            <w10:wrap type="none"/>
          </v:line>
        </w:pict>
      </w:r>
      <w:r>
        <w:rPr>
          <w:b/>
          <w:color w:val="231F20"/>
          <w:sz w:val="20"/>
        </w:rPr>
        <w:t>Amounts reclassified from AOCI</w:t>
      </w:r>
    </w:p>
    <w:p>
      <w:pPr>
        <w:pStyle w:val="BodyText"/>
        <w:rPr>
          <w:b/>
        </w:rPr>
      </w:pPr>
      <w:r>
        <w:rPr/>
        <w:br w:type="column"/>
      </w:r>
      <w:r>
        <w:rPr>
          <w:b/>
        </w:rPr>
      </w:r>
    </w:p>
    <w:p>
      <w:pPr>
        <w:pStyle w:val="BodyText"/>
        <w:spacing w:before="5"/>
        <w:rPr>
          <w:b/>
          <w:sz w:val="21"/>
        </w:rPr>
      </w:pPr>
    </w:p>
    <w:p>
      <w:pPr>
        <w:spacing w:line="249" w:lineRule="auto" w:before="0"/>
        <w:ind w:left="180" w:right="733" w:hanging="1"/>
        <w:jc w:val="center"/>
        <w:rPr>
          <w:b/>
          <w:sz w:val="20"/>
        </w:rPr>
      </w:pPr>
      <w:r>
        <w:rPr>
          <w:b/>
          <w:color w:val="231F20"/>
          <w:sz w:val="20"/>
        </w:rPr>
        <w:t>Affected line item in the Consolidated Statement of Comprehensive Income</w:t>
      </w:r>
    </w:p>
    <w:p>
      <w:pPr>
        <w:spacing w:after="0" w:line="249" w:lineRule="auto"/>
        <w:jc w:val="center"/>
        <w:rPr>
          <w:sz w:val="20"/>
        </w:rPr>
        <w:sectPr>
          <w:type w:val="continuous"/>
          <w:pgSz w:w="11880" w:h="15480"/>
          <w:pgMar w:top="1260" w:bottom="280" w:left="1260" w:right="1260"/>
          <w:cols w:num="3" w:equalWidth="0">
            <w:col w:w="2883" w:space="322"/>
            <w:col w:w="2831" w:space="151"/>
            <w:col w:w="3173"/>
          </w:cols>
        </w:sectPr>
      </w:pPr>
    </w:p>
    <w:p>
      <w:pPr>
        <w:tabs>
          <w:tab w:pos="3846" w:val="left" w:leader="none"/>
          <w:tab w:pos="5232" w:val="left" w:leader="none"/>
          <w:tab w:pos="5752" w:val="left" w:leader="none"/>
        </w:tabs>
        <w:spacing w:before="9"/>
        <w:ind w:left="380" w:right="0" w:firstLine="0"/>
        <w:jc w:val="left"/>
        <w:rPr>
          <w:sz w:val="20"/>
        </w:rPr>
      </w:pPr>
      <w:r>
        <w:rPr>
          <w:color w:val="231F20"/>
          <w:sz w:val="20"/>
        </w:rPr>
        <w:t>instruments</w:t>
        <w:tab/>
        <w:t>$</w:t>
        <w:tab/>
        <w:t>973</w:t>
        <w:tab/>
        <w:t>Fuel and oil expense</w:t>
      </w:r>
    </w:p>
    <w:p>
      <w:pPr>
        <w:tabs>
          <w:tab w:pos="5232" w:val="left" w:leader="none"/>
          <w:tab w:pos="5752" w:val="left" w:leader="none"/>
          <w:tab w:pos="9239" w:val="left" w:leader="none"/>
        </w:tabs>
        <w:spacing w:before="69"/>
        <w:ind w:left="120" w:right="0" w:firstLine="0"/>
        <w:jc w:val="left"/>
        <w:rPr>
          <w:sz w:val="20"/>
        </w:rPr>
      </w:pPr>
      <w:r>
        <w:rPr/>
        <w:pict>
          <v:line style="position:absolute;mso-position-horizontal-relative:page;mso-position-vertical-relative:paragraph;z-index:6808;mso-wrap-distance-left:0;mso-wrap-distance-right:0" from="255.350006pt,16.535938pt" to="344.650006pt,16.535938pt" stroked="true" strokeweight=".5pt" strokecolor="#231f20">
            <v:stroke dashstyle="solid"/>
            <w10:wrap type="topAndBottom"/>
          </v:line>
        </w:pict>
      </w:r>
      <w:r>
        <w:rPr>
          <w:color w:val="231F20"/>
          <w:sz w:val="20"/>
          <w:shd w:fill="D1D3D4" w:color="auto" w:val="clear"/>
        </w:rPr>
        <w:t> </w:t>
        <w:tab/>
        <w:t>360</w:t>
        <w:tab/>
        <w:t>Less: Tax expense</w:t>
        <w:tab/>
      </w:r>
    </w:p>
    <w:p>
      <w:pPr>
        <w:tabs>
          <w:tab w:pos="5232" w:val="left" w:leader="none"/>
          <w:tab w:pos="5752" w:val="left" w:leader="none"/>
        </w:tabs>
        <w:spacing w:before="24"/>
        <w:ind w:left="3847" w:right="0" w:firstLine="0"/>
        <w:jc w:val="left"/>
        <w:rPr>
          <w:sz w:val="20"/>
        </w:rPr>
      </w:pPr>
      <w:r>
        <w:rPr>
          <w:color w:val="231F20"/>
          <w:sz w:val="20"/>
        </w:rPr>
        <w:t>$</w:t>
        <w:tab/>
        <w:t>613</w:t>
        <w:tab/>
        <w:t>Net of tax</w:t>
      </w:r>
    </w:p>
    <w:p>
      <w:pPr>
        <w:spacing w:before="89"/>
        <w:ind w:left="180" w:right="0" w:firstLine="0"/>
        <w:jc w:val="left"/>
        <w:rPr>
          <w:sz w:val="20"/>
        </w:rPr>
      </w:pPr>
      <w:r>
        <w:rPr/>
        <w:pict>
          <v:group style="position:absolute;margin-left:69pt;margin-top:1.285938pt;width:456pt;height:27.5pt;mso-position-horizontal-relative:page;mso-position-vertical-relative:paragraph;z-index:-372088" coordorigin="1380,26" coordsize="9120,550">
            <v:rect style="position:absolute;left:1380;top:36;width:9120;height:540" filled="true" fillcolor="#d1d3d4" stroked="false">
              <v:fill type="solid"/>
            </v:rect>
            <v:line style="position:absolute" from="5107,31" to="6893,31" stroked="true" strokeweight=".5pt" strokecolor="#231f20">
              <v:stroke dashstyle="solid"/>
            </v:line>
            <w10:wrap type="none"/>
          </v:group>
        </w:pict>
      </w:r>
      <w:r>
        <w:rPr>
          <w:color w:val="231F20"/>
          <w:sz w:val="20"/>
        </w:rPr>
        <w:t>Unrealized loss on interest rate derivative</w:t>
      </w:r>
    </w:p>
    <w:p>
      <w:pPr>
        <w:tabs>
          <w:tab w:pos="3846" w:val="left" w:leader="none"/>
          <w:tab w:pos="5332" w:val="left" w:leader="none"/>
          <w:tab w:pos="5752" w:val="left" w:leader="none"/>
        </w:tabs>
        <w:spacing w:before="9"/>
        <w:ind w:left="380" w:right="0" w:firstLine="0"/>
        <w:jc w:val="left"/>
        <w:rPr>
          <w:sz w:val="20"/>
        </w:rPr>
      </w:pPr>
      <w:r>
        <w:rPr>
          <w:color w:val="231F20"/>
          <w:sz w:val="20"/>
        </w:rPr>
        <w:t>instruments</w:t>
        <w:tab/>
        <w:t>$</w:t>
        <w:tab/>
        <w:t>15</w:t>
        <w:tab/>
        <w:t>Interest</w:t>
      </w:r>
      <w:r>
        <w:rPr>
          <w:color w:val="231F20"/>
          <w:spacing w:val="2"/>
          <w:sz w:val="20"/>
        </w:rPr>
        <w:t> </w:t>
      </w:r>
      <w:r>
        <w:rPr>
          <w:color w:val="231F20"/>
          <w:sz w:val="20"/>
        </w:rPr>
        <w:t>expense</w:t>
      </w:r>
    </w:p>
    <w:p>
      <w:pPr>
        <w:tabs>
          <w:tab w:pos="5752" w:val="left" w:leader="none"/>
        </w:tabs>
        <w:spacing w:before="69"/>
        <w:ind w:left="5433" w:right="0" w:firstLine="0"/>
        <w:jc w:val="left"/>
        <w:rPr>
          <w:sz w:val="20"/>
        </w:rPr>
      </w:pPr>
      <w:r>
        <w:rPr/>
        <w:pict>
          <v:group style="position:absolute;margin-left:69pt;margin-top:16.285938pt;width:456pt;height:16.5pt;mso-position-horizontal-relative:page;mso-position-vertical-relative:paragraph;z-index:-372064" coordorigin="1380,326" coordsize="9120,330">
            <v:rect style="position:absolute;left:1380;top:336;width:9120;height:300" filled="true" fillcolor="#d1d3d4" stroked="false">
              <v:fill type="solid"/>
            </v:rect>
            <v:line style="position:absolute" from="5107,331" to="6893,331" stroked="true" strokeweight=".5pt" strokecolor="#231f20">
              <v:stroke dashstyle="solid"/>
            </v:line>
            <v:line style="position:absolute" from="5107,651" to="6893,651" stroked="true" strokeweight=".5pt" strokecolor="#231f20">
              <v:stroke dashstyle="solid"/>
            </v:line>
            <w10:wrap type="none"/>
          </v:group>
        </w:pict>
      </w:r>
      <w:r>
        <w:rPr>
          <w:color w:val="231F20"/>
          <w:sz w:val="20"/>
        </w:rPr>
        <w:t>6</w:t>
        <w:tab/>
        <w:t>Less: Tax expense</w:t>
      </w:r>
    </w:p>
    <w:p>
      <w:pPr>
        <w:tabs>
          <w:tab w:pos="5432" w:val="left" w:leader="none"/>
          <w:tab w:pos="5752" w:val="left" w:leader="none"/>
        </w:tabs>
        <w:spacing w:before="89"/>
        <w:ind w:left="3847" w:right="0" w:firstLine="0"/>
        <w:jc w:val="left"/>
        <w:rPr>
          <w:sz w:val="20"/>
        </w:rPr>
      </w:pPr>
      <w:r>
        <w:rPr>
          <w:color w:val="231F20"/>
          <w:sz w:val="20"/>
        </w:rPr>
        <w:t>$</w:t>
        <w:tab/>
        <w:t>9</w:t>
        <w:tab/>
        <w:t>Net of tax</w:t>
      </w:r>
    </w:p>
    <w:p>
      <w:pPr>
        <w:pStyle w:val="BodyText"/>
        <w:spacing w:before="8"/>
        <w:rPr>
          <w:sz w:val="26"/>
        </w:rPr>
      </w:pPr>
      <w:r>
        <w:rPr/>
        <w:pict>
          <v:line style="position:absolute;mso-position-horizontal-relative:page;mso-position-vertical-relative:paragraph;z-index:6832;mso-wrap-distance-left:0;mso-wrap-distance-right:0" from="255.350006pt,17.572851pt" to="344.650006pt,17.572851pt" stroked="true" strokeweight=".5pt" strokecolor="#231f20">
            <v:stroke dashstyle="solid"/>
            <w10:wrap type="topAndBottom"/>
          </v:line>
        </w:pict>
      </w:r>
    </w:p>
    <w:p>
      <w:pPr>
        <w:tabs>
          <w:tab w:pos="3846" w:val="left" w:leader="none"/>
          <w:tab w:pos="5232" w:val="left" w:leader="none"/>
          <w:tab w:pos="5752" w:val="left" w:leader="none"/>
        </w:tabs>
        <w:spacing w:before="24" w:after="26"/>
        <w:ind w:left="180" w:right="0" w:firstLine="0"/>
        <w:jc w:val="left"/>
        <w:rPr>
          <w:sz w:val="20"/>
        </w:rPr>
      </w:pPr>
      <w:r>
        <w:rPr>
          <w:color w:val="231F20"/>
          <w:sz w:val="20"/>
        </w:rPr>
        <w:t>Total reclassifications for</w:t>
      </w:r>
      <w:r>
        <w:rPr>
          <w:color w:val="231F20"/>
          <w:spacing w:val="4"/>
          <w:sz w:val="20"/>
        </w:rPr>
        <w:t> </w:t>
      </w:r>
      <w:r>
        <w:rPr>
          <w:color w:val="231F20"/>
          <w:sz w:val="20"/>
        </w:rPr>
        <w:t>the period</w:t>
        <w:tab/>
        <w:t>$</w:t>
        <w:tab/>
        <w:t>622</w:t>
        <w:tab/>
        <w:t>Net of tax</w:t>
      </w:r>
    </w:p>
    <w:p>
      <w:pPr>
        <w:pStyle w:val="BodyText"/>
        <w:spacing w:line="50" w:lineRule="exact"/>
        <w:ind w:left="3842"/>
        <w:rPr>
          <w:sz w:val="5"/>
        </w:rPr>
      </w:pPr>
      <w:r>
        <w:rPr>
          <w:position w:val="0"/>
          <w:sz w:val="5"/>
        </w:rPr>
        <w:pict>
          <v:group style="width:89.8pt;height:2.5pt;mso-position-horizontal-relative:char;mso-position-vertical-relative:line" coordorigin="0,0" coordsize="1796,50">
            <v:line style="position:absolute" from="5,5" to="1791,5" stroked="true" strokeweight=".5pt" strokecolor="#231f20">
              <v:stroke dashstyle="solid"/>
            </v:line>
            <v:line style="position:absolute" from="5,45" to="1791,45" stroked="true" strokeweight=".5pt" strokecolor="#231f20">
              <v:stroke dashstyle="solid"/>
            </v:line>
          </v:group>
        </w:pict>
      </w:r>
      <w:r>
        <w:rPr>
          <w:position w:val="0"/>
          <w:sz w:val="5"/>
        </w:rPr>
      </w:r>
    </w:p>
    <w:p>
      <w:pPr>
        <w:pStyle w:val="BodyText"/>
        <w:spacing w:before="11"/>
        <w:rPr>
          <w:sz w:val="16"/>
        </w:rPr>
      </w:pPr>
    </w:p>
    <w:p>
      <w:pPr>
        <w:pStyle w:val="Heading1"/>
        <w:numPr>
          <w:ilvl w:val="0"/>
          <w:numId w:val="16"/>
        </w:numPr>
        <w:tabs>
          <w:tab w:pos="450" w:val="left" w:leader="none"/>
        </w:tabs>
        <w:spacing w:line="240" w:lineRule="auto" w:before="99" w:after="0"/>
        <w:ind w:left="450" w:right="0" w:hanging="330"/>
        <w:jc w:val="both"/>
      </w:pPr>
      <w:r>
        <w:rPr>
          <w:color w:val="231F20"/>
        </w:rPr>
        <w:t>EMPLOYEE RETIREMENT</w:t>
      </w:r>
      <w:r>
        <w:rPr>
          <w:color w:val="231F20"/>
          <w:spacing w:val="2"/>
        </w:rPr>
        <w:t> </w:t>
      </w:r>
      <w:r>
        <w:rPr>
          <w:color w:val="231F20"/>
        </w:rPr>
        <w:t>PLANS</w:t>
      </w:r>
    </w:p>
    <w:p>
      <w:pPr>
        <w:pStyle w:val="BodyText"/>
        <w:spacing w:before="4"/>
        <w:rPr>
          <w:b/>
          <w:sz w:val="21"/>
        </w:rPr>
      </w:pPr>
    </w:p>
    <w:p>
      <w:pPr>
        <w:pStyle w:val="Heading2"/>
        <w:spacing w:before="1"/>
        <w:ind w:left="480"/>
        <w:rPr>
          <w:i/>
        </w:rPr>
      </w:pPr>
      <w:r>
        <w:rPr>
          <w:i/>
          <w:color w:val="231F20"/>
        </w:rPr>
        <w:t>Defined Contribution Plans</w:t>
      </w:r>
    </w:p>
    <w:p>
      <w:pPr>
        <w:pStyle w:val="BodyText"/>
        <w:spacing w:before="5"/>
        <w:rPr>
          <w:b/>
          <w:i/>
          <w:sz w:val="21"/>
        </w:rPr>
      </w:pPr>
    </w:p>
    <w:p>
      <w:pPr>
        <w:pStyle w:val="BodyText"/>
        <w:spacing w:line="247" w:lineRule="auto"/>
        <w:ind w:left="120" w:right="117"/>
        <w:jc w:val="both"/>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of 1986, as amended, which include Company matching contributions. In addition, the Southwest Airlines Co. ProfitSharing Plan (ProfitSharing Plan) is a defined contribution plan to which the Company may contribute a percentage of its eligible pre-tax profits, as defined, on an annual basis. No Employee contributions to the ProfitSharing Plan are</w:t>
      </w:r>
      <w:r>
        <w:rPr>
          <w:color w:val="231F20"/>
          <w:spacing w:val="-6"/>
        </w:rPr>
        <w:t> </w:t>
      </w:r>
      <w:r>
        <w:rPr>
          <w:color w:val="231F20"/>
        </w:rPr>
        <w:t>allowed.</w:t>
      </w:r>
    </w:p>
    <w:p>
      <w:pPr>
        <w:spacing w:after="0" w:line="247" w:lineRule="auto"/>
        <w:jc w:val="both"/>
        <w:sectPr>
          <w:type w:val="continuous"/>
          <w:pgSz w:w="11880" w:h="15480"/>
          <w:pgMar w:top="1260" w:bottom="280" w:left="1260" w:right="1260"/>
        </w:sectPr>
      </w:pPr>
    </w:p>
    <w:p>
      <w:pPr>
        <w:pStyle w:val="BodyText"/>
        <w:spacing w:line="247" w:lineRule="auto" w:before="74"/>
        <w:ind w:left="120" w:right="118"/>
        <w:jc w:val="both"/>
      </w:pPr>
      <w:r>
        <w:rPr>
          <w:color w:val="231F20"/>
        </w:rPr>
        <w:t>Amounts associated with the Company’s defined contribution plans expensed in 2016, 2015, and 2014, reflected  as  a  component  of  Salaries,  wages,  and  benefits,  were  $937  million,  $945  million,</w:t>
      </w:r>
      <w:r>
        <w:rPr>
          <w:color w:val="231F20"/>
          <w:spacing w:val="-13"/>
        </w:rPr>
        <w:t> </w:t>
      </w:r>
      <w:r>
        <w:rPr>
          <w:color w:val="231F20"/>
        </w:rPr>
        <w:t>and</w:t>
      </w:r>
    </w:p>
    <w:p>
      <w:pPr>
        <w:pStyle w:val="BodyText"/>
        <w:spacing w:line="253" w:lineRule="exact"/>
        <w:ind w:left="120"/>
        <w:jc w:val="both"/>
      </w:pPr>
      <w:r>
        <w:rPr>
          <w:color w:val="231F20"/>
        </w:rPr>
        <w:t>$644 million, respectively.</w:t>
      </w:r>
    </w:p>
    <w:p>
      <w:pPr>
        <w:pStyle w:val="BodyText"/>
        <w:spacing w:before="6"/>
        <w:rPr>
          <w:sz w:val="21"/>
        </w:rPr>
      </w:pPr>
    </w:p>
    <w:p>
      <w:pPr>
        <w:pStyle w:val="Heading2"/>
        <w:ind w:left="480"/>
        <w:rPr>
          <w:i/>
        </w:rPr>
      </w:pPr>
      <w:r>
        <w:rPr>
          <w:i/>
          <w:color w:val="231F20"/>
        </w:rPr>
        <w:t>Postretirement Benefit Plans</w:t>
      </w:r>
    </w:p>
    <w:p>
      <w:pPr>
        <w:pStyle w:val="BodyText"/>
        <w:spacing w:before="5"/>
        <w:rPr>
          <w:b/>
          <w:i/>
          <w:sz w:val="21"/>
        </w:rPr>
      </w:pPr>
    </w:p>
    <w:p>
      <w:pPr>
        <w:pStyle w:val="BodyText"/>
        <w:spacing w:line="247" w:lineRule="auto"/>
        <w:ind w:left="120" w:right="118"/>
        <w:jc w:val="both"/>
      </w:pPr>
      <w:r>
        <w:rPr>
          <w:color w:val="231F20"/>
        </w:rPr>
        <w:t>The Company provides postretirement benefits to qualified retirees in the form of medical and dental coverage. Employees must meet minimum levels of service and age requirements as set forth by the Company, or as specified in collective-bargaining agreements with specific workgroups. Employees meeting these requirements, as defined, may use accrued unused sick time to pay for medical and dental premiums from the age of retirement until age</w:t>
      </w:r>
      <w:r>
        <w:rPr>
          <w:color w:val="231F20"/>
          <w:spacing w:val="-4"/>
        </w:rPr>
        <w:t> </w:t>
      </w:r>
      <w:r>
        <w:rPr>
          <w:color w:val="231F20"/>
        </w:rPr>
        <w:t>65.</w:t>
      </w:r>
    </w:p>
    <w:p>
      <w:pPr>
        <w:pStyle w:val="BodyText"/>
        <w:spacing w:before="9"/>
        <w:rPr>
          <w:sz w:val="20"/>
        </w:rPr>
      </w:pPr>
    </w:p>
    <w:p>
      <w:pPr>
        <w:pStyle w:val="BodyText"/>
        <w:spacing w:line="247" w:lineRule="auto"/>
        <w:ind w:left="120" w:right="117"/>
        <w:jc w:val="both"/>
      </w:pPr>
      <w:r>
        <w:rPr/>
        <w:pict>
          <v:line style="position:absolute;mso-position-horizontal-relative:page;mso-position-vertical-relative:paragraph;z-index:-371968" from="69pt,48.771606pt" to="345pt,48.771606pt" stroked="true" strokeweight="1pt" strokecolor="#231f20">
            <v:stroke dashstyle="solid"/>
            <w10:wrap type="none"/>
          </v:line>
        </w:pict>
      </w:r>
      <w:r>
        <w:rPr>
          <w:color w:val="231F20"/>
        </w:rPr>
        <w:t>The following table shows the change in the accumulated postretirement benefit obligation (APBO) for the years ended December 31, 2016 and 2015:</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130"/>
        <w:gridCol w:w="510"/>
        <w:gridCol w:w="160"/>
        <w:gridCol w:w="1130"/>
        <w:gridCol w:w="510"/>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130" w:type="dxa"/>
            <w:tcBorders>
              <w:bottom w:val="single" w:sz="8" w:space="0" w:color="231F20"/>
            </w:tcBorders>
          </w:tcPr>
          <w:p>
            <w:pPr>
              <w:pStyle w:val="TableParagraph"/>
              <w:spacing w:line="229" w:lineRule="exact" w:before="0"/>
              <w:ind w:left="620"/>
              <w:rPr>
                <w:b/>
                <w:sz w:val="20"/>
              </w:rPr>
            </w:pPr>
            <w:r>
              <w:rPr>
                <w:b/>
                <w:color w:val="231F20"/>
                <w:sz w:val="20"/>
              </w:rPr>
              <w:t>2016</w:t>
            </w:r>
          </w:p>
        </w:tc>
        <w:tc>
          <w:tcPr>
            <w:tcW w:w="510" w:type="dxa"/>
            <w:tcBorders>
              <w:bottom w:val="single" w:sz="8" w:space="0" w:color="231F20"/>
            </w:tcBorders>
          </w:tcPr>
          <w:p>
            <w:pPr/>
          </w:p>
        </w:tc>
        <w:tc>
          <w:tcPr>
            <w:tcW w:w="160" w:type="dxa"/>
          </w:tcPr>
          <w:p>
            <w:pPr/>
          </w:p>
        </w:tc>
        <w:tc>
          <w:tcPr>
            <w:tcW w:w="1130" w:type="dxa"/>
            <w:tcBorders>
              <w:bottom w:val="single" w:sz="8" w:space="0" w:color="231F20"/>
            </w:tcBorders>
          </w:tcPr>
          <w:p>
            <w:pPr>
              <w:pStyle w:val="TableParagraph"/>
              <w:spacing w:line="229" w:lineRule="exact" w:before="0"/>
              <w:ind w:left="620"/>
              <w:rPr>
                <w:b/>
                <w:sz w:val="20"/>
              </w:rPr>
            </w:pPr>
            <w:r>
              <w:rPr>
                <w:b/>
                <w:color w:val="231F20"/>
                <w:sz w:val="20"/>
              </w:rPr>
              <w:t>2015</w:t>
            </w:r>
          </w:p>
        </w:tc>
        <w:tc>
          <w:tcPr>
            <w:tcW w:w="510" w:type="dxa"/>
            <w:tcBorders>
              <w:bottom w:val="single" w:sz="8" w:space="0" w:color="231F20"/>
            </w:tcBorders>
          </w:tcPr>
          <w:p>
            <w:pPr/>
          </w:p>
        </w:tc>
      </w:tr>
      <w:tr>
        <w:trPr>
          <w:trHeight w:val="310" w:hRule="exact"/>
        </w:trPr>
        <w:tc>
          <w:tcPr>
            <w:tcW w:w="5520" w:type="dxa"/>
            <w:shd w:val="clear" w:color="auto" w:fill="D1D3D4"/>
          </w:tcPr>
          <w:p>
            <w:pPr>
              <w:pStyle w:val="TableParagraph"/>
              <w:rPr>
                <w:sz w:val="20"/>
              </w:rPr>
            </w:pPr>
            <w:r>
              <w:rPr>
                <w:color w:val="231F20"/>
                <w:sz w:val="20"/>
              </w:rPr>
              <w:t>APBO at beginning of period</w:t>
            </w:r>
          </w:p>
        </w:tc>
        <w:tc>
          <w:tcPr>
            <w:tcW w:w="160" w:type="dxa"/>
            <w:shd w:val="clear" w:color="auto" w:fill="D1D3D4"/>
          </w:tcPr>
          <w:p>
            <w:pPr/>
          </w:p>
        </w:tc>
        <w:tc>
          <w:tcPr>
            <w:tcW w:w="1130" w:type="dxa"/>
            <w:tcBorders>
              <w:top w:val="single" w:sz="8" w:space="0" w:color="231F20"/>
            </w:tcBorders>
            <w:shd w:val="clear" w:color="auto" w:fill="D1D3D4"/>
          </w:tcPr>
          <w:p>
            <w:pPr>
              <w:pStyle w:val="TableParagraph"/>
              <w:rPr>
                <w:sz w:val="20"/>
              </w:rPr>
            </w:pPr>
            <w:r>
              <w:rPr>
                <w:color w:val="231F20"/>
                <w:sz w:val="20"/>
              </w:rPr>
              <w:t>$</w:t>
            </w:r>
          </w:p>
        </w:tc>
        <w:tc>
          <w:tcPr>
            <w:tcW w:w="510" w:type="dxa"/>
            <w:tcBorders>
              <w:top w:val="single" w:sz="8" w:space="0" w:color="231F20"/>
            </w:tcBorders>
            <w:shd w:val="clear" w:color="auto" w:fill="D1D3D4"/>
          </w:tcPr>
          <w:p>
            <w:pPr>
              <w:pStyle w:val="TableParagraph"/>
              <w:ind w:right="97"/>
              <w:jc w:val="right"/>
              <w:rPr>
                <w:sz w:val="20"/>
              </w:rPr>
            </w:pPr>
            <w:r>
              <w:rPr>
                <w:color w:val="231F20"/>
                <w:sz w:val="20"/>
              </w:rPr>
              <w:t>201</w:t>
            </w:r>
          </w:p>
        </w:tc>
        <w:tc>
          <w:tcPr>
            <w:tcW w:w="160" w:type="dxa"/>
            <w:shd w:val="clear" w:color="auto" w:fill="D1D3D4"/>
          </w:tcPr>
          <w:p>
            <w:pPr/>
          </w:p>
        </w:tc>
        <w:tc>
          <w:tcPr>
            <w:tcW w:w="1130" w:type="dxa"/>
            <w:tcBorders>
              <w:top w:val="single" w:sz="8" w:space="0" w:color="231F20"/>
            </w:tcBorders>
            <w:shd w:val="clear" w:color="auto" w:fill="D1D3D4"/>
          </w:tcPr>
          <w:p>
            <w:pPr>
              <w:pStyle w:val="TableParagraph"/>
              <w:rPr>
                <w:sz w:val="20"/>
              </w:rPr>
            </w:pPr>
            <w:r>
              <w:rPr>
                <w:color w:val="231F20"/>
                <w:sz w:val="20"/>
              </w:rPr>
              <w:t>$</w:t>
            </w:r>
          </w:p>
        </w:tc>
        <w:tc>
          <w:tcPr>
            <w:tcW w:w="510" w:type="dxa"/>
            <w:tcBorders>
              <w:top w:val="single" w:sz="8" w:space="0" w:color="231F20"/>
            </w:tcBorders>
            <w:shd w:val="clear" w:color="auto" w:fill="D1D3D4"/>
          </w:tcPr>
          <w:p>
            <w:pPr>
              <w:pStyle w:val="TableParagraph"/>
              <w:ind w:right="97"/>
              <w:jc w:val="right"/>
              <w:rPr>
                <w:sz w:val="20"/>
              </w:rPr>
            </w:pPr>
            <w:r>
              <w:rPr>
                <w:color w:val="231F20"/>
                <w:sz w:val="20"/>
              </w:rPr>
              <w:t>169</w:t>
            </w:r>
          </w:p>
        </w:tc>
      </w:tr>
      <w:tr>
        <w:trPr>
          <w:trHeight w:val="300" w:hRule="exact"/>
        </w:trPr>
        <w:tc>
          <w:tcPr>
            <w:tcW w:w="5520" w:type="dxa"/>
          </w:tcPr>
          <w:p>
            <w:pPr>
              <w:pStyle w:val="TableParagraph"/>
              <w:ind w:left="200"/>
              <w:rPr>
                <w:sz w:val="20"/>
              </w:rPr>
            </w:pPr>
            <w:r>
              <w:rPr>
                <w:color w:val="231F20"/>
                <w:sz w:val="20"/>
              </w:rPr>
              <w:t>Service cost</w:t>
            </w:r>
          </w:p>
        </w:tc>
        <w:tc>
          <w:tcPr>
            <w:tcW w:w="160" w:type="dxa"/>
          </w:tcPr>
          <w:p>
            <w:pPr/>
          </w:p>
        </w:tc>
        <w:tc>
          <w:tcPr>
            <w:tcW w:w="1130" w:type="dxa"/>
          </w:tcPr>
          <w:p>
            <w:pPr/>
          </w:p>
        </w:tc>
        <w:tc>
          <w:tcPr>
            <w:tcW w:w="510" w:type="dxa"/>
          </w:tcPr>
          <w:p>
            <w:pPr>
              <w:pStyle w:val="TableParagraph"/>
              <w:ind w:right="99"/>
              <w:jc w:val="right"/>
              <w:rPr>
                <w:sz w:val="20"/>
              </w:rPr>
            </w:pPr>
            <w:r>
              <w:rPr>
                <w:color w:val="231F20"/>
                <w:sz w:val="20"/>
              </w:rPr>
              <w:t>13</w:t>
            </w:r>
          </w:p>
        </w:tc>
        <w:tc>
          <w:tcPr>
            <w:tcW w:w="160" w:type="dxa"/>
          </w:tcPr>
          <w:p>
            <w:pPr/>
          </w:p>
        </w:tc>
        <w:tc>
          <w:tcPr>
            <w:tcW w:w="1130" w:type="dxa"/>
          </w:tcPr>
          <w:p>
            <w:pPr/>
          </w:p>
        </w:tc>
        <w:tc>
          <w:tcPr>
            <w:tcW w:w="510" w:type="dxa"/>
          </w:tcPr>
          <w:p>
            <w:pPr>
              <w:pStyle w:val="TableParagraph"/>
              <w:ind w:right="99"/>
              <w:jc w:val="right"/>
              <w:rPr>
                <w:sz w:val="20"/>
              </w:rPr>
            </w:pPr>
            <w:r>
              <w:rPr>
                <w:color w:val="231F20"/>
                <w:sz w:val="20"/>
              </w:rPr>
              <w:t>11</w:t>
            </w:r>
          </w:p>
        </w:tc>
      </w:tr>
      <w:tr>
        <w:trPr>
          <w:trHeight w:val="300" w:hRule="exact"/>
        </w:trPr>
        <w:tc>
          <w:tcPr>
            <w:tcW w:w="5520" w:type="dxa"/>
            <w:shd w:val="clear" w:color="auto" w:fill="D1D3D4"/>
          </w:tcPr>
          <w:p>
            <w:pPr>
              <w:pStyle w:val="TableParagraph"/>
              <w:ind w:left="200"/>
              <w:rPr>
                <w:sz w:val="20"/>
              </w:rPr>
            </w:pPr>
            <w:r>
              <w:rPr>
                <w:color w:val="231F20"/>
                <w:sz w:val="20"/>
              </w:rPr>
              <w:t>Interest cost</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9"/>
              <w:jc w:val="right"/>
              <w:rPr>
                <w:sz w:val="20"/>
              </w:rPr>
            </w:pPr>
            <w:r>
              <w:rPr>
                <w:color w:val="231F20"/>
                <w:sz w:val="20"/>
              </w:rPr>
              <w:t>9</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9"/>
              <w:jc w:val="right"/>
              <w:rPr>
                <w:sz w:val="20"/>
              </w:rPr>
            </w:pPr>
            <w:r>
              <w:rPr>
                <w:color w:val="231F20"/>
                <w:sz w:val="20"/>
              </w:rPr>
              <w:t>7</w:t>
            </w:r>
          </w:p>
        </w:tc>
      </w:tr>
      <w:tr>
        <w:trPr>
          <w:trHeight w:val="300" w:hRule="exact"/>
        </w:trPr>
        <w:tc>
          <w:tcPr>
            <w:tcW w:w="5520" w:type="dxa"/>
          </w:tcPr>
          <w:p>
            <w:pPr>
              <w:pStyle w:val="TableParagraph"/>
              <w:ind w:left="200"/>
              <w:rPr>
                <w:sz w:val="20"/>
              </w:rPr>
            </w:pPr>
            <w:r>
              <w:rPr>
                <w:color w:val="231F20"/>
                <w:sz w:val="20"/>
              </w:rPr>
              <w:t>Benefits paid</w:t>
            </w:r>
          </w:p>
        </w:tc>
        <w:tc>
          <w:tcPr>
            <w:tcW w:w="160" w:type="dxa"/>
          </w:tcPr>
          <w:p>
            <w:pPr/>
          </w:p>
        </w:tc>
        <w:tc>
          <w:tcPr>
            <w:tcW w:w="1130" w:type="dxa"/>
          </w:tcPr>
          <w:p>
            <w:pPr/>
          </w:p>
        </w:tc>
        <w:tc>
          <w:tcPr>
            <w:tcW w:w="510" w:type="dxa"/>
          </w:tcPr>
          <w:p>
            <w:pPr>
              <w:pStyle w:val="TableParagraph"/>
              <w:ind w:right="48"/>
              <w:jc w:val="right"/>
              <w:rPr>
                <w:sz w:val="20"/>
              </w:rPr>
            </w:pPr>
            <w:r>
              <w:rPr>
                <w:color w:val="231F20"/>
                <w:sz w:val="20"/>
              </w:rPr>
              <w:t>(6)</w:t>
            </w:r>
          </w:p>
        </w:tc>
        <w:tc>
          <w:tcPr>
            <w:tcW w:w="160" w:type="dxa"/>
          </w:tcPr>
          <w:p>
            <w:pPr/>
          </w:p>
        </w:tc>
        <w:tc>
          <w:tcPr>
            <w:tcW w:w="1130" w:type="dxa"/>
          </w:tcPr>
          <w:p>
            <w:pPr/>
          </w:p>
        </w:tc>
        <w:tc>
          <w:tcPr>
            <w:tcW w:w="510" w:type="dxa"/>
          </w:tcPr>
          <w:p>
            <w:pPr>
              <w:pStyle w:val="TableParagraph"/>
              <w:ind w:right="48"/>
              <w:jc w:val="right"/>
              <w:rPr>
                <w:sz w:val="20"/>
              </w:rPr>
            </w:pPr>
            <w:r>
              <w:rPr>
                <w:color w:val="231F20"/>
                <w:sz w:val="20"/>
              </w:rPr>
              <w:t>(6)</w:t>
            </w:r>
          </w:p>
        </w:tc>
      </w:tr>
      <w:tr>
        <w:trPr>
          <w:trHeight w:val="300" w:hRule="exact"/>
        </w:trPr>
        <w:tc>
          <w:tcPr>
            <w:tcW w:w="5520" w:type="dxa"/>
            <w:shd w:val="clear" w:color="auto" w:fill="D1D3D4"/>
          </w:tcPr>
          <w:p>
            <w:pPr>
              <w:pStyle w:val="TableParagraph"/>
              <w:ind w:left="200"/>
              <w:rPr>
                <w:sz w:val="20"/>
              </w:rPr>
            </w:pPr>
            <w:r>
              <w:rPr>
                <w:color w:val="231F20"/>
                <w:sz w:val="20"/>
              </w:rPr>
              <w:t>Actuarial loss</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7"/>
              <w:jc w:val="right"/>
              <w:rPr>
                <w:sz w:val="20"/>
              </w:rPr>
            </w:pPr>
            <w:r>
              <w:rPr>
                <w:color w:val="231F20"/>
                <w:sz w:val="20"/>
              </w:rPr>
              <w:t>38</w:t>
            </w:r>
          </w:p>
        </w:tc>
        <w:tc>
          <w:tcPr>
            <w:tcW w:w="160" w:type="dxa"/>
            <w:shd w:val="clear" w:color="auto" w:fill="D1D3D4"/>
          </w:tcPr>
          <w:p>
            <w:pPr/>
          </w:p>
        </w:tc>
        <w:tc>
          <w:tcPr>
            <w:tcW w:w="1130" w:type="dxa"/>
            <w:shd w:val="clear" w:color="auto" w:fill="D1D3D4"/>
          </w:tcPr>
          <w:p>
            <w:pPr/>
          </w:p>
        </w:tc>
        <w:tc>
          <w:tcPr>
            <w:tcW w:w="510" w:type="dxa"/>
            <w:shd w:val="clear" w:color="auto" w:fill="D1D3D4"/>
          </w:tcPr>
          <w:p>
            <w:pPr>
              <w:pStyle w:val="TableParagraph"/>
              <w:ind w:right="97"/>
              <w:jc w:val="right"/>
              <w:rPr>
                <w:sz w:val="20"/>
              </w:rPr>
            </w:pPr>
            <w:r>
              <w:rPr>
                <w:color w:val="231F20"/>
                <w:sz w:val="20"/>
              </w:rPr>
              <w:t>20</w:t>
            </w:r>
          </w:p>
        </w:tc>
      </w:tr>
      <w:tr>
        <w:trPr>
          <w:trHeight w:val="315" w:hRule="exact"/>
        </w:trPr>
        <w:tc>
          <w:tcPr>
            <w:tcW w:w="5520" w:type="dxa"/>
          </w:tcPr>
          <w:p>
            <w:pPr>
              <w:pStyle w:val="TableParagraph"/>
              <w:ind w:left="200"/>
              <w:rPr>
                <w:sz w:val="20"/>
              </w:rPr>
            </w:pPr>
            <w:r>
              <w:rPr>
                <w:color w:val="231F20"/>
                <w:sz w:val="20"/>
              </w:rPr>
              <w:t>Plan amendments</w:t>
            </w:r>
          </w:p>
        </w:tc>
        <w:tc>
          <w:tcPr>
            <w:tcW w:w="160" w:type="dxa"/>
          </w:tcPr>
          <w:p>
            <w:pPr/>
          </w:p>
        </w:tc>
        <w:tc>
          <w:tcPr>
            <w:tcW w:w="1130" w:type="dxa"/>
            <w:tcBorders>
              <w:bottom w:val="single" w:sz="4" w:space="0" w:color="231F20"/>
            </w:tcBorders>
          </w:tcPr>
          <w:p>
            <w:pPr/>
          </w:p>
        </w:tc>
        <w:tc>
          <w:tcPr>
            <w:tcW w:w="510" w:type="dxa"/>
            <w:tcBorders>
              <w:bottom w:val="single" w:sz="4" w:space="0" w:color="231F20"/>
            </w:tcBorders>
          </w:tcPr>
          <w:p>
            <w:pPr>
              <w:pStyle w:val="TableParagraph"/>
              <w:ind w:right="97"/>
              <w:jc w:val="right"/>
              <w:rPr>
                <w:sz w:val="20"/>
              </w:rPr>
            </w:pPr>
            <w:r>
              <w:rPr>
                <w:color w:val="231F20"/>
                <w:sz w:val="20"/>
              </w:rPr>
              <w:t>1</w:t>
            </w:r>
          </w:p>
        </w:tc>
        <w:tc>
          <w:tcPr>
            <w:tcW w:w="160" w:type="dxa"/>
          </w:tcPr>
          <w:p>
            <w:pPr/>
          </w:p>
        </w:tc>
        <w:tc>
          <w:tcPr>
            <w:tcW w:w="1130" w:type="dxa"/>
            <w:tcBorders>
              <w:bottom w:val="single" w:sz="4" w:space="0" w:color="231F20"/>
            </w:tcBorders>
          </w:tcPr>
          <w:p>
            <w:pPr/>
          </w:p>
        </w:tc>
        <w:tc>
          <w:tcPr>
            <w:tcW w:w="510" w:type="dxa"/>
            <w:tcBorders>
              <w:bottom w:val="single" w:sz="4" w:space="0" w:color="231F20"/>
            </w:tcBorders>
          </w:tcPr>
          <w:p>
            <w:pPr>
              <w:pStyle w:val="TableParagraph"/>
              <w:ind w:right="97"/>
              <w:jc w:val="right"/>
              <w:rPr>
                <w:sz w:val="20"/>
              </w:rPr>
            </w:pPr>
            <w:r>
              <w:rPr>
                <w:color w:val="231F20"/>
                <w:sz w:val="20"/>
              </w:rPr>
              <w:t>—</w:t>
            </w:r>
          </w:p>
        </w:tc>
      </w:tr>
      <w:tr>
        <w:trPr>
          <w:trHeight w:val="360" w:hRule="exact"/>
        </w:trPr>
        <w:tc>
          <w:tcPr>
            <w:tcW w:w="6810" w:type="dxa"/>
            <w:gridSpan w:val="3"/>
            <w:shd w:val="clear" w:color="auto" w:fill="D1D3D4"/>
          </w:tcPr>
          <w:p>
            <w:pPr>
              <w:pStyle w:val="TableParagraph"/>
              <w:tabs>
                <w:tab w:pos="5679" w:val="left" w:leader="none"/>
              </w:tabs>
              <w:rPr>
                <w:sz w:val="20"/>
              </w:rPr>
            </w:pPr>
            <w:r>
              <w:rPr>
                <w:color w:val="231F20"/>
                <w:sz w:val="20"/>
              </w:rPr>
              <w:t>APBO at end</w:t>
            </w:r>
            <w:r>
              <w:rPr>
                <w:color w:val="231F20"/>
                <w:spacing w:val="-2"/>
                <w:sz w:val="20"/>
              </w:rPr>
              <w:t> </w:t>
            </w:r>
            <w:r>
              <w:rPr>
                <w:color w:val="231F20"/>
                <w:sz w:val="20"/>
              </w:rPr>
              <w:t>of period</w:t>
              <w:tab/>
              <w:t>$</w:t>
            </w:r>
          </w:p>
        </w:tc>
        <w:tc>
          <w:tcPr>
            <w:tcW w:w="510" w:type="dxa"/>
            <w:tcBorders>
              <w:bottom w:val="single" w:sz="4" w:space="0" w:color="231F20"/>
            </w:tcBorders>
            <w:shd w:val="clear" w:color="auto" w:fill="D1D3D4"/>
          </w:tcPr>
          <w:p>
            <w:pPr>
              <w:pStyle w:val="TableParagraph"/>
              <w:ind w:right="99"/>
              <w:jc w:val="right"/>
              <w:rPr>
                <w:sz w:val="20"/>
              </w:rPr>
            </w:pPr>
            <w:r>
              <w:rPr>
                <w:color w:val="231F20"/>
                <w:sz w:val="20"/>
              </w:rPr>
              <w:t>256</w:t>
            </w:r>
          </w:p>
        </w:tc>
        <w:tc>
          <w:tcPr>
            <w:tcW w:w="160" w:type="dxa"/>
            <w:shd w:val="clear" w:color="auto" w:fill="D1D3D4"/>
          </w:tcPr>
          <w:p>
            <w:pPr/>
          </w:p>
        </w:tc>
        <w:tc>
          <w:tcPr>
            <w:tcW w:w="1130" w:type="dxa"/>
            <w:tcBorders>
              <w:bottom w:val="single" w:sz="4" w:space="0" w:color="231F20"/>
            </w:tcBorders>
            <w:shd w:val="clear" w:color="auto" w:fill="D1D3D4"/>
          </w:tcPr>
          <w:p>
            <w:pPr>
              <w:pStyle w:val="TableParagraph"/>
              <w:rPr>
                <w:sz w:val="20"/>
              </w:rPr>
            </w:pPr>
            <w:r>
              <w:rPr>
                <w:color w:val="231F20"/>
                <w:sz w:val="20"/>
              </w:rPr>
              <w:t>$</w:t>
            </w:r>
          </w:p>
        </w:tc>
        <w:tc>
          <w:tcPr>
            <w:tcW w:w="510" w:type="dxa"/>
            <w:tcBorders>
              <w:bottom w:val="single" w:sz="4" w:space="0" w:color="231F20"/>
            </w:tcBorders>
            <w:shd w:val="clear" w:color="auto" w:fill="D1D3D4"/>
          </w:tcPr>
          <w:p>
            <w:pPr>
              <w:pStyle w:val="TableParagraph"/>
              <w:ind w:right="99"/>
              <w:jc w:val="right"/>
              <w:rPr>
                <w:sz w:val="20"/>
              </w:rPr>
            </w:pPr>
            <w:r>
              <w:rPr>
                <w:color w:val="231F20"/>
                <w:sz w:val="20"/>
              </w:rPr>
              <w:t>201</w:t>
            </w:r>
          </w:p>
        </w:tc>
      </w:tr>
    </w:tbl>
    <w:p>
      <w:pPr>
        <w:pStyle w:val="BodyText"/>
        <w:spacing w:before="2"/>
        <w:rPr>
          <w:sz w:val="25"/>
        </w:rPr>
      </w:pPr>
    </w:p>
    <w:p>
      <w:pPr>
        <w:pStyle w:val="BodyText"/>
        <w:spacing w:line="247" w:lineRule="auto"/>
        <w:ind w:left="120" w:right="118"/>
        <w:jc w:val="both"/>
      </w:pPr>
      <w:r>
        <w:rPr/>
        <w:pict>
          <v:group style="position:absolute;margin-left:69pt;margin-top:-32.730469pt;width:456.25pt;height:16pt;mso-position-horizontal-relative:page;mso-position-vertical-relative:paragraph;z-index:-371992" coordorigin="1380,-655" coordsize="9125,320">
            <v:rect style="position:absolute;left:1380;top:-655;width:9120;height:300" filled="true" fillcolor="#d1d3d4" stroked="false">
              <v:fill type="solid"/>
            </v:rect>
            <v:line style="position:absolute" from="7060,-340" to="8700,-340" stroked="true" strokeweight=".5pt" strokecolor="#231f20">
              <v:stroke dashstyle="solid"/>
            </v:line>
            <v:line style="position:absolute" from="8860,-340" to="10500,-340" stroked="true" strokeweight=".5pt" strokecolor="#231f20">
              <v:stroke dashstyle="solid"/>
            </v:line>
            <w10:wrap type="none"/>
          </v:group>
        </w:pict>
      </w:r>
      <w:r>
        <w:rPr>
          <w:color w:val="231F20"/>
        </w:rPr>
        <w:t>All plans are unfunded, and benefits are paid as they become due. Estimated future benefit payments expected to be paid are $7 million in 2017, $8 million in 2018, $9 million in 2019, $10 million in 2020,</w:t>
      </w:r>
    </w:p>
    <w:p>
      <w:pPr>
        <w:pStyle w:val="BodyText"/>
        <w:spacing w:line="253" w:lineRule="exact"/>
        <w:ind w:left="120"/>
        <w:jc w:val="both"/>
      </w:pPr>
      <w:r>
        <w:rPr>
          <w:color w:val="231F20"/>
        </w:rPr>
        <w:t>$12 million in 2021, and $90 million for the next five years thereafter.</w:t>
      </w:r>
    </w:p>
    <w:p>
      <w:pPr>
        <w:pStyle w:val="BodyText"/>
        <w:spacing w:before="5"/>
        <w:rPr>
          <w:sz w:val="21"/>
        </w:rPr>
      </w:pPr>
    </w:p>
    <w:p>
      <w:pPr>
        <w:pStyle w:val="BodyText"/>
        <w:spacing w:line="247" w:lineRule="auto"/>
        <w:ind w:left="120" w:right="117"/>
        <w:jc w:val="both"/>
      </w:pPr>
      <w:r>
        <w:rPr/>
        <w:pict>
          <v:line style="position:absolute;mso-position-horizontal-relative:page;mso-position-vertical-relative:paragraph;z-index:-371944" from="69pt,87.770233pt" to="345pt,87.770233pt" stroked="true" strokeweight="1pt" strokecolor="#231f20">
            <v:stroke dashstyle="solid"/>
            <w10:wrap type="none"/>
          </v:line>
        </w:pict>
      </w:r>
      <w:r>
        <w:rPr/>
        <w:pict>
          <v:line style="position:absolute;mso-position-horizontal-relative:page;mso-position-vertical-relative:paragraph;z-index:-371920" from="353pt,165.020233pt" to="435pt,165.020233pt" stroked="true" strokeweight=".5pt" strokecolor="#231f20">
            <v:stroke dashstyle="solid"/>
            <w10:wrap type="none"/>
          </v:line>
        </w:pict>
      </w:r>
      <w:r>
        <w:rPr>
          <w:color w:val="231F20"/>
        </w:rPr>
        <w:t>The funded status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2016 and 2015.</w:t>
      </w:r>
    </w:p>
    <w:p>
      <w:pPr>
        <w:pStyle w:val="BodyText"/>
        <w:spacing w:before="2" w:after="1"/>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20"/>
        <w:gridCol w:w="160"/>
        <w:gridCol w:w="1088"/>
        <w:gridCol w:w="552"/>
        <w:gridCol w:w="160"/>
        <w:gridCol w:w="1088"/>
        <w:gridCol w:w="552"/>
      </w:tblGrid>
      <w:tr>
        <w:trPr>
          <w:trHeight w:val="256" w:hRule="exact"/>
        </w:trPr>
        <w:tc>
          <w:tcPr>
            <w:tcW w:w="5520" w:type="dxa"/>
          </w:tcPr>
          <w:p>
            <w:pPr>
              <w:pStyle w:val="TableParagraph"/>
              <w:spacing w:line="229" w:lineRule="exact" w:before="0"/>
              <w:rPr>
                <w:b/>
                <w:sz w:val="20"/>
              </w:rPr>
            </w:pPr>
            <w:r>
              <w:rPr>
                <w:b/>
                <w:color w:val="231F20"/>
                <w:sz w:val="20"/>
              </w:rPr>
              <w:t>(in millions)</w:t>
            </w: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2016</w:t>
            </w:r>
          </w:p>
        </w:tc>
        <w:tc>
          <w:tcPr>
            <w:tcW w:w="552" w:type="dxa"/>
            <w:tcBorders>
              <w:bottom w:val="single" w:sz="8" w:space="0" w:color="231F20"/>
            </w:tcBorders>
          </w:tcPr>
          <w:p>
            <w:pPr/>
          </w:p>
        </w:tc>
        <w:tc>
          <w:tcPr>
            <w:tcW w:w="160" w:type="dxa"/>
          </w:tcPr>
          <w:p>
            <w:pPr/>
          </w:p>
        </w:tc>
        <w:tc>
          <w:tcPr>
            <w:tcW w:w="1088" w:type="dxa"/>
            <w:tcBorders>
              <w:bottom w:val="single" w:sz="8" w:space="0" w:color="231F20"/>
            </w:tcBorders>
          </w:tcPr>
          <w:p>
            <w:pPr>
              <w:pStyle w:val="TableParagraph"/>
              <w:spacing w:line="229" w:lineRule="exact" w:before="0"/>
              <w:ind w:left="620"/>
              <w:rPr>
                <w:b/>
                <w:sz w:val="20"/>
              </w:rPr>
            </w:pPr>
            <w:r>
              <w:rPr>
                <w:b/>
                <w:color w:val="231F20"/>
                <w:sz w:val="20"/>
              </w:rPr>
              <w:t>2015</w:t>
            </w:r>
          </w:p>
        </w:tc>
        <w:tc>
          <w:tcPr>
            <w:tcW w:w="552" w:type="dxa"/>
            <w:tcBorders>
              <w:bottom w:val="single" w:sz="8" w:space="0" w:color="231F20"/>
            </w:tcBorders>
          </w:tcPr>
          <w:p>
            <w:pPr/>
          </w:p>
        </w:tc>
      </w:tr>
      <w:tr>
        <w:trPr>
          <w:trHeight w:val="310" w:hRule="exact"/>
        </w:trPr>
        <w:tc>
          <w:tcPr>
            <w:tcW w:w="5520" w:type="dxa"/>
            <w:shd w:val="clear" w:color="auto" w:fill="D1D3D4"/>
          </w:tcPr>
          <w:p>
            <w:pPr>
              <w:pStyle w:val="TableParagraph"/>
              <w:rPr>
                <w:sz w:val="20"/>
              </w:rPr>
            </w:pPr>
            <w:r>
              <w:rPr>
                <w:color w:val="231F20"/>
                <w:sz w:val="20"/>
              </w:rPr>
              <w:t>Funded status</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(256)</w:t>
            </w:r>
          </w:p>
        </w:tc>
        <w:tc>
          <w:tcPr>
            <w:tcW w:w="160" w:type="dxa"/>
            <w:shd w:val="clear" w:color="auto" w:fill="D1D3D4"/>
          </w:tcPr>
          <w:p>
            <w:pPr/>
          </w:p>
        </w:tc>
        <w:tc>
          <w:tcPr>
            <w:tcW w:w="1088" w:type="dxa"/>
            <w:tcBorders>
              <w:top w:val="single" w:sz="8" w:space="0" w:color="231F20"/>
            </w:tcBorders>
            <w:shd w:val="clear" w:color="auto" w:fill="D1D3D4"/>
          </w:tcPr>
          <w:p>
            <w:pPr>
              <w:pStyle w:val="TableParagraph"/>
              <w:rPr>
                <w:sz w:val="20"/>
              </w:rPr>
            </w:pPr>
            <w:r>
              <w:rPr>
                <w:color w:val="231F20"/>
                <w:sz w:val="20"/>
              </w:rPr>
              <w:t>$</w:t>
            </w:r>
          </w:p>
        </w:tc>
        <w:tc>
          <w:tcPr>
            <w:tcW w:w="552" w:type="dxa"/>
            <w:tcBorders>
              <w:top w:val="single" w:sz="8" w:space="0" w:color="231F20"/>
            </w:tcBorders>
            <w:shd w:val="clear" w:color="auto" w:fill="D1D3D4"/>
          </w:tcPr>
          <w:p>
            <w:pPr>
              <w:pStyle w:val="TableParagraph"/>
              <w:ind w:right="48"/>
              <w:jc w:val="right"/>
              <w:rPr>
                <w:sz w:val="20"/>
              </w:rPr>
            </w:pPr>
            <w:r>
              <w:rPr>
                <w:color w:val="231F20"/>
                <w:sz w:val="20"/>
              </w:rPr>
              <w:t>(201)</w:t>
            </w:r>
          </w:p>
        </w:tc>
      </w:tr>
      <w:tr>
        <w:trPr>
          <w:trHeight w:val="300" w:hRule="exact"/>
        </w:trPr>
        <w:tc>
          <w:tcPr>
            <w:tcW w:w="5520" w:type="dxa"/>
          </w:tcPr>
          <w:p>
            <w:pPr>
              <w:pStyle w:val="TableParagraph"/>
              <w:rPr>
                <w:sz w:val="20"/>
              </w:rPr>
            </w:pPr>
            <w:r>
              <w:rPr>
                <w:color w:val="231F20"/>
                <w:sz w:val="20"/>
              </w:rPr>
              <w:t>Unrecognized net actuarial (gain)/loss</w:t>
            </w:r>
          </w:p>
        </w:tc>
        <w:tc>
          <w:tcPr>
            <w:tcW w:w="160" w:type="dxa"/>
          </w:tcPr>
          <w:p>
            <w:pPr/>
          </w:p>
        </w:tc>
        <w:tc>
          <w:tcPr>
            <w:tcW w:w="1088" w:type="dxa"/>
          </w:tcPr>
          <w:p>
            <w:pPr/>
          </w:p>
        </w:tc>
        <w:tc>
          <w:tcPr>
            <w:tcW w:w="552" w:type="dxa"/>
          </w:tcPr>
          <w:p>
            <w:pPr>
              <w:pStyle w:val="TableParagraph"/>
              <w:ind w:right="97"/>
              <w:jc w:val="right"/>
              <w:rPr>
                <w:sz w:val="20"/>
              </w:rPr>
            </w:pPr>
            <w:r>
              <w:rPr>
                <w:color w:val="231F20"/>
                <w:sz w:val="20"/>
              </w:rPr>
              <w:t>7</w:t>
            </w:r>
          </w:p>
        </w:tc>
        <w:tc>
          <w:tcPr>
            <w:tcW w:w="160" w:type="dxa"/>
          </w:tcPr>
          <w:p>
            <w:pPr/>
          </w:p>
        </w:tc>
        <w:tc>
          <w:tcPr>
            <w:tcW w:w="1088" w:type="dxa"/>
          </w:tcPr>
          <w:p>
            <w:pPr/>
          </w:p>
        </w:tc>
        <w:tc>
          <w:tcPr>
            <w:tcW w:w="552" w:type="dxa"/>
          </w:tcPr>
          <w:p>
            <w:pPr>
              <w:pStyle w:val="TableParagraph"/>
              <w:ind w:right="48"/>
              <w:jc w:val="right"/>
              <w:rPr>
                <w:sz w:val="20"/>
              </w:rPr>
            </w:pPr>
            <w:r>
              <w:rPr>
                <w:color w:val="231F20"/>
                <w:sz w:val="20"/>
              </w:rPr>
              <w:t>(31)</w:t>
            </w:r>
          </w:p>
        </w:tc>
      </w:tr>
      <w:tr>
        <w:trPr>
          <w:trHeight w:val="300" w:hRule="exact"/>
        </w:trPr>
        <w:tc>
          <w:tcPr>
            <w:tcW w:w="5520" w:type="dxa"/>
            <w:shd w:val="clear" w:color="auto" w:fill="D1D3D4"/>
          </w:tcPr>
          <w:p>
            <w:pPr>
              <w:pStyle w:val="TableParagraph"/>
              <w:rPr>
                <w:sz w:val="20"/>
              </w:rPr>
            </w:pPr>
            <w:r>
              <w:rPr>
                <w:color w:val="231F20"/>
                <w:sz w:val="20"/>
              </w:rPr>
              <w:t>Unrecognized prior service cost</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7</w:t>
            </w:r>
          </w:p>
        </w:tc>
        <w:tc>
          <w:tcPr>
            <w:tcW w:w="160" w:type="dxa"/>
            <w:shd w:val="clear" w:color="auto" w:fill="D1D3D4"/>
          </w:tcPr>
          <w:p>
            <w:pPr/>
          </w:p>
        </w:tc>
        <w:tc>
          <w:tcPr>
            <w:tcW w:w="1088" w:type="dxa"/>
            <w:shd w:val="clear" w:color="auto" w:fill="D1D3D4"/>
          </w:tcPr>
          <w:p>
            <w:pPr/>
          </w:p>
        </w:tc>
        <w:tc>
          <w:tcPr>
            <w:tcW w:w="552" w:type="dxa"/>
            <w:shd w:val="clear" w:color="auto" w:fill="D1D3D4"/>
          </w:tcPr>
          <w:p>
            <w:pPr>
              <w:pStyle w:val="TableParagraph"/>
              <w:ind w:right="97"/>
              <w:jc w:val="right"/>
              <w:rPr>
                <w:sz w:val="20"/>
              </w:rPr>
            </w:pPr>
            <w:r>
              <w:rPr>
                <w:color w:val="231F20"/>
                <w:sz w:val="20"/>
              </w:rPr>
              <w:t>9</w:t>
            </w:r>
          </w:p>
        </w:tc>
      </w:tr>
      <w:tr>
        <w:trPr>
          <w:trHeight w:val="315" w:hRule="exact"/>
        </w:trPr>
        <w:tc>
          <w:tcPr>
            <w:tcW w:w="5520" w:type="dxa"/>
          </w:tcPr>
          <w:p>
            <w:pPr>
              <w:pStyle w:val="TableParagraph"/>
              <w:rPr>
                <w:sz w:val="20"/>
              </w:rPr>
            </w:pPr>
            <w:r>
              <w:rPr>
                <w:color w:val="231F20"/>
                <w:sz w:val="20"/>
              </w:rPr>
              <w:t>Accumulated other comprehensive income (loss)</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48"/>
              <w:jc w:val="right"/>
              <w:rPr>
                <w:sz w:val="20"/>
              </w:rPr>
            </w:pPr>
            <w:r>
              <w:rPr>
                <w:color w:val="231F20"/>
                <w:sz w:val="20"/>
              </w:rPr>
              <w:t>(14)</w:t>
            </w:r>
          </w:p>
        </w:tc>
        <w:tc>
          <w:tcPr>
            <w:tcW w:w="160" w:type="dxa"/>
          </w:tcPr>
          <w:p>
            <w:pPr/>
          </w:p>
        </w:tc>
        <w:tc>
          <w:tcPr>
            <w:tcW w:w="1088" w:type="dxa"/>
            <w:tcBorders>
              <w:bottom w:val="single" w:sz="4" w:space="0" w:color="231F20"/>
            </w:tcBorders>
          </w:tcPr>
          <w:p>
            <w:pPr/>
          </w:p>
        </w:tc>
        <w:tc>
          <w:tcPr>
            <w:tcW w:w="552" w:type="dxa"/>
            <w:tcBorders>
              <w:bottom w:val="single" w:sz="4" w:space="0" w:color="231F20"/>
            </w:tcBorders>
          </w:tcPr>
          <w:p>
            <w:pPr>
              <w:pStyle w:val="TableParagraph"/>
              <w:ind w:right="97"/>
              <w:jc w:val="right"/>
              <w:rPr>
                <w:sz w:val="20"/>
              </w:rPr>
            </w:pPr>
            <w:r>
              <w:rPr>
                <w:color w:val="231F20"/>
                <w:sz w:val="20"/>
              </w:rPr>
              <w:t>22</w:t>
            </w:r>
          </w:p>
        </w:tc>
      </w:tr>
      <w:tr>
        <w:trPr>
          <w:trHeight w:val="360" w:hRule="exact"/>
        </w:trPr>
        <w:tc>
          <w:tcPr>
            <w:tcW w:w="5520" w:type="dxa"/>
            <w:shd w:val="clear" w:color="auto" w:fill="D1D3D4"/>
          </w:tcPr>
          <w:p>
            <w:pPr>
              <w:pStyle w:val="TableParagraph"/>
              <w:rPr>
                <w:sz w:val="20"/>
              </w:rPr>
            </w:pPr>
            <w:r>
              <w:rPr>
                <w:color w:val="231F20"/>
                <w:sz w:val="20"/>
              </w:rPr>
              <w:t>Cost recognized on Consolidated Balance Sheet</w:t>
            </w:r>
          </w:p>
        </w:tc>
        <w:tc>
          <w:tcPr>
            <w:tcW w:w="160" w:type="dxa"/>
            <w:shd w:val="clear" w:color="auto" w:fill="D1D3D4"/>
          </w:tcPr>
          <w:p>
            <w:pPr/>
          </w:p>
        </w:tc>
        <w:tc>
          <w:tcPr>
            <w:tcW w:w="1088" w:type="dxa"/>
            <w:tcBorders>
              <w:top w:val="single" w:sz="4" w:space="0" w:color="231F20"/>
              <w:bottom w:val="single" w:sz="4" w:space="0" w:color="231F20"/>
            </w:tcBorders>
            <w:shd w:val="clear" w:color="auto" w:fill="D1D3D4"/>
          </w:tcPr>
          <w:p>
            <w:pPr>
              <w:pStyle w:val="TableParagraph"/>
              <w:rPr>
                <w:sz w:val="20"/>
              </w:rPr>
            </w:pPr>
            <w:r>
              <w:rPr>
                <w:color w:val="231F20"/>
                <w:sz w:val="20"/>
              </w:rPr>
              <w:t>$</w:t>
            </w:r>
          </w:p>
        </w:tc>
        <w:tc>
          <w:tcPr>
            <w:tcW w:w="552" w:type="dxa"/>
            <w:tcBorders>
              <w:top w:val="single" w:sz="4" w:space="0" w:color="231F20"/>
              <w:bottom w:val="single" w:sz="4" w:space="0" w:color="231F20"/>
            </w:tcBorders>
            <w:shd w:val="clear" w:color="auto" w:fill="D1D3D4"/>
          </w:tcPr>
          <w:p>
            <w:pPr>
              <w:pStyle w:val="TableParagraph"/>
              <w:ind w:right="48"/>
              <w:jc w:val="right"/>
              <w:rPr>
                <w:sz w:val="20"/>
              </w:rPr>
            </w:pPr>
            <w:r>
              <w:rPr>
                <w:color w:val="231F20"/>
                <w:sz w:val="20"/>
              </w:rPr>
              <w:t>(256)</w:t>
            </w:r>
          </w:p>
        </w:tc>
        <w:tc>
          <w:tcPr>
            <w:tcW w:w="160" w:type="dxa"/>
            <w:shd w:val="clear" w:color="auto" w:fill="D1D3D4"/>
          </w:tcPr>
          <w:p>
            <w:pPr/>
          </w:p>
        </w:tc>
        <w:tc>
          <w:tcPr>
            <w:tcW w:w="1088" w:type="dxa"/>
            <w:tcBorders>
              <w:top w:val="single" w:sz="4" w:space="0" w:color="231F20"/>
              <w:bottom w:val="single" w:sz="4" w:space="0" w:color="231F20"/>
            </w:tcBorders>
            <w:shd w:val="clear" w:color="auto" w:fill="D1D3D4"/>
          </w:tcPr>
          <w:p>
            <w:pPr>
              <w:pStyle w:val="TableParagraph"/>
              <w:spacing w:before="48"/>
              <w:rPr>
                <w:sz w:val="20"/>
              </w:rPr>
            </w:pPr>
            <w:r>
              <w:rPr>
                <w:color w:val="231F20"/>
                <w:sz w:val="20"/>
              </w:rPr>
              <w:t>$</w:t>
            </w:r>
          </w:p>
        </w:tc>
        <w:tc>
          <w:tcPr>
            <w:tcW w:w="552" w:type="dxa"/>
            <w:tcBorders>
              <w:top w:val="single" w:sz="4" w:space="0" w:color="231F20"/>
              <w:bottom w:val="single" w:sz="4" w:space="0" w:color="231F20"/>
            </w:tcBorders>
            <w:shd w:val="clear" w:color="auto" w:fill="D1D3D4"/>
          </w:tcPr>
          <w:p>
            <w:pPr>
              <w:pStyle w:val="TableParagraph"/>
              <w:spacing w:before="48"/>
              <w:ind w:right="48"/>
              <w:jc w:val="right"/>
              <w:rPr>
                <w:sz w:val="20"/>
              </w:rPr>
            </w:pPr>
            <w:r>
              <w:rPr>
                <w:color w:val="231F20"/>
                <w:sz w:val="20"/>
              </w:rPr>
              <w:t>(201)</w:t>
            </w:r>
          </w:p>
        </w:tc>
      </w:tr>
    </w:tbl>
    <w:p>
      <w:pPr>
        <w:spacing w:after="0"/>
        <w:jc w:val="right"/>
        <w:rPr>
          <w:sz w:val="20"/>
        </w:rPr>
        <w:sectPr>
          <w:pgSz w:w="11880" w:h="15480"/>
          <w:pgMar w:header="0" w:footer="1240" w:top="1240" w:bottom="1420" w:left="1260" w:right="1260"/>
        </w:sectPr>
      </w:pPr>
    </w:p>
    <w:p>
      <w:pPr>
        <w:pStyle w:val="BodyText"/>
        <w:spacing w:line="247" w:lineRule="auto" w:before="74"/>
        <w:ind w:left="120" w:right="118"/>
        <w:jc w:val="both"/>
      </w:pPr>
      <w:r>
        <w:rPr/>
        <w:pict>
          <v:line style="position:absolute;mso-position-horizontal-relative:page;mso-position-vertical-relative:paragraph;z-index:-371896" from="69pt,52.469532pt" to="303pt,52.469532pt" stroked="true" strokeweight="1pt" strokecolor="#231f20">
            <v:stroke dashstyle="solid"/>
            <w10:wrap type="none"/>
          </v:line>
        </w:pict>
      </w:r>
      <w:r>
        <w:rPr>
          <w:color w:val="231F20"/>
        </w:rPr>
        <w:t>The consolidated periodic postretirement benefit cost for the years ended December 31, 2016, 2015, and 2014, included the following:</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965"/>
        <w:gridCol w:w="355"/>
        <w:gridCol w:w="160"/>
        <w:gridCol w:w="932"/>
        <w:gridCol w:w="388"/>
        <w:gridCol w:w="160"/>
        <w:gridCol w:w="932"/>
        <w:gridCol w:w="388"/>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965" w:type="dxa"/>
            <w:tcBorders>
              <w:bottom w:val="single" w:sz="8" w:space="0" w:color="231F20"/>
            </w:tcBorders>
          </w:tcPr>
          <w:p>
            <w:pPr>
              <w:pStyle w:val="TableParagraph"/>
              <w:spacing w:line="229" w:lineRule="exact" w:before="0"/>
              <w:ind w:left="460"/>
              <w:rPr>
                <w:b/>
                <w:sz w:val="20"/>
              </w:rPr>
            </w:pPr>
            <w:r>
              <w:rPr>
                <w:b/>
                <w:color w:val="231F20"/>
                <w:sz w:val="20"/>
              </w:rPr>
              <w:t>2016</w:t>
            </w:r>
          </w:p>
        </w:tc>
        <w:tc>
          <w:tcPr>
            <w:tcW w:w="355" w:type="dxa"/>
            <w:tcBorders>
              <w:bottom w:val="single" w:sz="8" w:space="0" w:color="231F20"/>
            </w:tcBorders>
          </w:tcPr>
          <w:p>
            <w:pPr/>
          </w:p>
        </w:tc>
        <w:tc>
          <w:tcPr>
            <w:tcW w:w="160" w:type="dxa"/>
          </w:tcPr>
          <w:p>
            <w:pPr/>
          </w:p>
        </w:tc>
        <w:tc>
          <w:tcPr>
            <w:tcW w:w="932" w:type="dxa"/>
            <w:tcBorders>
              <w:bottom w:val="single" w:sz="8" w:space="0" w:color="231F20"/>
            </w:tcBorders>
          </w:tcPr>
          <w:p>
            <w:pPr>
              <w:pStyle w:val="TableParagraph"/>
              <w:spacing w:line="229" w:lineRule="exact" w:before="0"/>
              <w:ind w:left="460"/>
              <w:rPr>
                <w:b/>
                <w:sz w:val="20"/>
              </w:rPr>
            </w:pPr>
            <w:r>
              <w:rPr>
                <w:b/>
                <w:color w:val="231F20"/>
                <w:sz w:val="20"/>
              </w:rPr>
              <w:t>2015</w:t>
            </w:r>
          </w:p>
        </w:tc>
        <w:tc>
          <w:tcPr>
            <w:tcW w:w="388" w:type="dxa"/>
            <w:tcBorders>
              <w:bottom w:val="single" w:sz="8" w:space="0" w:color="231F20"/>
            </w:tcBorders>
          </w:tcPr>
          <w:p>
            <w:pPr/>
          </w:p>
        </w:tc>
        <w:tc>
          <w:tcPr>
            <w:tcW w:w="160" w:type="dxa"/>
          </w:tcPr>
          <w:p>
            <w:pPr/>
          </w:p>
        </w:tc>
        <w:tc>
          <w:tcPr>
            <w:tcW w:w="932" w:type="dxa"/>
            <w:tcBorders>
              <w:bottom w:val="single" w:sz="8" w:space="0" w:color="231F20"/>
            </w:tcBorders>
          </w:tcPr>
          <w:p>
            <w:pPr>
              <w:pStyle w:val="TableParagraph"/>
              <w:spacing w:line="229" w:lineRule="exact" w:before="0"/>
              <w:ind w:left="460"/>
              <w:rPr>
                <w:b/>
                <w:sz w:val="20"/>
              </w:rPr>
            </w:pPr>
            <w:r>
              <w:rPr>
                <w:b/>
                <w:color w:val="231F20"/>
                <w:sz w:val="20"/>
              </w:rPr>
              <w:t>2014</w:t>
            </w:r>
          </w:p>
        </w:tc>
        <w:tc>
          <w:tcPr>
            <w:tcW w:w="388" w:type="dxa"/>
            <w:tcBorders>
              <w:bottom w:val="single" w:sz="8" w:space="0" w:color="231F20"/>
            </w:tcBorders>
          </w:tcPr>
          <w:p>
            <w:pPr/>
          </w:p>
        </w:tc>
      </w:tr>
      <w:tr>
        <w:trPr>
          <w:trHeight w:val="310" w:hRule="exact"/>
        </w:trPr>
        <w:tc>
          <w:tcPr>
            <w:tcW w:w="4680" w:type="dxa"/>
            <w:shd w:val="clear" w:color="auto" w:fill="D1D3D4"/>
          </w:tcPr>
          <w:p>
            <w:pPr>
              <w:pStyle w:val="TableParagraph"/>
              <w:ind w:left="100"/>
              <w:rPr>
                <w:sz w:val="20"/>
              </w:rPr>
            </w:pPr>
            <w:r>
              <w:rPr>
                <w:color w:val="231F20"/>
                <w:sz w:val="20"/>
              </w:rPr>
              <w:t>Service cost</w:t>
            </w:r>
          </w:p>
        </w:tc>
        <w:tc>
          <w:tcPr>
            <w:tcW w:w="160" w:type="dxa"/>
            <w:shd w:val="clear" w:color="auto" w:fill="D1D3D4"/>
          </w:tcPr>
          <w:p>
            <w:pPr/>
          </w:p>
        </w:tc>
        <w:tc>
          <w:tcPr>
            <w:tcW w:w="965" w:type="dxa"/>
            <w:tcBorders>
              <w:top w:val="single" w:sz="8" w:space="0" w:color="231F20"/>
            </w:tcBorders>
            <w:shd w:val="clear" w:color="auto" w:fill="D1D3D4"/>
          </w:tcPr>
          <w:p>
            <w:pPr>
              <w:pStyle w:val="TableParagraph"/>
              <w:rPr>
                <w:sz w:val="20"/>
              </w:rPr>
            </w:pPr>
            <w:r>
              <w:rPr>
                <w:color w:val="231F20"/>
                <w:sz w:val="20"/>
              </w:rPr>
              <w:t>$</w:t>
            </w:r>
          </w:p>
        </w:tc>
        <w:tc>
          <w:tcPr>
            <w:tcW w:w="355" w:type="dxa"/>
            <w:tcBorders>
              <w:top w:val="single" w:sz="8" w:space="0" w:color="231F20"/>
            </w:tcBorders>
            <w:shd w:val="clear" w:color="auto" w:fill="D1D3D4"/>
          </w:tcPr>
          <w:p>
            <w:pPr>
              <w:pStyle w:val="TableParagraph"/>
              <w:ind w:right="49"/>
              <w:jc w:val="right"/>
              <w:rPr>
                <w:sz w:val="20"/>
              </w:rPr>
            </w:pPr>
            <w:r>
              <w:rPr>
                <w:color w:val="231F20"/>
                <w:sz w:val="20"/>
              </w:rPr>
              <w:t>13</w:t>
            </w:r>
          </w:p>
        </w:tc>
        <w:tc>
          <w:tcPr>
            <w:tcW w:w="160" w:type="dxa"/>
            <w:shd w:val="clear" w:color="auto" w:fill="D1D3D4"/>
          </w:tcPr>
          <w:p>
            <w:pPr/>
          </w:p>
        </w:tc>
        <w:tc>
          <w:tcPr>
            <w:tcW w:w="932" w:type="dxa"/>
            <w:tcBorders>
              <w:top w:val="single" w:sz="8" w:space="0" w:color="231F20"/>
            </w:tcBorders>
            <w:shd w:val="clear" w:color="auto" w:fill="D1D3D4"/>
          </w:tcPr>
          <w:p>
            <w:pPr>
              <w:pStyle w:val="TableParagraph"/>
              <w:rPr>
                <w:sz w:val="20"/>
              </w:rPr>
            </w:pPr>
            <w:r>
              <w:rPr>
                <w:color w:val="231F20"/>
                <w:sz w:val="20"/>
              </w:rPr>
              <w:t>$</w:t>
            </w:r>
          </w:p>
        </w:tc>
        <w:tc>
          <w:tcPr>
            <w:tcW w:w="388" w:type="dxa"/>
            <w:tcBorders>
              <w:top w:val="single" w:sz="8" w:space="0" w:color="231F20"/>
            </w:tcBorders>
            <w:shd w:val="clear" w:color="auto" w:fill="D1D3D4"/>
          </w:tcPr>
          <w:p>
            <w:pPr>
              <w:pStyle w:val="TableParagraph"/>
              <w:ind w:left="52" w:right="95"/>
              <w:jc w:val="center"/>
              <w:rPr>
                <w:sz w:val="20"/>
              </w:rPr>
            </w:pPr>
            <w:r>
              <w:rPr>
                <w:color w:val="231F20"/>
                <w:sz w:val="20"/>
              </w:rPr>
              <w:t>11</w:t>
            </w:r>
          </w:p>
        </w:tc>
        <w:tc>
          <w:tcPr>
            <w:tcW w:w="160" w:type="dxa"/>
            <w:shd w:val="clear" w:color="auto" w:fill="D1D3D4"/>
          </w:tcPr>
          <w:p>
            <w:pPr/>
          </w:p>
        </w:tc>
        <w:tc>
          <w:tcPr>
            <w:tcW w:w="932" w:type="dxa"/>
            <w:tcBorders>
              <w:top w:val="single" w:sz="8" w:space="0" w:color="231F20"/>
            </w:tcBorders>
            <w:shd w:val="clear" w:color="auto" w:fill="D1D3D4"/>
          </w:tcPr>
          <w:p>
            <w:pPr>
              <w:pStyle w:val="TableParagraph"/>
              <w:rPr>
                <w:sz w:val="20"/>
              </w:rPr>
            </w:pPr>
            <w:r>
              <w:rPr>
                <w:color w:val="231F20"/>
                <w:sz w:val="20"/>
              </w:rPr>
              <w:t>$</w:t>
            </w:r>
          </w:p>
        </w:tc>
        <w:tc>
          <w:tcPr>
            <w:tcW w:w="388" w:type="dxa"/>
            <w:tcBorders>
              <w:top w:val="single" w:sz="8" w:space="0" w:color="231F20"/>
            </w:tcBorders>
            <w:shd w:val="clear" w:color="auto" w:fill="D1D3D4"/>
          </w:tcPr>
          <w:p>
            <w:pPr>
              <w:pStyle w:val="TableParagraph"/>
              <w:ind w:left="71"/>
              <w:rPr>
                <w:sz w:val="20"/>
              </w:rPr>
            </w:pPr>
            <w:r>
              <w:rPr>
                <w:color w:val="231F20"/>
                <w:sz w:val="20"/>
              </w:rPr>
              <w:t>10</w:t>
            </w:r>
          </w:p>
        </w:tc>
      </w:tr>
      <w:tr>
        <w:trPr>
          <w:trHeight w:val="300" w:hRule="exact"/>
        </w:trPr>
        <w:tc>
          <w:tcPr>
            <w:tcW w:w="4680" w:type="dxa"/>
          </w:tcPr>
          <w:p>
            <w:pPr>
              <w:pStyle w:val="TableParagraph"/>
              <w:ind w:left="100"/>
              <w:rPr>
                <w:sz w:val="20"/>
              </w:rPr>
            </w:pPr>
            <w:r>
              <w:rPr>
                <w:color w:val="231F20"/>
                <w:sz w:val="20"/>
              </w:rPr>
              <w:t>Interest cost</w:t>
            </w:r>
          </w:p>
        </w:tc>
        <w:tc>
          <w:tcPr>
            <w:tcW w:w="160" w:type="dxa"/>
          </w:tcPr>
          <w:p>
            <w:pPr/>
          </w:p>
        </w:tc>
        <w:tc>
          <w:tcPr>
            <w:tcW w:w="965" w:type="dxa"/>
          </w:tcPr>
          <w:p>
            <w:pPr/>
          </w:p>
        </w:tc>
        <w:tc>
          <w:tcPr>
            <w:tcW w:w="355" w:type="dxa"/>
          </w:tcPr>
          <w:p>
            <w:pPr>
              <w:pStyle w:val="TableParagraph"/>
              <w:ind w:right="49"/>
              <w:jc w:val="right"/>
              <w:rPr>
                <w:sz w:val="20"/>
              </w:rPr>
            </w:pPr>
            <w:r>
              <w:rPr>
                <w:color w:val="231F20"/>
                <w:sz w:val="20"/>
              </w:rPr>
              <w:t>9</w:t>
            </w:r>
          </w:p>
        </w:tc>
        <w:tc>
          <w:tcPr>
            <w:tcW w:w="160" w:type="dxa"/>
          </w:tcPr>
          <w:p>
            <w:pPr/>
          </w:p>
        </w:tc>
        <w:tc>
          <w:tcPr>
            <w:tcW w:w="932" w:type="dxa"/>
          </w:tcPr>
          <w:p>
            <w:pPr/>
          </w:p>
        </w:tc>
        <w:tc>
          <w:tcPr>
            <w:tcW w:w="388" w:type="dxa"/>
          </w:tcPr>
          <w:p>
            <w:pPr>
              <w:pStyle w:val="TableParagraph"/>
              <w:ind w:left="54"/>
              <w:jc w:val="center"/>
              <w:rPr>
                <w:sz w:val="20"/>
              </w:rPr>
            </w:pPr>
            <w:r>
              <w:rPr>
                <w:color w:val="231F20"/>
                <w:sz w:val="20"/>
              </w:rPr>
              <w:t>7</w:t>
            </w:r>
          </w:p>
        </w:tc>
        <w:tc>
          <w:tcPr>
            <w:tcW w:w="160" w:type="dxa"/>
          </w:tcPr>
          <w:p>
            <w:pPr/>
          </w:p>
        </w:tc>
        <w:tc>
          <w:tcPr>
            <w:tcW w:w="932" w:type="dxa"/>
          </w:tcPr>
          <w:p>
            <w:pPr/>
          </w:p>
        </w:tc>
        <w:tc>
          <w:tcPr>
            <w:tcW w:w="388" w:type="dxa"/>
          </w:tcPr>
          <w:p>
            <w:pPr>
              <w:pStyle w:val="TableParagraph"/>
              <w:ind w:left="171"/>
              <w:rPr>
                <w:sz w:val="20"/>
              </w:rPr>
            </w:pPr>
            <w:r>
              <w:rPr>
                <w:color w:val="231F20"/>
                <w:sz w:val="20"/>
              </w:rPr>
              <w:t>7</w:t>
            </w:r>
          </w:p>
        </w:tc>
      </w:tr>
      <w:tr>
        <w:trPr>
          <w:trHeight w:val="300" w:hRule="exact"/>
        </w:trPr>
        <w:tc>
          <w:tcPr>
            <w:tcW w:w="4680" w:type="dxa"/>
            <w:shd w:val="clear" w:color="auto" w:fill="D1D3D4"/>
          </w:tcPr>
          <w:p>
            <w:pPr>
              <w:pStyle w:val="TableParagraph"/>
              <w:ind w:left="100"/>
              <w:rPr>
                <w:sz w:val="20"/>
              </w:rPr>
            </w:pPr>
            <w:r>
              <w:rPr>
                <w:color w:val="231F20"/>
                <w:sz w:val="20"/>
              </w:rPr>
              <w:t>Amortization of prior service cost</w:t>
            </w:r>
          </w:p>
        </w:tc>
        <w:tc>
          <w:tcPr>
            <w:tcW w:w="160" w:type="dxa"/>
            <w:shd w:val="clear" w:color="auto" w:fill="D1D3D4"/>
          </w:tcPr>
          <w:p>
            <w:pPr/>
          </w:p>
        </w:tc>
        <w:tc>
          <w:tcPr>
            <w:tcW w:w="965" w:type="dxa"/>
            <w:shd w:val="clear" w:color="auto" w:fill="D1D3D4"/>
          </w:tcPr>
          <w:p>
            <w:pPr/>
          </w:p>
        </w:tc>
        <w:tc>
          <w:tcPr>
            <w:tcW w:w="355" w:type="dxa"/>
            <w:shd w:val="clear" w:color="auto" w:fill="D1D3D4"/>
          </w:tcPr>
          <w:p>
            <w:pPr>
              <w:pStyle w:val="TableParagraph"/>
              <w:ind w:right="47"/>
              <w:jc w:val="right"/>
              <w:rPr>
                <w:sz w:val="20"/>
              </w:rPr>
            </w:pPr>
            <w:r>
              <w:rPr>
                <w:color w:val="231F20"/>
                <w:sz w:val="20"/>
              </w:rPr>
              <w:t>3</w:t>
            </w:r>
          </w:p>
        </w:tc>
        <w:tc>
          <w:tcPr>
            <w:tcW w:w="160" w:type="dxa"/>
            <w:shd w:val="clear" w:color="auto" w:fill="D1D3D4"/>
          </w:tcPr>
          <w:p>
            <w:pPr/>
          </w:p>
        </w:tc>
        <w:tc>
          <w:tcPr>
            <w:tcW w:w="932" w:type="dxa"/>
            <w:shd w:val="clear" w:color="auto" w:fill="D1D3D4"/>
          </w:tcPr>
          <w:p>
            <w:pPr/>
          </w:p>
        </w:tc>
        <w:tc>
          <w:tcPr>
            <w:tcW w:w="388" w:type="dxa"/>
            <w:shd w:val="clear" w:color="auto" w:fill="D1D3D4"/>
          </w:tcPr>
          <w:p>
            <w:pPr>
              <w:pStyle w:val="TableParagraph"/>
              <w:ind w:left="54"/>
              <w:jc w:val="center"/>
              <w:rPr>
                <w:sz w:val="20"/>
              </w:rPr>
            </w:pPr>
            <w:r>
              <w:rPr>
                <w:color w:val="231F20"/>
                <w:sz w:val="20"/>
              </w:rPr>
              <w:t>3</w:t>
            </w:r>
          </w:p>
        </w:tc>
        <w:tc>
          <w:tcPr>
            <w:tcW w:w="160" w:type="dxa"/>
            <w:shd w:val="clear" w:color="auto" w:fill="D1D3D4"/>
          </w:tcPr>
          <w:p>
            <w:pPr/>
          </w:p>
        </w:tc>
        <w:tc>
          <w:tcPr>
            <w:tcW w:w="932" w:type="dxa"/>
            <w:shd w:val="clear" w:color="auto" w:fill="D1D3D4"/>
          </w:tcPr>
          <w:p>
            <w:pPr/>
          </w:p>
        </w:tc>
        <w:tc>
          <w:tcPr>
            <w:tcW w:w="388" w:type="dxa"/>
            <w:shd w:val="clear" w:color="auto" w:fill="D1D3D4"/>
          </w:tcPr>
          <w:p>
            <w:pPr>
              <w:pStyle w:val="TableParagraph"/>
              <w:ind w:left="171"/>
              <w:rPr>
                <w:sz w:val="20"/>
              </w:rPr>
            </w:pPr>
            <w:r>
              <w:rPr>
                <w:color w:val="231F20"/>
                <w:sz w:val="20"/>
              </w:rPr>
              <w:t>3</w:t>
            </w:r>
          </w:p>
        </w:tc>
      </w:tr>
      <w:tr>
        <w:trPr>
          <w:trHeight w:val="300" w:hRule="exact"/>
        </w:trPr>
        <w:tc>
          <w:tcPr>
            <w:tcW w:w="4680" w:type="dxa"/>
          </w:tcPr>
          <w:p>
            <w:pPr>
              <w:pStyle w:val="TableParagraph"/>
              <w:ind w:left="100"/>
              <w:rPr>
                <w:sz w:val="20"/>
              </w:rPr>
            </w:pPr>
            <w:r>
              <w:rPr>
                <w:color w:val="231F20"/>
                <w:sz w:val="20"/>
              </w:rPr>
              <w:t>Recognized actuarial gain</w:t>
            </w:r>
          </w:p>
        </w:tc>
        <w:tc>
          <w:tcPr>
            <w:tcW w:w="160" w:type="dxa"/>
          </w:tcPr>
          <w:p>
            <w:pPr/>
          </w:p>
        </w:tc>
        <w:tc>
          <w:tcPr>
            <w:tcW w:w="965" w:type="dxa"/>
          </w:tcPr>
          <w:p>
            <w:pPr/>
          </w:p>
        </w:tc>
        <w:tc>
          <w:tcPr>
            <w:tcW w:w="355" w:type="dxa"/>
          </w:tcPr>
          <w:p>
            <w:pPr>
              <w:pStyle w:val="TableParagraph"/>
              <w:ind w:right="47"/>
              <w:jc w:val="right"/>
              <w:rPr>
                <w:sz w:val="20"/>
              </w:rPr>
            </w:pPr>
            <w:r>
              <w:rPr>
                <w:color w:val="231F20"/>
                <w:sz w:val="20"/>
              </w:rPr>
              <w:t>—</w:t>
            </w:r>
          </w:p>
        </w:tc>
        <w:tc>
          <w:tcPr>
            <w:tcW w:w="160" w:type="dxa"/>
          </w:tcPr>
          <w:p>
            <w:pPr/>
          </w:p>
        </w:tc>
        <w:tc>
          <w:tcPr>
            <w:tcW w:w="932" w:type="dxa"/>
          </w:tcPr>
          <w:p>
            <w:pPr/>
          </w:p>
        </w:tc>
        <w:tc>
          <w:tcPr>
            <w:tcW w:w="388" w:type="dxa"/>
          </w:tcPr>
          <w:p>
            <w:pPr>
              <w:pStyle w:val="TableParagraph"/>
              <w:ind w:left="84" w:right="31"/>
              <w:jc w:val="center"/>
              <w:rPr>
                <w:sz w:val="20"/>
              </w:rPr>
            </w:pPr>
            <w:r>
              <w:rPr>
                <w:color w:val="231F20"/>
                <w:sz w:val="20"/>
              </w:rPr>
              <w:t>(3)</w:t>
            </w:r>
          </w:p>
        </w:tc>
        <w:tc>
          <w:tcPr>
            <w:tcW w:w="160" w:type="dxa"/>
          </w:tcPr>
          <w:p>
            <w:pPr/>
          </w:p>
        </w:tc>
        <w:tc>
          <w:tcPr>
            <w:tcW w:w="932" w:type="dxa"/>
          </w:tcPr>
          <w:p>
            <w:pPr/>
          </w:p>
        </w:tc>
        <w:tc>
          <w:tcPr>
            <w:tcW w:w="388" w:type="dxa"/>
          </w:tcPr>
          <w:p>
            <w:pPr>
              <w:pStyle w:val="TableParagraph"/>
              <w:ind w:left="104"/>
              <w:rPr>
                <w:sz w:val="20"/>
              </w:rPr>
            </w:pPr>
            <w:r>
              <w:rPr>
                <w:color w:val="231F20"/>
                <w:sz w:val="20"/>
              </w:rPr>
              <w:t>(4)</w:t>
            </w:r>
          </w:p>
        </w:tc>
      </w:tr>
      <w:tr>
        <w:trPr>
          <w:trHeight w:val="315" w:hRule="exact"/>
        </w:trPr>
        <w:tc>
          <w:tcPr>
            <w:tcW w:w="4680" w:type="dxa"/>
            <w:shd w:val="clear" w:color="auto" w:fill="D1D3D4"/>
          </w:tcPr>
          <w:p>
            <w:pPr>
              <w:pStyle w:val="TableParagraph"/>
              <w:ind w:left="100"/>
              <w:rPr>
                <w:sz w:val="20"/>
              </w:rPr>
            </w:pPr>
            <w:r>
              <w:rPr>
                <w:color w:val="231F20"/>
                <w:sz w:val="20"/>
              </w:rPr>
              <w:t>Settlements</w:t>
            </w:r>
          </w:p>
        </w:tc>
        <w:tc>
          <w:tcPr>
            <w:tcW w:w="160" w:type="dxa"/>
            <w:shd w:val="clear" w:color="auto" w:fill="D1D3D4"/>
          </w:tcPr>
          <w:p>
            <w:pPr/>
          </w:p>
        </w:tc>
        <w:tc>
          <w:tcPr>
            <w:tcW w:w="965" w:type="dxa"/>
            <w:tcBorders>
              <w:bottom w:val="single" w:sz="4" w:space="0" w:color="231F20"/>
            </w:tcBorders>
            <w:shd w:val="clear" w:color="auto" w:fill="D1D3D4"/>
          </w:tcPr>
          <w:p>
            <w:pPr/>
          </w:p>
        </w:tc>
        <w:tc>
          <w:tcPr>
            <w:tcW w:w="355" w:type="dxa"/>
            <w:tcBorders>
              <w:bottom w:val="single" w:sz="4" w:space="0" w:color="231F20"/>
            </w:tcBorders>
            <w:shd w:val="clear" w:color="auto" w:fill="D1D3D4"/>
          </w:tcPr>
          <w:p>
            <w:pPr>
              <w:pStyle w:val="TableParagraph"/>
              <w:ind w:right="47"/>
              <w:jc w:val="right"/>
              <w:rPr>
                <w:sz w:val="20"/>
              </w:rPr>
            </w:pPr>
            <w:r>
              <w:rPr>
                <w:color w:val="231F20"/>
                <w:sz w:val="20"/>
              </w:rPr>
              <w:t>—</w:t>
            </w:r>
          </w:p>
        </w:tc>
        <w:tc>
          <w:tcPr>
            <w:tcW w:w="160" w:type="dxa"/>
            <w:shd w:val="clear" w:color="auto" w:fill="D1D3D4"/>
          </w:tcPr>
          <w:p>
            <w:pPr/>
          </w:p>
        </w:tc>
        <w:tc>
          <w:tcPr>
            <w:tcW w:w="932" w:type="dxa"/>
            <w:tcBorders>
              <w:bottom w:val="single" w:sz="4" w:space="0" w:color="231F20"/>
            </w:tcBorders>
            <w:shd w:val="clear" w:color="auto" w:fill="D1D3D4"/>
          </w:tcPr>
          <w:p>
            <w:pPr/>
          </w:p>
        </w:tc>
        <w:tc>
          <w:tcPr>
            <w:tcW w:w="388" w:type="dxa"/>
            <w:tcBorders>
              <w:bottom w:val="single" w:sz="4" w:space="0" w:color="231F20"/>
            </w:tcBorders>
            <w:shd w:val="clear" w:color="auto" w:fill="D1D3D4"/>
          </w:tcPr>
          <w:p>
            <w:pPr>
              <w:pStyle w:val="TableParagraph"/>
              <w:ind w:right="43"/>
              <w:jc w:val="center"/>
              <w:rPr>
                <w:sz w:val="20"/>
              </w:rPr>
            </w:pPr>
            <w:r>
              <w:rPr>
                <w:color w:val="231F20"/>
                <w:sz w:val="20"/>
              </w:rPr>
              <w:t>—</w:t>
            </w:r>
          </w:p>
        </w:tc>
        <w:tc>
          <w:tcPr>
            <w:tcW w:w="160" w:type="dxa"/>
            <w:shd w:val="clear" w:color="auto" w:fill="D1D3D4"/>
          </w:tcPr>
          <w:p>
            <w:pPr/>
          </w:p>
        </w:tc>
        <w:tc>
          <w:tcPr>
            <w:tcW w:w="932" w:type="dxa"/>
            <w:tcBorders>
              <w:bottom w:val="single" w:sz="4" w:space="0" w:color="231F20"/>
            </w:tcBorders>
            <w:shd w:val="clear" w:color="auto" w:fill="D1D3D4"/>
          </w:tcPr>
          <w:p>
            <w:pPr/>
          </w:p>
        </w:tc>
        <w:tc>
          <w:tcPr>
            <w:tcW w:w="388" w:type="dxa"/>
            <w:tcBorders>
              <w:bottom w:val="single" w:sz="4" w:space="0" w:color="231F20"/>
            </w:tcBorders>
            <w:shd w:val="clear" w:color="auto" w:fill="D1D3D4"/>
          </w:tcPr>
          <w:p>
            <w:pPr>
              <w:pStyle w:val="TableParagraph"/>
              <w:ind w:left="104"/>
              <w:rPr>
                <w:sz w:val="20"/>
              </w:rPr>
            </w:pPr>
            <w:r>
              <w:rPr>
                <w:color w:val="231F20"/>
                <w:sz w:val="20"/>
              </w:rPr>
              <w:t>(1)</w:t>
            </w:r>
          </w:p>
        </w:tc>
      </w:tr>
      <w:tr>
        <w:trPr>
          <w:trHeight w:val="360" w:hRule="exact"/>
        </w:trPr>
        <w:tc>
          <w:tcPr>
            <w:tcW w:w="4680" w:type="dxa"/>
          </w:tcPr>
          <w:p>
            <w:pPr>
              <w:pStyle w:val="TableParagraph"/>
              <w:spacing w:before="73"/>
              <w:ind w:left="100"/>
              <w:rPr>
                <w:sz w:val="20"/>
              </w:rPr>
            </w:pPr>
            <w:r>
              <w:rPr>
                <w:color w:val="231F20"/>
                <w:sz w:val="20"/>
              </w:rPr>
              <w:t>Net periodic postretirement benefit cost</w:t>
            </w:r>
          </w:p>
        </w:tc>
        <w:tc>
          <w:tcPr>
            <w:tcW w:w="160" w:type="dxa"/>
          </w:tcPr>
          <w:p>
            <w:pPr/>
          </w:p>
        </w:tc>
        <w:tc>
          <w:tcPr>
            <w:tcW w:w="965" w:type="dxa"/>
            <w:tcBorders>
              <w:top w:val="single" w:sz="4" w:space="0" w:color="231F20"/>
              <w:bottom w:val="single" w:sz="4" w:space="0" w:color="231F20"/>
            </w:tcBorders>
          </w:tcPr>
          <w:p>
            <w:pPr>
              <w:pStyle w:val="TableParagraph"/>
              <w:rPr>
                <w:sz w:val="20"/>
              </w:rPr>
            </w:pPr>
            <w:r>
              <w:rPr>
                <w:color w:val="231F20"/>
                <w:sz w:val="20"/>
              </w:rPr>
              <w:t>$</w:t>
            </w:r>
          </w:p>
        </w:tc>
        <w:tc>
          <w:tcPr>
            <w:tcW w:w="355" w:type="dxa"/>
            <w:tcBorders>
              <w:top w:val="single" w:sz="4" w:space="0" w:color="231F20"/>
              <w:bottom w:val="single" w:sz="4" w:space="0" w:color="231F20"/>
            </w:tcBorders>
          </w:tcPr>
          <w:p>
            <w:pPr>
              <w:pStyle w:val="TableParagraph"/>
              <w:ind w:right="47"/>
              <w:jc w:val="right"/>
              <w:rPr>
                <w:sz w:val="20"/>
              </w:rPr>
            </w:pPr>
            <w:r>
              <w:rPr>
                <w:color w:val="231F20"/>
                <w:sz w:val="20"/>
              </w:rPr>
              <w:t>25</w:t>
            </w:r>
          </w:p>
        </w:tc>
        <w:tc>
          <w:tcPr>
            <w:tcW w:w="160" w:type="dxa"/>
          </w:tcPr>
          <w:p>
            <w:pPr/>
          </w:p>
        </w:tc>
        <w:tc>
          <w:tcPr>
            <w:tcW w:w="932" w:type="dxa"/>
            <w:tcBorders>
              <w:top w:val="single" w:sz="4" w:space="0" w:color="231F20"/>
              <w:bottom w:val="single" w:sz="4" w:space="0" w:color="231F20"/>
            </w:tcBorders>
          </w:tcPr>
          <w:p>
            <w:pPr>
              <w:pStyle w:val="TableParagraph"/>
              <w:rPr>
                <w:sz w:val="20"/>
              </w:rPr>
            </w:pPr>
            <w:r>
              <w:rPr>
                <w:color w:val="231F20"/>
                <w:sz w:val="20"/>
              </w:rPr>
              <w:t>$</w:t>
            </w:r>
          </w:p>
        </w:tc>
        <w:tc>
          <w:tcPr>
            <w:tcW w:w="388" w:type="dxa"/>
            <w:tcBorders>
              <w:top w:val="single" w:sz="4" w:space="0" w:color="231F20"/>
              <w:bottom w:val="single" w:sz="4" w:space="0" w:color="231F20"/>
            </w:tcBorders>
          </w:tcPr>
          <w:p>
            <w:pPr>
              <w:pStyle w:val="TableParagraph"/>
              <w:ind w:left="52" w:right="95"/>
              <w:jc w:val="center"/>
              <w:rPr>
                <w:sz w:val="20"/>
              </w:rPr>
            </w:pPr>
            <w:r>
              <w:rPr>
                <w:color w:val="231F20"/>
                <w:sz w:val="20"/>
              </w:rPr>
              <w:t>18</w:t>
            </w:r>
          </w:p>
        </w:tc>
        <w:tc>
          <w:tcPr>
            <w:tcW w:w="160" w:type="dxa"/>
          </w:tcPr>
          <w:p>
            <w:pPr/>
          </w:p>
        </w:tc>
        <w:tc>
          <w:tcPr>
            <w:tcW w:w="932" w:type="dxa"/>
            <w:tcBorders>
              <w:top w:val="single" w:sz="4" w:space="0" w:color="231F20"/>
              <w:bottom w:val="single" w:sz="4" w:space="0" w:color="231F20"/>
            </w:tcBorders>
          </w:tcPr>
          <w:p>
            <w:pPr>
              <w:pStyle w:val="TableParagraph"/>
              <w:spacing w:before="68"/>
              <w:rPr>
                <w:sz w:val="20"/>
              </w:rPr>
            </w:pPr>
            <w:r>
              <w:rPr>
                <w:color w:val="231F20"/>
                <w:sz w:val="20"/>
              </w:rPr>
              <w:t>$</w:t>
            </w:r>
          </w:p>
        </w:tc>
        <w:tc>
          <w:tcPr>
            <w:tcW w:w="388" w:type="dxa"/>
            <w:tcBorders>
              <w:top w:val="single" w:sz="4" w:space="0" w:color="231F20"/>
              <w:bottom w:val="single" w:sz="4" w:space="0" w:color="231F20"/>
            </w:tcBorders>
          </w:tcPr>
          <w:p>
            <w:pPr>
              <w:pStyle w:val="TableParagraph"/>
              <w:spacing w:before="68"/>
              <w:ind w:left="71"/>
              <w:rPr>
                <w:sz w:val="20"/>
              </w:rPr>
            </w:pPr>
            <w:r>
              <w:rPr>
                <w:color w:val="231F20"/>
                <w:sz w:val="20"/>
              </w:rPr>
              <w:t>15</w:t>
            </w:r>
          </w:p>
        </w:tc>
      </w:tr>
    </w:tbl>
    <w:p>
      <w:pPr>
        <w:pStyle w:val="BodyText"/>
        <w:spacing w:before="2"/>
        <w:rPr>
          <w:sz w:val="25"/>
        </w:rPr>
      </w:pPr>
    </w:p>
    <w:p>
      <w:pPr>
        <w:pStyle w:val="BodyText"/>
        <w:spacing w:line="247" w:lineRule="auto"/>
        <w:ind w:left="120" w:right="118"/>
        <w:jc w:val="both"/>
      </w:pPr>
      <w:r>
        <w:rPr/>
        <w:pict>
          <v:line style="position:absolute;mso-position-horizontal-relative:page;mso-position-vertical-relative:paragraph;z-index:-371872" from="311pt,-16.980469pt" to="377pt,-16.980469pt" stroked="true" strokeweight=".5pt" strokecolor="#231f20">
            <v:stroke dashstyle="solid"/>
            <w10:wrap type="none"/>
          </v:line>
        </w:pict>
      </w:r>
      <w:r>
        <w:rPr/>
        <w:pict>
          <v:line style="position:absolute;mso-position-horizontal-relative:page;mso-position-vertical-relative:paragraph;z-index:-371848" from="385pt,-16.980469pt" to="451pt,-16.980469pt" stroked="true" strokeweight=".5pt" strokecolor="#231f20">
            <v:stroke dashstyle="solid"/>
            <w10:wrap type="none"/>
          </v:line>
        </w:pict>
      </w:r>
      <w:r>
        <w:rPr/>
        <w:pict>
          <v:line style="position:absolute;mso-position-horizontal-relative:page;mso-position-vertical-relative:paragraph;z-index:-371824" from="459pt,-16.980469pt" to="525pt,-16.980469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 2016, 2015, and 2014:</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0"/>
        <w:gridCol w:w="1320"/>
        <w:gridCol w:w="160"/>
        <w:gridCol w:w="1320"/>
        <w:gridCol w:w="1480"/>
      </w:tblGrid>
      <w:tr>
        <w:trPr>
          <w:trHeight w:val="256" w:hRule="exact"/>
        </w:trPr>
        <w:tc>
          <w:tcPr>
            <w:tcW w:w="4840" w:type="dxa"/>
            <w:tcBorders>
              <w:bottom w:val="single" w:sz="8" w:space="0" w:color="231F20"/>
            </w:tcBorders>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2016</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480" w:type="dxa"/>
            <w:tcBorders>
              <w:bottom w:val="single" w:sz="8" w:space="0" w:color="231F20"/>
            </w:tcBorders>
          </w:tcPr>
          <w:p>
            <w:pPr>
              <w:pStyle w:val="TableParagraph"/>
              <w:spacing w:line="229" w:lineRule="exact" w:before="0"/>
              <w:ind w:left="620"/>
              <w:rPr>
                <w:b/>
                <w:sz w:val="20"/>
              </w:rPr>
            </w:pPr>
            <w:r>
              <w:rPr>
                <w:b/>
                <w:color w:val="231F20"/>
                <w:sz w:val="20"/>
              </w:rPr>
              <w:t>2014</w:t>
            </w:r>
          </w:p>
        </w:tc>
      </w:tr>
      <w:tr>
        <w:trPr>
          <w:trHeight w:val="310" w:hRule="exact"/>
        </w:trPr>
        <w:tc>
          <w:tcPr>
            <w:tcW w:w="4840" w:type="dxa"/>
            <w:tcBorders>
              <w:top w:val="single" w:sz="8" w:space="0" w:color="231F20"/>
            </w:tcBorders>
            <w:shd w:val="clear" w:color="auto" w:fill="D1D3D4"/>
          </w:tcPr>
          <w:p>
            <w:pPr>
              <w:pStyle w:val="TableParagraph"/>
              <w:spacing w:before="43"/>
              <w:ind w:left="100"/>
              <w:rPr>
                <w:sz w:val="20"/>
              </w:rPr>
            </w:pPr>
            <w:r>
              <w:rPr>
                <w:color w:val="231F20"/>
                <w:sz w:val="20"/>
              </w:rPr>
              <w:t>Weighted-average discount rate</w:t>
            </w:r>
          </w:p>
        </w:tc>
        <w:tc>
          <w:tcPr>
            <w:tcW w:w="1320" w:type="dxa"/>
            <w:tcBorders>
              <w:top w:val="single" w:sz="8" w:space="0" w:color="231F20"/>
            </w:tcBorders>
            <w:shd w:val="clear" w:color="auto" w:fill="D1D3D4"/>
          </w:tcPr>
          <w:p>
            <w:pPr>
              <w:pStyle w:val="TableParagraph"/>
              <w:jc w:val="right"/>
              <w:rPr>
                <w:sz w:val="20"/>
              </w:rPr>
            </w:pPr>
            <w:r>
              <w:rPr>
                <w:color w:val="231F20"/>
                <w:sz w:val="20"/>
              </w:rPr>
              <w:t>4.25%</w:t>
            </w:r>
          </w:p>
        </w:tc>
        <w:tc>
          <w:tcPr>
            <w:tcW w:w="160" w:type="dxa"/>
            <w:shd w:val="clear" w:color="auto" w:fill="D1D3D4"/>
          </w:tcPr>
          <w:p>
            <w:pPr/>
          </w:p>
        </w:tc>
        <w:tc>
          <w:tcPr>
            <w:tcW w:w="1320" w:type="dxa"/>
            <w:tcBorders>
              <w:top w:val="single" w:sz="8" w:space="0" w:color="231F20"/>
            </w:tcBorders>
            <w:shd w:val="clear" w:color="auto" w:fill="D1D3D4"/>
          </w:tcPr>
          <w:p>
            <w:pPr>
              <w:pStyle w:val="TableParagraph"/>
              <w:jc w:val="right"/>
              <w:rPr>
                <w:sz w:val="20"/>
              </w:rPr>
            </w:pPr>
            <w:r>
              <w:rPr>
                <w:color w:val="231F20"/>
                <w:sz w:val="20"/>
              </w:rPr>
              <w:t>4.50%</w:t>
            </w:r>
          </w:p>
        </w:tc>
        <w:tc>
          <w:tcPr>
            <w:tcW w:w="1480" w:type="dxa"/>
            <w:tcBorders>
              <w:top w:val="single" w:sz="8" w:space="0" w:color="231F20"/>
            </w:tcBorders>
            <w:shd w:val="clear" w:color="auto" w:fill="D1D3D4"/>
          </w:tcPr>
          <w:p>
            <w:pPr>
              <w:pStyle w:val="TableParagraph"/>
              <w:spacing w:before="43"/>
              <w:jc w:val="right"/>
              <w:rPr>
                <w:sz w:val="20"/>
              </w:rPr>
            </w:pPr>
            <w:r>
              <w:rPr>
                <w:color w:val="231F20"/>
                <w:sz w:val="20"/>
              </w:rPr>
              <w:t>4.10%</w:t>
            </w:r>
          </w:p>
        </w:tc>
      </w:tr>
      <w:tr>
        <w:trPr>
          <w:trHeight w:val="284" w:hRule="exact"/>
        </w:trPr>
        <w:tc>
          <w:tcPr>
            <w:tcW w:w="4840" w:type="dxa"/>
          </w:tcPr>
          <w:p>
            <w:pPr>
              <w:pStyle w:val="TableParagraph"/>
              <w:ind w:left="100"/>
              <w:rPr>
                <w:sz w:val="20"/>
              </w:rPr>
            </w:pPr>
            <w:r>
              <w:rPr>
                <w:color w:val="231F20"/>
                <w:sz w:val="20"/>
              </w:rPr>
              <w:t>Assumed healthcare cost trend rate (1)</w:t>
            </w:r>
          </w:p>
        </w:tc>
        <w:tc>
          <w:tcPr>
            <w:tcW w:w="1320" w:type="dxa"/>
          </w:tcPr>
          <w:p>
            <w:pPr>
              <w:pStyle w:val="TableParagraph"/>
              <w:jc w:val="right"/>
              <w:rPr>
                <w:sz w:val="20"/>
              </w:rPr>
            </w:pPr>
            <w:r>
              <w:rPr>
                <w:color w:val="231F20"/>
                <w:sz w:val="20"/>
              </w:rPr>
              <w:t>7.08%</w:t>
            </w:r>
          </w:p>
        </w:tc>
        <w:tc>
          <w:tcPr>
            <w:tcW w:w="160" w:type="dxa"/>
          </w:tcPr>
          <w:p>
            <w:pPr/>
          </w:p>
        </w:tc>
        <w:tc>
          <w:tcPr>
            <w:tcW w:w="1320" w:type="dxa"/>
          </w:tcPr>
          <w:p>
            <w:pPr>
              <w:pStyle w:val="TableParagraph"/>
              <w:jc w:val="right"/>
              <w:rPr>
                <w:sz w:val="20"/>
              </w:rPr>
            </w:pPr>
            <w:r>
              <w:rPr>
                <w:color w:val="231F20"/>
                <w:sz w:val="20"/>
              </w:rPr>
              <w:t>7.08%</w:t>
            </w:r>
          </w:p>
        </w:tc>
        <w:tc>
          <w:tcPr>
            <w:tcW w:w="1480" w:type="dxa"/>
          </w:tcPr>
          <w:p>
            <w:pPr>
              <w:pStyle w:val="TableParagraph"/>
              <w:jc w:val="right"/>
              <w:rPr>
                <w:sz w:val="20"/>
              </w:rPr>
            </w:pPr>
            <w:r>
              <w:rPr>
                <w:color w:val="231F20"/>
                <w:sz w:val="20"/>
              </w:rPr>
              <w:t>6.88%</w:t>
            </w:r>
          </w:p>
        </w:tc>
      </w:tr>
    </w:tbl>
    <w:p>
      <w:pPr>
        <w:pStyle w:val="ListParagraph"/>
        <w:numPr>
          <w:ilvl w:val="1"/>
          <w:numId w:val="16"/>
        </w:numPr>
        <w:tabs>
          <w:tab w:pos="920" w:val="left" w:leader="none"/>
        </w:tabs>
        <w:spacing w:line="249" w:lineRule="auto" w:before="189" w:after="0"/>
        <w:ind w:left="920" w:right="119" w:hanging="400"/>
        <w:jc w:val="left"/>
        <w:rPr>
          <w:sz w:val="20"/>
        </w:rPr>
      </w:pPr>
      <w:r>
        <w:rPr>
          <w:color w:val="231F20"/>
          <w:sz w:val="20"/>
        </w:rPr>
        <w:t>The assumed healthcare cost trend rate is assumed to remain at 7.08% for 2017, then decline gradually to 5.19% by 2027 and remain level</w:t>
      </w:r>
      <w:r>
        <w:rPr>
          <w:color w:val="231F20"/>
          <w:spacing w:val="2"/>
          <w:sz w:val="20"/>
        </w:rPr>
        <w:t> </w:t>
      </w:r>
      <w:r>
        <w:rPr>
          <w:color w:val="231F20"/>
          <w:sz w:val="20"/>
        </w:rPr>
        <w:t>thereafter.</w:t>
      </w:r>
    </w:p>
    <w:p>
      <w:pPr>
        <w:pStyle w:val="BodyText"/>
        <w:rPr>
          <w:sz w:val="21"/>
        </w:rPr>
      </w:pPr>
    </w:p>
    <w:p>
      <w:pPr>
        <w:pStyle w:val="BodyText"/>
        <w:spacing w:line="247" w:lineRule="auto"/>
        <w:ind w:left="120" w:right="117"/>
        <w:jc w:val="both"/>
      </w:pPr>
      <w:r>
        <w:rPr>
          <w:color w:val="231F20"/>
        </w:rPr>
        <w:t>The assumed healthcare cost trend rates have a significant effect on the amounts reported for the consolidated postretirement plans. A one percent change in all healthcare cost trend rates used in measuring the APBO at December 31, 2016, would have the following effects:</w:t>
      </w:r>
    </w:p>
    <w:p>
      <w:pPr>
        <w:pStyle w:val="BodyText"/>
        <w:spacing w:before="3"/>
        <w:rPr>
          <w:sz w:val="17"/>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20"/>
        <w:gridCol w:w="1320"/>
        <w:gridCol w:w="1480"/>
      </w:tblGrid>
      <w:tr>
        <w:trPr>
          <w:trHeight w:val="256" w:hRule="exact"/>
        </w:trPr>
        <w:tc>
          <w:tcPr>
            <w:tcW w:w="632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1% increase</w:t>
            </w:r>
          </w:p>
        </w:tc>
        <w:tc>
          <w:tcPr>
            <w:tcW w:w="1480" w:type="dxa"/>
            <w:tcBorders>
              <w:bottom w:val="single" w:sz="8" w:space="0" w:color="231F20"/>
            </w:tcBorders>
          </w:tcPr>
          <w:p>
            <w:pPr>
              <w:pStyle w:val="TableParagraph"/>
              <w:spacing w:line="229" w:lineRule="exact" w:before="0"/>
              <w:ind w:left="258" w:right="99"/>
              <w:jc w:val="center"/>
              <w:rPr>
                <w:b/>
                <w:sz w:val="20"/>
              </w:rPr>
            </w:pPr>
            <w:r>
              <w:rPr>
                <w:b/>
                <w:color w:val="231F20"/>
                <w:sz w:val="20"/>
              </w:rPr>
              <w:t>1% decrease</w:t>
            </w:r>
          </w:p>
        </w:tc>
      </w:tr>
      <w:tr>
        <w:trPr>
          <w:trHeight w:val="310" w:hRule="exact"/>
        </w:trPr>
        <w:tc>
          <w:tcPr>
            <w:tcW w:w="6320" w:type="dxa"/>
            <w:tcBorders>
              <w:top w:val="single" w:sz="8" w:space="0" w:color="231F20"/>
            </w:tcBorders>
            <w:shd w:val="clear" w:color="auto" w:fill="D1D3D4"/>
          </w:tcPr>
          <w:p>
            <w:pPr>
              <w:pStyle w:val="TableParagraph"/>
              <w:ind w:left="100"/>
              <w:rPr>
                <w:sz w:val="20"/>
              </w:rPr>
            </w:pPr>
            <w:r>
              <w:rPr>
                <w:color w:val="231F20"/>
                <w:sz w:val="20"/>
              </w:rPr>
              <w:t>Increase (decrease) in total service and interest costs</w:t>
            </w:r>
          </w:p>
        </w:tc>
        <w:tc>
          <w:tcPr>
            <w:tcW w:w="1320" w:type="dxa"/>
            <w:tcBorders>
              <w:top w:val="single" w:sz="8" w:space="0" w:color="231F20"/>
            </w:tcBorders>
            <w:shd w:val="clear" w:color="auto" w:fill="D1D3D4"/>
          </w:tcPr>
          <w:p>
            <w:pPr>
              <w:pStyle w:val="TableParagraph"/>
              <w:tabs>
                <w:tab w:pos="1169" w:val="left" w:leader="none"/>
              </w:tabs>
              <w:ind w:right="47"/>
              <w:jc w:val="center"/>
              <w:rPr>
                <w:sz w:val="20"/>
              </w:rPr>
            </w:pPr>
            <w:r>
              <w:rPr>
                <w:color w:val="231F20"/>
                <w:sz w:val="20"/>
              </w:rPr>
              <w:t>$</w:t>
              <w:tab/>
              <w:t>4</w:t>
            </w:r>
          </w:p>
        </w:tc>
        <w:tc>
          <w:tcPr>
            <w:tcW w:w="1480" w:type="dxa"/>
            <w:tcBorders>
              <w:top w:val="single" w:sz="8" w:space="0" w:color="231F20"/>
            </w:tcBorders>
            <w:shd w:val="clear" w:color="auto" w:fill="D1D3D4"/>
          </w:tcPr>
          <w:p>
            <w:pPr>
              <w:pStyle w:val="TableParagraph"/>
              <w:tabs>
                <w:tab w:pos="1145" w:val="left" w:leader="none"/>
              </w:tabs>
              <w:ind w:left="109"/>
              <w:jc w:val="center"/>
              <w:rPr>
                <w:sz w:val="20"/>
              </w:rPr>
            </w:pPr>
            <w:r>
              <w:rPr>
                <w:color w:val="231F20"/>
                <w:sz w:val="20"/>
              </w:rPr>
              <w:t>$</w:t>
              <w:tab/>
              <w:t>(3)</w:t>
            </w:r>
          </w:p>
        </w:tc>
      </w:tr>
      <w:tr>
        <w:trPr>
          <w:trHeight w:val="284" w:hRule="exact"/>
        </w:trPr>
        <w:tc>
          <w:tcPr>
            <w:tcW w:w="6320" w:type="dxa"/>
          </w:tcPr>
          <w:p>
            <w:pPr>
              <w:pStyle w:val="TableParagraph"/>
              <w:ind w:left="100"/>
              <w:rPr>
                <w:sz w:val="20"/>
              </w:rPr>
            </w:pPr>
            <w:r>
              <w:rPr>
                <w:color w:val="231F20"/>
                <w:sz w:val="20"/>
              </w:rPr>
              <w:t>Increase (decrease) in the APBO</w:t>
            </w:r>
          </w:p>
        </w:tc>
        <w:tc>
          <w:tcPr>
            <w:tcW w:w="1320" w:type="dxa"/>
          </w:tcPr>
          <w:p>
            <w:pPr>
              <w:pStyle w:val="TableParagraph"/>
              <w:tabs>
                <w:tab w:pos="1069" w:val="left" w:leader="none"/>
              </w:tabs>
              <w:ind w:right="47"/>
              <w:jc w:val="center"/>
              <w:rPr>
                <w:sz w:val="20"/>
              </w:rPr>
            </w:pPr>
            <w:r>
              <w:rPr>
                <w:color w:val="231F20"/>
                <w:sz w:val="20"/>
              </w:rPr>
              <w:t>$</w:t>
              <w:tab/>
              <w:t>36</w:t>
            </w:r>
          </w:p>
        </w:tc>
        <w:tc>
          <w:tcPr>
            <w:tcW w:w="1480" w:type="dxa"/>
          </w:tcPr>
          <w:p>
            <w:pPr>
              <w:pStyle w:val="TableParagraph"/>
              <w:tabs>
                <w:tab w:pos="1045" w:val="left" w:leader="none"/>
              </w:tabs>
              <w:ind w:left="109"/>
              <w:jc w:val="center"/>
              <w:rPr>
                <w:sz w:val="20"/>
              </w:rPr>
            </w:pPr>
            <w:r>
              <w:rPr>
                <w:color w:val="231F20"/>
                <w:sz w:val="20"/>
              </w:rPr>
              <w:t>$</w:t>
              <w:tab/>
              <w:t>(31)</w:t>
            </w:r>
          </w:p>
        </w:tc>
      </w:tr>
    </w:tbl>
    <w:p>
      <w:pPr>
        <w:pStyle w:val="BodyText"/>
        <w:rPr>
          <w:sz w:val="27"/>
        </w:rPr>
      </w:pPr>
    </w:p>
    <w:p>
      <w:pPr>
        <w:pStyle w:val="BodyText"/>
        <w:spacing w:line="247" w:lineRule="auto"/>
        <w:ind w:left="120" w:right="117"/>
        <w:jc w:val="both"/>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This rate decreased during 2016 due to market conditions. The assumed healthcare trend rate is also reviewed at least annually and is determined based upon both historical experience with the Company’s healthcare benefits paid and expectations of how those  trends may or may not change in future</w:t>
      </w:r>
      <w:r>
        <w:rPr>
          <w:color w:val="231F20"/>
          <w:spacing w:val="-4"/>
        </w:rPr>
        <w:t> </w:t>
      </w:r>
      <w:r>
        <w:rPr>
          <w:color w:val="231F20"/>
        </w:rPr>
        <w:t>years.</w:t>
      </w:r>
    </w:p>
    <w:p>
      <w:pPr>
        <w:spacing w:after="0" w:line="247" w:lineRule="auto"/>
        <w:jc w:val="both"/>
        <w:sectPr>
          <w:pgSz w:w="11880" w:h="15480"/>
          <w:pgMar w:header="0" w:footer="1240" w:top="1240" w:bottom="1420" w:left="1260" w:right="1260"/>
        </w:sectPr>
      </w:pPr>
    </w:p>
    <w:p>
      <w:pPr>
        <w:pStyle w:val="Heading1"/>
        <w:numPr>
          <w:ilvl w:val="0"/>
          <w:numId w:val="16"/>
        </w:numPr>
        <w:tabs>
          <w:tab w:pos="450" w:val="left" w:leader="none"/>
        </w:tabs>
        <w:spacing w:line="240" w:lineRule="auto" w:before="74" w:after="0"/>
        <w:ind w:left="450" w:right="0" w:hanging="330"/>
        <w:jc w:val="both"/>
      </w:pPr>
      <w:bookmarkStart w:name="14. INCOME TAXES" w:id="39"/>
      <w:bookmarkEnd w:id="39"/>
      <w:r>
        <w:rPr>
          <w:b w:val="0"/>
        </w:rPr>
      </w:r>
      <w:bookmarkStart w:name="14. INCOME TAXES" w:id="40"/>
      <w:bookmarkEnd w:id="40"/>
      <w:r>
        <w:rPr>
          <w:color w:val="231F20"/>
        </w:rPr>
        <w:t>INCOME</w:t>
      </w:r>
      <w:r>
        <w:rPr>
          <w:color w:val="231F20"/>
        </w:rPr>
        <w:t> TAXES</w:t>
      </w:r>
    </w:p>
    <w:p>
      <w:pPr>
        <w:pStyle w:val="BodyText"/>
        <w:spacing w:before="4"/>
        <w:rPr>
          <w:b/>
          <w:sz w:val="19"/>
        </w:rPr>
      </w:pPr>
    </w:p>
    <w:p>
      <w:pPr>
        <w:pStyle w:val="BodyText"/>
        <w:spacing w:line="247" w:lineRule="auto" w:before="1"/>
        <w:ind w:left="120" w:right="117"/>
        <w:jc w:val="both"/>
      </w:pPr>
      <w:r>
        <w:rPr/>
        <w:pict>
          <v:line style="position:absolute;mso-position-horizontal-relative:page;mso-position-vertical-relative:paragraph;z-index:-371800" from="69pt,73.669312pt" to="397pt,73.669312pt" stroked="true" strokeweight="1pt" strokecolor="#231f20">
            <v:stroke dashstyle="solid"/>
            <w10:wrap type="none"/>
          </v:line>
        </w:pict>
      </w: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2016 and 2015, are as follows:</w:t>
      </w:r>
    </w:p>
    <w:p>
      <w:pPr>
        <w:pStyle w:val="BodyText"/>
        <w:spacing w:before="3"/>
        <w:rPr>
          <w:sz w:val="1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60"/>
        <w:gridCol w:w="200"/>
        <w:gridCol w:w="1080"/>
        <w:gridCol w:w="200"/>
        <w:gridCol w:w="1080"/>
      </w:tblGrid>
      <w:tr>
        <w:trPr>
          <w:trHeight w:val="256" w:hRule="exact"/>
        </w:trPr>
        <w:tc>
          <w:tcPr>
            <w:tcW w:w="6560" w:type="dxa"/>
          </w:tcPr>
          <w:p>
            <w:pPr>
              <w:pStyle w:val="TableParagraph"/>
              <w:spacing w:line="229" w:lineRule="exact" w:before="0"/>
              <w:ind w:left="100"/>
              <w:rPr>
                <w:b/>
                <w:sz w:val="20"/>
              </w:rPr>
            </w:pPr>
            <w:r>
              <w:rPr>
                <w:b/>
                <w:color w:val="231F20"/>
                <w:sz w:val="20"/>
              </w:rPr>
              <w:t>(in millions)</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2016</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2015</w:t>
            </w:r>
          </w:p>
        </w:tc>
      </w:tr>
      <w:tr>
        <w:trPr>
          <w:trHeight w:val="310" w:hRule="exact"/>
        </w:trPr>
        <w:tc>
          <w:tcPr>
            <w:tcW w:w="6560" w:type="dxa"/>
            <w:shd w:val="clear" w:color="auto" w:fill="D1D3D4"/>
          </w:tcPr>
          <w:p>
            <w:pPr>
              <w:pStyle w:val="TableParagraph"/>
              <w:ind w:left="100"/>
              <w:rPr>
                <w:b/>
                <w:sz w:val="20"/>
              </w:rPr>
            </w:pPr>
            <w:r>
              <w:rPr>
                <w:b/>
                <w:color w:val="231F20"/>
                <w:sz w:val="20"/>
              </w:rPr>
              <w:t>DEFERRED TAX LIABILITIES:</w:t>
            </w: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r>
      <w:tr>
        <w:trPr>
          <w:trHeight w:val="300" w:hRule="exact"/>
        </w:trPr>
        <w:tc>
          <w:tcPr>
            <w:tcW w:w="6560" w:type="dxa"/>
          </w:tcPr>
          <w:p>
            <w:pPr>
              <w:pStyle w:val="TableParagraph"/>
              <w:ind w:left="300"/>
              <w:rPr>
                <w:sz w:val="20"/>
              </w:rPr>
            </w:pPr>
            <w:r>
              <w:rPr>
                <w:color w:val="231F20"/>
                <w:sz w:val="20"/>
              </w:rPr>
              <w:t>Accelerated depreciation</w:t>
            </w:r>
          </w:p>
        </w:tc>
        <w:tc>
          <w:tcPr>
            <w:tcW w:w="200" w:type="dxa"/>
          </w:tcPr>
          <w:p>
            <w:pPr/>
          </w:p>
        </w:tc>
        <w:tc>
          <w:tcPr>
            <w:tcW w:w="1080" w:type="dxa"/>
          </w:tcPr>
          <w:p>
            <w:pPr>
              <w:pStyle w:val="TableParagraph"/>
              <w:tabs>
                <w:tab w:pos="579" w:val="left" w:leader="none"/>
              </w:tabs>
              <w:ind w:right="47"/>
              <w:jc w:val="right"/>
              <w:rPr>
                <w:sz w:val="20"/>
              </w:rPr>
            </w:pPr>
            <w:r>
              <w:rPr>
                <w:color w:val="231F20"/>
                <w:sz w:val="20"/>
              </w:rPr>
              <w:t>$</w:t>
              <w:tab/>
            </w:r>
            <w:r>
              <w:rPr>
                <w:color w:val="231F20"/>
                <w:spacing w:val="-1"/>
                <w:sz w:val="20"/>
              </w:rPr>
              <w:t>4,726</w:t>
            </w:r>
          </w:p>
        </w:tc>
        <w:tc>
          <w:tcPr>
            <w:tcW w:w="200" w:type="dxa"/>
          </w:tcPr>
          <w:p>
            <w:pPr/>
          </w:p>
        </w:tc>
        <w:tc>
          <w:tcPr>
            <w:tcW w:w="1080" w:type="dxa"/>
          </w:tcPr>
          <w:p>
            <w:pPr>
              <w:pStyle w:val="TableParagraph"/>
              <w:tabs>
                <w:tab w:pos="579" w:val="left" w:leader="none"/>
              </w:tabs>
              <w:ind w:right="47"/>
              <w:jc w:val="right"/>
              <w:rPr>
                <w:sz w:val="20"/>
              </w:rPr>
            </w:pPr>
            <w:r>
              <w:rPr>
                <w:color w:val="231F20"/>
                <w:sz w:val="20"/>
              </w:rPr>
              <w:t>$</w:t>
              <w:tab/>
            </w:r>
            <w:r>
              <w:rPr>
                <w:color w:val="231F20"/>
                <w:spacing w:val="-1"/>
                <w:sz w:val="20"/>
              </w:rPr>
              <w:t>4,429</w:t>
            </w:r>
          </w:p>
        </w:tc>
      </w:tr>
      <w:tr>
        <w:trPr>
          <w:trHeight w:val="315" w:hRule="exact"/>
        </w:trPr>
        <w:tc>
          <w:tcPr>
            <w:tcW w:w="656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134</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62</w:t>
            </w:r>
          </w:p>
        </w:tc>
      </w:tr>
      <w:tr>
        <w:trPr>
          <w:trHeight w:val="305" w:hRule="exact"/>
        </w:trPr>
        <w:tc>
          <w:tcPr>
            <w:tcW w:w="6560" w:type="dxa"/>
          </w:tcPr>
          <w:p>
            <w:pPr>
              <w:pStyle w:val="TableParagraph"/>
              <w:spacing w:before="73"/>
              <w:ind w:left="500"/>
              <w:rPr>
                <w:sz w:val="20"/>
              </w:rPr>
            </w:pPr>
            <w:r>
              <w:rPr>
                <w:color w:val="231F20"/>
                <w:sz w:val="20"/>
              </w:rPr>
              <w:t>Total deferred tax liabilities</w:t>
            </w:r>
          </w:p>
        </w:tc>
        <w:tc>
          <w:tcPr>
            <w:tcW w:w="200" w:type="dxa"/>
          </w:tcPr>
          <w:p>
            <w:pPr/>
          </w:p>
        </w:tc>
        <w:tc>
          <w:tcPr>
            <w:tcW w:w="1080" w:type="dxa"/>
            <w:tcBorders>
              <w:top w:val="single" w:sz="4" w:space="0" w:color="231F20"/>
            </w:tcBorders>
          </w:tcPr>
          <w:p>
            <w:pPr>
              <w:pStyle w:val="TableParagraph"/>
              <w:ind w:right="47"/>
              <w:jc w:val="right"/>
              <w:rPr>
                <w:sz w:val="20"/>
              </w:rPr>
            </w:pPr>
            <w:r>
              <w:rPr>
                <w:color w:val="231F20"/>
                <w:sz w:val="20"/>
              </w:rPr>
              <w:t>4,860</w:t>
            </w:r>
          </w:p>
        </w:tc>
        <w:tc>
          <w:tcPr>
            <w:tcW w:w="200" w:type="dxa"/>
          </w:tcPr>
          <w:p>
            <w:pPr/>
          </w:p>
        </w:tc>
        <w:tc>
          <w:tcPr>
            <w:tcW w:w="1080" w:type="dxa"/>
            <w:tcBorders>
              <w:top w:val="single" w:sz="4" w:space="0" w:color="231F20"/>
            </w:tcBorders>
          </w:tcPr>
          <w:p>
            <w:pPr>
              <w:pStyle w:val="TableParagraph"/>
              <w:ind w:right="47"/>
              <w:jc w:val="right"/>
              <w:rPr>
                <w:sz w:val="20"/>
              </w:rPr>
            </w:pPr>
            <w:r>
              <w:rPr>
                <w:color w:val="231F20"/>
                <w:sz w:val="20"/>
              </w:rPr>
              <w:t>4,491</w:t>
            </w:r>
          </w:p>
        </w:tc>
      </w:tr>
      <w:tr>
        <w:trPr>
          <w:trHeight w:val="300" w:hRule="exact"/>
        </w:trPr>
        <w:tc>
          <w:tcPr>
            <w:tcW w:w="6560" w:type="dxa"/>
            <w:shd w:val="clear" w:color="auto" w:fill="D1D3D4"/>
          </w:tcPr>
          <w:p>
            <w:pPr>
              <w:pStyle w:val="TableParagraph"/>
              <w:ind w:left="100"/>
              <w:rPr>
                <w:b/>
                <w:sz w:val="20"/>
              </w:rPr>
            </w:pPr>
            <w:r>
              <w:rPr>
                <w:b/>
                <w:color w:val="231F20"/>
                <w:sz w:val="20"/>
              </w:rPr>
              <w:t>DEFERRED TAX ASSETS:</w:t>
            </w:r>
          </w:p>
        </w:tc>
        <w:tc>
          <w:tcPr>
            <w:tcW w:w="200" w:type="dxa"/>
            <w:shd w:val="clear" w:color="auto" w:fill="D1D3D4"/>
          </w:tcPr>
          <w:p>
            <w:pPr/>
          </w:p>
        </w:tc>
        <w:tc>
          <w:tcPr>
            <w:tcW w:w="1080" w:type="dxa"/>
            <w:shd w:val="clear" w:color="auto" w:fill="D1D3D4"/>
          </w:tcPr>
          <w:p>
            <w:pPr/>
          </w:p>
        </w:tc>
        <w:tc>
          <w:tcPr>
            <w:tcW w:w="200" w:type="dxa"/>
            <w:shd w:val="clear" w:color="auto" w:fill="D1D3D4"/>
          </w:tcPr>
          <w:p>
            <w:pPr/>
          </w:p>
        </w:tc>
        <w:tc>
          <w:tcPr>
            <w:tcW w:w="1080" w:type="dxa"/>
            <w:shd w:val="clear" w:color="auto" w:fill="D1D3D4"/>
          </w:tcPr>
          <w:p>
            <w:pPr/>
          </w:p>
        </w:tc>
      </w:tr>
      <w:tr>
        <w:trPr>
          <w:trHeight w:val="300" w:hRule="exact"/>
        </w:trPr>
        <w:tc>
          <w:tcPr>
            <w:tcW w:w="6560" w:type="dxa"/>
          </w:tcPr>
          <w:p>
            <w:pPr>
              <w:pStyle w:val="TableParagraph"/>
              <w:ind w:left="300"/>
              <w:rPr>
                <w:sz w:val="20"/>
              </w:rPr>
            </w:pPr>
            <w:r>
              <w:rPr>
                <w:color w:val="231F20"/>
                <w:sz w:val="20"/>
              </w:rPr>
              <w:t>Fuel derivative instruments</w:t>
            </w:r>
          </w:p>
        </w:tc>
        <w:tc>
          <w:tcPr>
            <w:tcW w:w="200" w:type="dxa"/>
          </w:tcPr>
          <w:p>
            <w:pPr/>
          </w:p>
        </w:tc>
        <w:tc>
          <w:tcPr>
            <w:tcW w:w="1080" w:type="dxa"/>
          </w:tcPr>
          <w:p>
            <w:pPr>
              <w:pStyle w:val="TableParagraph"/>
              <w:ind w:right="47"/>
              <w:jc w:val="right"/>
              <w:rPr>
                <w:sz w:val="20"/>
              </w:rPr>
            </w:pPr>
            <w:r>
              <w:rPr>
                <w:color w:val="231F20"/>
                <w:sz w:val="20"/>
              </w:rPr>
              <w:t>233</w:t>
            </w:r>
          </w:p>
        </w:tc>
        <w:tc>
          <w:tcPr>
            <w:tcW w:w="200" w:type="dxa"/>
          </w:tcPr>
          <w:p>
            <w:pPr/>
          </w:p>
        </w:tc>
        <w:tc>
          <w:tcPr>
            <w:tcW w:w="1080" w:type="dxa"/>
          </w:tcPr>
          <w:p>
            <w:pPr>
              <w:pStyle w:val="TableParagraph"/>
              <w:ind w:right="47"/>
              <w:jc w:val="right"/>
              <w:rPr>
                <w:sz w:val="20"/>
              </w:rPr>
            </w:pPr>
            <w:r>
              <w:rPr>
                <w:color w:val="231F20"/>
                <w:sz w:val="20"/>
              </w:rPr>
              <w:t>750</w:t>
            </w:r>
          </w:p>
        </w:tc>
      </w:tr>
      <w:tr>
        <w:trPr>
          <w:trHeight w:val="300" w:hRule="exact"/>
        </w:trPr>
        <w:tc>
          <w:tcPr>
            <w:tcW w:w="6560" w:type="dxa"/>
            <w:shd w:val="clear" w:color="auto" w:fill="D1D3D4"/>
          </w:tcPr>
          <w:p>
            <w:pPr>
              <w:pStyle w:val="TableParagraph"/>
              <w:ind w:left="300"/>
              <w:rPr>
                <w:sz w:val="20"/>
              </w:rPr>
            </w:pPr>
            <w:r>
              <w:rPr>
                <w:color w:val="231F20"/>
                <w:sz w:val="20"/>
              </w:rPr>
              <w:t>Construction obligation</w:t>
            </w:r>
          </w:p>
        </w:tc>
        <w:tc>
          <w:tcPr>
            <w:tcW w:w="200" w:type="dxa"/>
            <w:shd w:val="clear" w:color="auto" w:fill="D1D3D4"/>
          </w:tcPr>
          <w:p>
            <w:pPr/>
          </w:p>
        </w:tc>
        <w:tc>
          <w:tcPr>
            <w:tcW w:w="1080" w:type="dxa"/>
            <w:shd w:val="clear" w:color="auto" w:fill="D1D3D4"/>
          </w:tcPr>
          <w:p>
            <w:pPr>
              <w:pStyle w:val="TableParagraph"/>
              <w:ind w:right="47"/>
              <w:jc w:val="right"/>
              <w:rPr>
                <w:sz w:val="20"/>
              </w:rPr>
            </w:pPr>
            <w:r>
              <w:rPr>
                <w:color w:val="231F20"/>
                <w:sz w:val="20"/>
              </w:rPr>
              <w:t>402</w:t>
            </w:r>
          </w:p>
        </w:tc>
        <w:tc>
          <w:tcPr>
            <w:tcW w:w="200" w:type="dxa"/>
            <w:shd w:val="clear" w:color="auto" w:fill="D1D3D4"/>
          </w:tcPr>
          <w:p>
            <w:pPr/>
          </w:p>
        </w:tc>
        <w:tc>
          <w:tcPr>
            <w:tcW w:w="1080" w:type="dxa"/>
            <w:shd w:val="clear" w:color="auto" w:fill="D1D3D4"/>
          </w:tcPr>
          <w:p>
            <w:pPr>
              <w:pStyle w:val="TableParagraph"/>
              <w:ind w:right="47"/>
              <w:jc w:val="right"/>
              <w:rPr>
                <w:sz w:val="20"/>
              </w:rPr>
            </w:pPr>
            <w:r>
              <w:rPr>
                <w:color w:val="231F20"/>
                <w:sz w:val="20"/>
              </w:rPr>
              <w:t>289</w:t>
            </w:r>
          </w:p>
        </w:tc>
      </w:tr>
      <w:tr>
        <w:trPr>
          <w:trHeight w:val="300" w:hRule="exact"/>
        </w:trPr>
        <w:tc>
          <w:tcPr>
            <w:tcW w:w="6560" w:type="dxa"/>
          </w:tcPr>
          <w:p>
            <w:pPr>
              <w:pStyle w:val="TableParagraph"/>
              <w:ind w:left="300"/>
              <w:rPr>
                <w:sz w:val="20"/>
              </w:rPr>
            </w:pPr>
            <w:r>
              <w:rPr>
                <w:color w:val="231F20"/>
                <w:sz w:val="20"/>
              </w:rPr>
              <w:t>Accrued employee benefits</w:t>
            </w:r>
          </w:p>
        </w:tc>
        <w:tc>
          <w:tcPr>
            <w:tcW w:w="200" w:type="dxa"/>
          </w:tcPr>
          <w:p>
            <w:pPr/>
          </w:p>
        </w:tc>
        <w:tc>
          <w:tcPr>
            <w:tcW w:w="1080" w:type="dxa"/>
          </w:tcPr>
          <w:p>
            <w:pPr>
              <w:pStyle w:val="TableParagraph"/>
              <w:ind w:right="47"/>
              <w:jc w:val="right"/>
              <w:rPr>
                <w:sz w:val="20"/>
              </w:rPr>
            </w:pPr>
            <w:r>
              <w:rPr>
                <w:color w:val="231F20"/>
                <w:sz w:val="20"/>
              </w:rPr>
              <w:t>451</w:t>
            </w:r>
          </w:p>
        </w:tc>
        <w:tc>
          <w:tcPr>
            <w:tcW w:w="200" w:type="dxa"/>
          </w:tcPr>
          <w:p>
            <w:pPr/>
          </w:p>
        </w:tc>
        <w:tc>
          <w:tcPr>
            <w:tcW w:w="1080" w:type="dxa"/>
          </w:tcPr>
          <w:p>
            <w:pPr>
              <w:pStyle w:val="TableParagraph"/>
              <w:ind w:right="47"/>
              <w:jc w:val="right"/>
              <w:rPr>
                <w:sz w:val="20"/>
              </w:rPr>
            </w:pPr>
            <w:r>
              <w:rPr>
                <w:color w:val="231F20"/>
                <w:sz w:val="20"/>
              </w:rPr>
              <w:t>541</w:t>
            </w:r>
          </w:p>
        </w:tc>
      </w:tr>
      <w:tr>
        <w:trPr>
          <w:trHeight w:val="315" w:hRule="exact"/>
        </w:trPr>
        <w:tc>
          <w:tcPr>
            <w:tcW w:w="6560" w:type="dxa"/>
            <w:shd w:val="clear" w:color="auto" w:fill="D1D3D4"/>
          </w:tcPr>
          <w:p>
            <w:pPr>
              <w:pStyle w:val="TableParagraph"/>
              <w:ind w:left="300"/>
              <w:rPr>
                <w:sz w:val="20"/>
              </w:rPr>
            </w:pPr>
            <w:r>
              <w:rPr>
                <w:color w:val="231F20"/>
                <w:sz w:val="20"/>
              </w:rPr>
              <w:t>Other</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400</w:t>
            </w:r>
          </w:p>
        </w:tc>
        <w:tc>
          <w:tcPr>
            <w:tcW w:w="200" w:type="dxa"/>
            <w:shd w:val="clear" w:color="auto" w:fill="D1D3D4"/>
          </w:tcPr>
          <w:p>
            <w:pPr/>
          </w:p>
        </w:tc>
        <w:tc>
          <w:tcPr>
            <w:tcW w:w="1080" w:type="dxa"/>
            <w:tcBorders>
              <w:bottom w:val="single" w:sz="4" w:space="0" w:color="231F20"/>
            </w:tcBorders>
            <w:shd w:val="clear" w:color="auto" w:fill="D1D3D4"/>
          </w:tcPr>
          <w:p>
            <w:pPr>
              <w:pStyle w:val="TableParagraph"/>
              <w:ind w:right="49"/>
              <w:jc w:val="right"/>
              <w:rPr>
                <w:sz w:val="20"/>
              </w:rPr>
            </w:pPr>
            <w:r>
              <w:rPr>
                <w:color w:val="231F20"/>
                <w:sz w:val="20"/>
              </w:rPr>
              <w:t>421</w:t>
            </w:r>
          </w:p>
        </w:tc>
      </w:tr>
      <w:tr>
        <w:trPr>
          <w:trHeight w:val="320" w:hRule="exact"/>
        </w:trPr>
        <w:tc>
          <w:tcPr>
            <w:tcW w:w="6560" w:type="dxa"/>
          </w:tcPr>
          <w:p>
            <w:pPr>
              <w:pStyle w:val="TableParagraph"/>
              <w:spacing w:before="73"/>
              <w:ind w:left="600"/>
              <w:rPr>
                <w:sz w:val="20"/>
              </w:rPr>
            </w:pPr>
            <w:r>
              <w:rPr>
                <w:color w:val="231F20"/>
                <w:sz w:val="20"/>
              </w:rPr>
              <w:t>Total deferred tax assets</w:t>
            </w:r>
          </w:p>
        </w:tc>
        <w:tc>
          <w:tcPr>
            <w:tcW w:w="200" w:type="dxa"/>
          </w:tcPr>
          <w:p>
            <w:pPr/>
          </w:p>
        </w:tc>
        <w:tc>
          <w:tcPr>
            <w:tcW w:w="1080" w:type="dxa"/>
            <w:tcBorders>
              <w:top w:val="single" w:sz="4" w:space="0" w:color="231F20"/>
              <w:bottom w:val="single" w:sz="4" w:space="0" w:color="231F20"/>
            </w:tcBorders>
          </w:tcPr>
          <w:p>
            <w:pPr>
              <w:pStyle w:val="TableParagraph"/>
              <w:ind w:right="49"/>
              <w:jc w:val="right"/>
              <w:rPr>
                <w:sz w:val="20"/>
              </w:rPr>
            </w:pPr>
            <w:r>
              <w:rPr>
                <w:color w:val="231F20"/>
                <w:sz w:val="20"/>
              </w:rPr>
              <w:t>1,486</w:t>
            </w:r>
          </w:p>
        </w:tc>
        <w:tc>
          <w:tcPr>
            <w:tcW w:w="200" w:type="dxa"/>
          </w:tcPr>
          <w:p>
            <w:pPr/>
          </w:p>
        </w:tc>
        <w:tc>
          <w:tcPr>
            <w:tcW w:w="1080" w:type="dxa"/>
            <w:tcBorders>
              <w:top w:val="single" w:sz="4" w:space="0" w:color="231F20"/>
              <w:bottom w:val="single" w:sz="4" w:space="0" w:color="231F20"/>
            </w:tcBorders>
          </w:tcPr>
          <w:p>
            <w:pPr>
              <w:pStyle w:val="TableParagraph"/>
              <w:ind w:right="49"/>
              <w:jc w:val="right"/>
              <w:rPr>
                <w:sz w:val="20"/>
              </w:rPr>
            </w:pPr>
            <w:r>
              <w:rPr>
                <w:color w:val="231F20"/>
                <w:sz w:val="20"/>
              </w:rPr>
              <w:t>2,001</w:t>
            </w:r>
          </w:p>
        </w:tc>
      </w:tr>
      <w:tr>
        <w:trPr>
          <w:trHeight w:val="360" w:hRule="exact"/>
        </w:trPr>
        <w:tc>
          <w:tcPr>
            <w:tcW w:w="6560" w:type="dxa"/>
            <w:shd w:val="clear" w:color="auto" w:fill="D1D3D4"/>
          </w:tcPr>
          <w:p>
            <w:pPr>
              <w:pStyle w:val="TableParagraph"/>
              <w:ind w:left="600"/>
              <w:rPr>
                <w:sz w:val="20"/>
              </w:rPr>
            </w:pPr>
            <w:r>
              <w:rPr>
                <w:color w:val="231F20"/>
                <w:sz w:val="20"/>
              </w:rPr>
              <w:t>Net deferred tax liability</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79" w:val="left" w:leader="none"/>
              </w:tabs>
              <w:ind w:right="49"/>
              <w:jc w:val="right"/>
              <w:rPr>
                <w:sz w:val="20"/>
              </w:rPr>
            </w:pPr>
            <w:r>
              <w:rPr>
                <w:color w:val="231F20"/>
                <w:sz w:val="20"/>
              </w:rPr>
              <w:t>$</w:t>
              <w:tab/>
            </w:r>
            <w:r>
              <w:rPr>
                <w:color w:val="231F20"/>
                <w:spacing w:val="-1"/>
                <w:sz w:val="20"/>
              </w:rPr>
              <w:t>3,374</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79" w:val="left" w:leader="none"/>
              </w:tabs>
              <w:ind w:right="49"/>
              <w:jc w:val="right"/>
              <w:rPr>
                <w:sz w:val="20"/>
              </w:rPr>
            </w:pPr>
            <w:r>
              <w:rPr>
                <w:color w:val="231F20"/>
                <w:sz w:val="20"/>
              </w:rPr>
              <w:t>$</w:t>
              <w:tab/>
            </w:r>
            <w:r>
              <w:rPr>
                <w:color w:val="231F20"/>
                <w:spacing w:val="-1"/>
                <w:sz w:val="20"/>
              </w:rPr>
              <w:t>2,490</w:t>
            </w:r>
          </w:p>
        </w:tc>
      </w:tr>
    </w:tbl>
    <w:p>
      <w:pPr>
        <w:pStyle w:val="BodyText"/>
        <w:spacing w:before="2"/>
        <w:rPr>
          <w:sz w:val="23"/>
        </w:rPr>
      </w:pPr>
    </w:p>
    <w:p>
      <w:pPr>
        <w:pStyle w:val="BodyText"/>
        <w:ind w:left="120"/>
        <w:jc w:val="both"/>
      </w:pPr>
      <w:r>
        <w:rPr/>
        <w:pict>
          <v:line style="position:absolute;mso-position-horizontal-relative:page;mso-position-vertical-relative:paragraph;z-index:-371776" from="407pt,-15.830457pt" to="461pt,-15.830457pt" stroked="true" strokeweight=".5pt" strokecolor="#231f20">
            <v:stroke dashstyle="solid"/>
            <w10:wrap type="none"/>
          </v:line>
        </w:pict>
      </w:r>
      <w:r>
        <w:rPr/>
        <w:pict>
          <v:line style="position:absolute;mso-position-horizontal-relative:page;mso-position-vertical-relative:paragraph;z-index:-371752" from="471pt,-15.830457pt" to="525pt,-15.830457pt" stroked="true" strokeweight=".5pt" strokecolor="#231f20">
            <v:stroke dashstyle="solid"/>
            <w10:wrap type="none"/>
          </v:line>
        </w:pict>
      </w:r>
      <w:r>
        <w:rPr/>
        <w:pict>
          <v:line style="position:absolute;mso-position-horizontal-relative:page;mso-position-vertical-relative:paragraph;z-index:-371680" from="69pt,34.619545pt" to="303pt,34.619545pt" stroked="true" strokeweight="1pt" strokecolor="#231f20">
            <v:stroke dashstyle="solid"/>
            <w10:wrap type="none"/>
          </v:line>
        </w:pict>
      </w:r>
      <w:r>
        <w:rPr>
          <w:color w:val="231F20"/>
        </w:rPr>
        <w:t>The provision for income taxes is composed of the following:</w:t>
      </w:r>
    </w:p>
    <w:p>
      <w:pPr>
        <w:pStyle w:val="BodyText"/>
        <w:spacing w:before="10"/>
        <w:rPr>
          <w:sz w:val="1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80"/>
        <w:gridCol w:w="160"/>
        <w:gridCol w:w="1320"/>
        <w:gridCol w:w="160"/>
        <w:gridCol w:w="1320"/>
        <w:gridCol w:w="160"/>
        <w:gridCol w:w="1320"/>
      </w:tblGrid>
      <w:tr>
        <w:trPr>
          <w:trHeight w:val="256" w:hRule="exact"/>
        </w:trPr>
        <w:tc>
          <w:tcPr>
            <w:tcW w:w="4680" w:type="dxa"/>
          </w:tcPr>
          <w:p>
            <w:pPr>
              <w:pStyle w:val="TableParagraph"/>
              <w:spacing w:line="229" w:lineRule="exact" w:before="0"/>
              <w:ind w:left="100"/>
              <w:rPr>
                <w:b/>
                <w:sz w:val="20"/>
              </w:rPr>
            </w:pPr>
            <w:r>
              <w:rPr>
                <w:b/>
                <w:color w:val="231F20"/>
                <w:sz w:val="20"/>
              </w:rPr>
              <w:t>(in millions)</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2016</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2015</w:t>
            </w:r>
          </w:p>
        </w:tc>
        <w:tc>
          <w:tcPr>
            <w:tcW w:w="160" w:type="dxa"/>
          </w:tcPr>
          <w:p>
            <w:pPr/>
          </w:p>
        </w:tc>
        <w:tc>
          <w:tcPr>
            <w:tcW w:w="1320" w:type="dxa"/>
            <w:tcBorders>
              <w:bottom w:val="single" w:sz="8" w:space="0" w:color="231F20"/>
            </w:tcBorders>
          </w:tcPr>
          <w:p>
            <w:pPr>
              <w:pStyle w:val="TableParagraph"/>
              <w:spacing w:line="229" w:lineRule="exact" w:before="0"/>
              <w:jc w:val="center"/>
              <w:rPr>
                <w:b/>
                <w:sz w:val="20"/>
              </w:rPr>
            </w:pPr>
            <w:r>
              <w:rPr>
                <w:b/>
                <w:color w:val="231F20"/>
                <w:sz w:val="20"/>
              </w:rPr>
              <w:t>2014</w:t>
            </w:r>
          </w:p>
        </w:tc>
      </w:tr>
      <w:tr>
        <w:trPr>
          <w:trHeight w:val="310" w:hRule="exact"/>
        </w:trPr>
        <w:tc>
          <w:tcPr>
            <w:tcW w:w="4680" w:type="dxa"/>
            <w:shd w:val="clear" w:color="auto" w:fill="D1D3D4"/>
          </w:tcPr>
          <w:p>
            <w:pPr>
              <w:pStyle w:val="TableParagraph"/>
              <w:ind w:left="100"/>
              <w:rPr>
                <w:b/>
                <w:sz w:val="20"/>
              </w:rPr>
            </w:pPr>
            <w:r>
              <w:rPr>
                <w:b/>
                <w:color w:val="231F20"/>
                <w:sz w:val="20"/>
              </w:rPr>
              <w:t>CURRENT:</w:t>
            </w: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c>
          <w:tcPr>
            <w:tcW w:w="160" w:type="dxa"/>
            <w:shd w:val="clear" w:color="auto" w:fill="D1D3D4"/>
          </w:tcPr>
          <w:p>
            <w:pPr/>
          </w:p>
        </w:tc>
        <w:tc>
          <w:tcPr>
            <w:tcW w:w="1320" w:type="dxa"/>
            <w:tcBorders>
              <w:top w:val="single" w:sz="8" w:space="0" w:color="231F20"/>
            </w:tcBorders>
            <w:shd w:val="clear" w:color="auto" w:fill="D1D3D4"/>
          </w:tcPr>
          <w:p>
            <w:pPr/>
          </w:p>
        </w:tc>
      </w:tr>
      <w:tr>
        <w:trPr>
          <w:trHeight w:val="300" w:hRule="exact"/>
        </w:trPr>
        <w:tc>
          <w:tcPr>
            <w:tcW w:w="4680" w:type="dxa"/>
          </w:tcPr>
          <w:p>
            <w:pPr>
              <w:pStyle w:val="TableParagraph"/>
              <w:ind w:left="300"/>
              <w:rPr>
                <w:sz w:val="20"/>
              </w:rPr>
            </w:pPr>
            <w:r>
              <w:rPr>
                <w:color w:val="231F20"/>
                <w:sz w:val="20"/>
              </w:rPr>
              <w:t>Federal</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778</w:t>
            </w:r>
          </w:p>
        </w:tc>
        <w:tc>
          <w:tcPr>
            <w:tcW w:w="160" w:type="dxa"/>
          </w:tcPr>
          <w:p>
            <w:pPr/>
          </w:p>
        </w:tc>
        <w:tc>
          <w:tcPr>
            <w:tcW w:w="1320" w:type="dxa"/>
          </w:tcPr>
          <w:p>
            <w:pPr>
              <w:pStyle w:val="TableParagraph"/>
              <w:tabs>
                <w:tab w:pos="819" w:val="left" w:leader="none"/>
              </w:tabs>
              <w:ind w:right="49"/>
              <w:jc w:val="right"/>
              <w:rPr>
                <w:sz w:val="20"/>
              </w:rPr>
            </w:pPr>
            <w:r>
              <w:rPr>
                <w:color w:val="231F20"/>
                <w:sz w:val="20"/>
              </w:rPr>
              <w:t>$</w:t>
              <w:tab/>
              <w:t>1,292</w:t>
            </w:r>
          </w:p>
        </w:tc>
        <w:tc>
          <w:tcPr>
            <w:tcW w:w="160" w:type="dxa"/>
          </w:tcPr>
          <w:p>
            <w:pPr/>
          </w:p>
        </w:tc>
        <w:tc>
          <w:tcPr>
            <w:tcW w:w="1320" w:type="dxa"/>
          </w:tcPr>
          <w:p>
            <w:pPr>
              <w:pStyle w:val="TableParagraph"/>
              <w:tabs>
                <w:tab w:pos="969" w:val="left" w:leader="none"/>
              </w:tabs>
              <w:ind w:right="49"/>
              <w:jc w:val="right"/>
              <w:rPr>
                <w:sz w:val="20"/>
              </w:rPr>
            </w:pPr>
            <w:r>
              <w:rPr>
                <w:color w:val="231F20"/>
                <w:sz w:val="20"/>
              </w:rPr>
              <w:t>$</w:t>
              <w:tab/>
              <w:t>203</w:t>
            </w:r>
          </w:p>
        </w:tc>
      </w:tr>
      <w:tr>
        <w:trPr>
          <w:trHeight w:val="315" w:hRule="exact"/>
        </w:trPr>
        <w:tc>
          <w:tcPr>
            <w:tcW w:w="4680" w:type="dxa"/>
            <w:shd w:val="clear" w:color="auto" w:fill="D1D3D4"/>
          </w:tcPr>
          <w:p>
            <w:pPr>
              <w:pStyle w:val="TableParagraph"/>
              <w:ind w:left="300"/>
              <w:rPr>
                <w:sz w:val="20"/>
              </w:rPr>
            </w:pPr>
            <w:r>
              <w:rPr>
                <w:color w:val="231F20"/>
                <w:sz w:val="20"/>
              </w:rPr>
              <w:t>State</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69</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114</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ind w:right="49"/>
              <w:jc w:val="right"/>
              <w:rPr>
                <w:sz w:val="20"/>
              </w:rPr>
            </w:pPr>
            <w:r>
              <w:rPr>
                <w:color w:val="231F20"/>
                <w:sz w:val="20"/>
              </w:rPr>
              <w:t>29</w:t>
            </w:r>
          </w:p>
        </w:tc>
      </w:tr>
      <w:tr>
        <w:trPr>
          <w:trHeight w:val="289" w:hRule="exact"/>
        </w:trPr>
        <w:tc>
          <w:tcPr>
            <w:tcW w:w="4680" w:type="dxa"/>
          </w:tcPr>
          <w:p>
            <w:pPr>
              <w:pStyle w:val="TableParagraph"/>
              <w:spacing w:before="73"/>
              <w:ind w:left="500"/>
              <w:rPr>
                <w:sz w:val="20"/>
              </w:rPr>
            </w:pPr>
            <w:r>
              <w:rPr>
                <w:color w:val="231F20"/>
                <w:sz w:val="20"/>
              </w:rPr>
              <w:t>Total current</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847</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1,406</w:t>
            </w:r>
          </w:p>
        </w:tc>
        <w:tc>
          <w:tcPr>
            <w:tcW w:w="160" w:type="dxa"/>
          </w:tcPr>
          <w:p>
            <w:pPr/>
          </w:p>
        </w:tc>
        <w:tc>
          <w:tcPr>
            <w:tcW w:w="1320" w:type="dxa"/>
            <w:tcBorders>
              <w:top w:val="single" w:sz="4" w:space="0" w:color="231F20"/>
            </w:tcBorders>
          </w:tcPr>
          <w:p>
            <w:pPr>
              <w:pStyle w:val="TableParagraph"/>
              <w:ind w:right="49"/>
              <w:jc w:val="right"/>
              <w:rPr>
                <w:sz w:val="20"/>
              </w:rPr>
            </w:pPr>
            <w:r>
              <w:rPr>
                <w:color w:val="231F20"/>
                <w:sz w:val="20"/>
              </w:rPr>
              <w:t>232</w:t>
            </w:r>
          </w:p>
        </w:tc>
      </w:tr>
      <w:tr>
        <w:trPr>
          <w:trHeight w:val="316" w:hRule="exact"/>
        </w:trPr>
        <w:tc>
          <w:tcPr>
            <w:tcW w:w="9120" w:type="dxa"/>
            <w:gridSpan w:val="7"/>
            <w:shd w:val="clear" w:color="auto" w:fill="D1D3D4"/>
          </w:tcPr>
          <w:p>
            <w:pPr>
              <w:pStyle w:val="TableParagraph"/>
              <w:ind w:left="100"/>
              <w:rPr>
                <w:b/>
                <w:sz w:val="20"/>
              </w:rPr>
            </w:pPr>
            <w:r>
              <w:rPr>
                <w:b/>
                <w:color w:val="231F20"/>
                <w:sz w:val="20"/>
              </w:rPr>
              <w:t>DEFERRED:</w:t>
            </w:r>
          </w:p>
        </w:tc>
      </w:tr>
      <w:tr>
        <w:trPr>
          <w:trHeight w:val="322" w:hRule="exact"/>
        </w:trPr>
        <w:tc>
          <w:tcPr>
            <w:tcW w:w="4840" w:type="dxa"/>
            <w:gridSpan w:val="2"/>
          </w:tcPr>
          <w:p>
            <w:pPr>
              <w:pStyle w:val="TableParagraph"/>
              <w:ind w:left="300"/>
              <w:rPr>
                <w:sz w:val="20"/>
              </w:rPr>
            </w:pPr>
            <w:r>
              <w:rPr>
                <w:color w:val="231F20"/>
                <w:sz w:val="20"/>
              </w:rPr>
              <w:t>Federal</w:t>
            </w:r>
          </w:p>
        </w:tc>
        <w:tc>
          <w:tcPr>
            <w:tcW w:w="1320" w:type="dxa"/>
          </w:tcPr>
          <w:p>
            <w:pPr>
              <w:pStyle w:val="TableParagraph"/>
              <w:ind w:right="49"/>
              <w:jc w:val="right"/>
              <w:rPr>
                <w:sz w:val="20"/>
              </w:rPr>
            </w:pPr>
            <w:r>
              <w:rPr>
                <w:color w:val="231F20"/>
                <w:sz w:val="20"/>
              </w:rPr>
              <w:t>426</w:t>
            </w:r>
          </w:p>
        </w:tc>
        <w:tc>
          <w:tcPr>
            <w:tcW w:w="160" w:type="dxa"/>
          </w:tcPr>
          <w:p>
            <w:pPr/>
          </w:p>
        </w:tc>
        <w:tc>
          <w:tcPr>
            <w:tcW w:w="1320" w:type="dxa"/>
          </w:tcPr>
          <w:p>
            <w:pPr>
              <w:pStyle w:val="TableParagraph"/>
              <w:ind w:right="48"/>
              <w:jc w:val="right"/>
              <w:rPr>
                <w:sz w:val="20"/>
              </w:rPr>
            </w:pPr>
            <w:r>
              <w:rPr>
                <w:color w:val="231F20"/>
                <w:sz w:val="20"/>
              </w:rPr>
              <w:t>(97)</w:t>
            </w:r>
          </w:p>
        </w:tc>
        <w:tc>
          <w:tcPr>
            <w:tcW w:w="160" w:type="dxa"/>
          </w:tcPr>
          <w:p>
            <w:pPr/>
          </w:p>
        </w:tc>
        <w:tc>
          <w:tcPr>
            <w:tcW w:w="1320" w:type="dxa"/>
          </w:tcPr>
          <w:p>
            <w:pPr>
              <w:pStyle w:val="TableParagraph"/>
              <w:ind w:right="49"/>
              <w:jc w:val="right"/>
              <w:rPr>
                <w:sz w:val="20"/>
              </w:rPr>
            </w:pPr>
            <w:r>
              <w:rPr>
                <w:color w:val="231F20"/>
                <w:sz w:val="20"/>
              </w:rPr>
              <w:t>421</w:t>
            </w:r>
          </w:p>
        </w:tc>
      </w:tr>
      <w:tr>
        <w:trPr>
          <w:trHeight w:val="293" w:hRule="exact"/>
        </w:trPr>
        <w:tc>
          <w:tcPr>
            <w:tcW w:w="4840" w:type="dxa"/>
            <w:gridSpan w:val="2"/>
            <w:shd w:val="clear" w:color="auto" w:fill="D1D3D4"/>
          </w:tcPr>
          <w:p>
            <w:pPr>
              <w:pStyle w:val="TableParagraph"/>
              <w:spacing w:before="31"/>
              <w:ind w:left="300"/>
              <w:rPr>
                <w:sz w:val="20"/>
              </w:rPr>
            </w:pPr>
            <w:r>
              <w:rPr>
                <w:color w:val="231F20"/>
                <w:sz w:val="20"/>
              </w:rPr>
              <w:t>State</w:t>
            </w:r>
          </w:p>
        </w:tc>
        <w:tc>
          <w:tcPr>
            <w:tcW w:w="1320" w:type="dxa"/>
            <w:tcBorders>
              <w:bottom w:val="single" w:sz="4" w:space="0" w:color="231F20"/>
            </w:tcBorders>
            <w:shd w:val="clear" w:color="auto" w:fill="D1D3D4"/>
          </w:tcPr>
          <w:p>
            <w:pPr>
              <w:pStyle w:val="TableParagraph"/>
              <w:spacing w:before="31"/>
              <w:ind w:right="49"/>
              <w:jc w:val="right"/>
              <w:rPr>
                <w:sz w:val="20"/>
              </w:rPr>
            </w:pPr>
            <w:r>
              <w:rPr>
                <w:color w:val="231F20"/>
                <w:sz w:val="20"/>
              </w:rPr>
              <w:t>30</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spacing w:before="31"/>
              <w:ind w:right="48"/>
              <w:jc w:val="right"/>
              <w:rPr>
                <w:sz w:val="20"/>
              </w:rPr>
            </w:pPr>
            <w:r>
              <w:rPr>
                <w:color w:val="231F20"/>
                <w:sz w:val="20"/>
              </w:rPr>
              <w:t>(11)</w:t>
            </w:r>
          </w:p>
        </w:tc>
        <w:tc>
          <w:tcPr>
            <w:tcW w:w="160" w:type="dxa"/>
            <w:shd w:val="clear" w:color="auto" w:fill="D1D3D4"/>
          </w:tcPr>
          <w:p>
            <w:pPr/>
          </w:p>
        </w:tc>
        <w:tc>
          <w:tcPr>
            <w:tcW w:w="1320" w:type="dxa"/>
            <w:tcBorders>
              <w:bottom w:val="single" w:sz="4" w:space="0" w:color="231F20"/>
            </w:tcBorders>
            <w:shd w:val="clear" w:color="auto" w:fill="D1D3D4"/>
          </w:tcPr>
          <w:p>
            <w:pPr>
              <w:pStyle w:val="TableParagraph"/>
              <w:spacing w:before="31"/>
              <w:ind w:right="49"/>
              <w:jc w:val="right"/>
              <w:rPr>
                <w:sz w:val="20"/>
              </w:rPr>
            </w:pPr>
            <w:r>
              <w:rPr>
                <w:color w:val="231F20"/>
                <w:sz w:val="20"/>
              </w:rPr>
              <w:t>27</w:t>
            </w:r>
          </w:p>
        </w:tc>
      </w:tr>
      <w:tr>
        <w:trPr>
          <w:trHeight w:val="320" w:hRule="exact"/>
        </w:trPr>
        <w:tc>
          <w:tcPr>
            <w:tcW w:w="6160" w:type="dxa"/>
            <w:gridSpan w:val="3"/>
          </w:tcPr>
          <w:p>
            <w:pPr>
              <w:pStyle w:val="TableParagraph"/>
              <w:tabs>
                <w:tab w:pos="6109" w:val="right" w:leader="none"/>
              </w:tabs>
              <w:ind w:left="500"/>
              <w:rPr>
                <w:sz w:val="20"/>
              </w:rPr>
            </w:pPr>
            <w:r>
              <w:rPr>
                <w:color w:val="231F20"/>
                <w:sz w:val="20"/>
              </w:rPr>
              <w:t>Total deferred</w:t>
              <w:tab/>
              <w:t>456</w:t>
            </w:r>
          </w:p>
        </w:tc>
        <w:tc>
          <w:tcPr>
            <w:tcW w:w="160" w:type="dxa"/>
          </w:tcPr>
          <w:p>
            <w:pPr/>
          </w:p>
        </w:tc>
        <w:tc>
          <w:tcPr>
            <w:tcW w:w="1320" w:type="dxa"/>
            <w:tcBorders>
              <w:bottom w:val="single" w:sz="4" w:space="0" w:color="231F20"/>
            </w:tcBorders>
          </w:tcPr>
          <w:p>
            <w:pPr>
              <w:pStyle w:val="TableParagraph"/>
              <w:ind w:right="48"/>
              <w:jc w:val="right"/>
              <w:rPr>
                <w:sz w:val="20"/>
              </w:rPr>
            </w:pPr>
            <w:r>
              <w:rPr>
                <w:color w:val="231F20"/>
                <w:sz w:val="20"/>
              </w:rPr>
              <w:t>(108)</w:t>
            </w:r>
          </w:p>
        </w:tc>
        <w:tc>
          <w:tcPr>
            <w:tcW w:w="160" w:type="dxa"/>
          </w:tcPr>
          <w:p>
            <w:pPr/>
          </w:p>
        </w:tc>
        <w:tc>
          <w:tcPr>
            <w:tcW w:w="1320" w:type="dxa"/>
            <w:tcBorders>
              <w:bottom w:val="single" w:sz="4" w:space="0" w:color="231F20"/>
            </w:tcBorders>
          </w:tcPr>
          <w:p>
            <w:pPr>
              <w:pStyle w:val="TableParagraph"/>
              <w:ind w:right="49"/>
              <w:jc w:val="right"/>
              <w:rPr>
                <w:sz w:val="20"/>
              </w:rPr>
            </w:pPr>
            <w:r>
              <w:rPr>
                <w:color w:val="231F20"/>
                <w:sz w:val="20"/>
              </w:rPr>
              <w:t>448</w:t>
            </w:r>
          </w:p>
        </w:tc>
      </w:tr>
      <w:tr>
        <w:trPr>
          <w:trHeight w:val="360" w:hRule="exact"/>
        </w:trPr>
        <w:tc>
          <w:tcPr>
            <w:tcW w:w="6160" w:type="dxa"/>
            <w:gridSpan w:val="3"/>
            <w:shd w:val="clear" w:color="auto" w:fill="D1D3D4"/>
          </w:tcPr>
          <w:p>
            <w:pPr>
              <w:pStyle w:val="TableParagraph"/>
              <w:tabs>
                <w:tab w:pos="819" w:val="left" w:leader="none"/>
              </w:tabs>
              <w:spacing w:before="58"/>
              <w:ind w:right="49"/>
              <w:jc w:val="right"/>
              <w:rPr>
                <w:sz w:val="20"/>
              </w:rPr>
            </w:pPr>
            <w:r>
              <w:rPr>
                <w:color w:val="231F20"/>
                <w:sz w:val="20"/>
              </w:rPr>
              <w:t>$</w:t>
              <w:tab/>
              <w:t>1,303</w:t>
            </w:r>
          </w:p>
        </w:tc>
        <w:tc>
          <w:tcPr>
            <w:tcW w:w="160" w:type="dxa"/>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819" w:val="left" w:leader="none"/>
              </w:tabs>
              <w:ind w:right="49"/>
              <w:jc w:val="right"/>
              <w:rPr>
                <w:sz w:val="20"/>
              </w:rPr>
            </w:pPr>
            <w:r>
              <w:rPr>
                <w:color w:val="231F20"/>
                <w:sz w:val="20"/>
              </w:rPr>
              <w:t>$</w:t>
              <w:tab/>
              <w:t>1,298</w:t>
            </w:r>
          </w:p>
        </w:tc>
        <w:tc>
          <w:tcPr>
            <w:tcW w:w="160" w:type="dxa"/>
            <w:shd w:val="clear" w:color="auto" w:fill="D1D3D4"/>
          </w:tcPr>
          <w:p>
            <w:pPr/>
          </w:p>
        </w:tc>
        <w:tc>
          <w:tcPr>
            <w:tcW w:w="1320" w:type="dxa"/>
            <w:tcBorders>
              <w:top w:val="single" w:sz="4" w:space="0" w:color="231F20"/>
              <w:bottom w:val="single" w:sz="4" w:space="0" w:color="231F20"/>
            </w:tcBorders>
            <w:shd w:val="clear" w:color="auto" w:fill="D1D3D4"/>
          </w:tcPr>
          <w:p>
            <w:pPr>
              <w:pStyle w:val="TableParagraph"/>
              <w:tabs>
                <w:tab w:pos="969" w:val="left" w:leader="none"/>
              </w:tabs>
              <w:ind w:right="49"/>
              <w:jc w:val="right"/>
              <w:rPr>
                <w:sz w:val="20"/>
              </w:rPr>
            </w:pPr>
            <w:r>
              <w:rPr>
                <w:color w:val="231F20"/>
                <w:sz w:val="20"/>
              </w:rPr>
              <w:t>$</w:t>
              <w:tab/>
              <w:t>680</w:t>
            </w:r>
          </w:p>
        </w:tc>
      </w:tr>
    </w:tbl>
    <w:p>
      <w:pPr>
        <w:pStyle w:val="BodyText"/>
        <w:spacing w:before="2"/>
        <w:rPr>
          <w:sz w:val="23"/>
        </w:rPr>
      </w:pPr>
    </w:p>
    <w:p>
      <w:pPr>
        <w:pStyle w:val="BodyText"/>
        <w:spacing w:line="247" w:lineRule="auto"/>
        <w:ind w:left="120" w:right="118"/>
        <w:jc w:val="both"/>
      </w:pPr>
      <w:r>
        <w:rPr/>
        <w:pict>
          <v:rect style="position:absolute;margin-left:69pt;margin-top:-63.580467pt;width:456pt;height:15pt;mso-position-horizontal-relative:page;mso-position-vertical-relative:paragraph;z-index:-371728" filled="true" fillcolor="#d1d3d4" stroked="false">
            <v:fill type="solid"/>
            <w10:wrap type="none"/>
          </v:rect>
        </w:pict>
      </w:r>
      <w:r>
        <w:rPr/>
        <w:pict>
          <v:group style="position:absolute;margin-left:69pt;margin-top:-31.580469pt;width:456.25pt;height:16pt;mso-position-horizontal-relative:page;mso-position-vertical-relative:paragraph;z-index:-371704" coordorigin="1380,-632" coordsize="9125,320">
            <v:rect style="position:absolute;left:1380;top:-632;width:9120;height:300" filled="true" fillcolor="#d1d3d4" stroked="false">
              <v:fill type="solid"/>
            </v:rect>
            <v:line style="position:absolute" from="6220,-317" to="7540,-317" stroked="true" strokeweight=".5pt" strokecolor="#231f20">
              <v:stroke dashstyle="solid"/>
            </v:line>
            <v:line style="position:absolute" from="7700,-317" to="9020,-317" stroked="true" strokeweight=".5pt" strokecolor="#231f20">
              <v:stroke dashstyle="solid"/>
            </v:line>
            <v:line style="position:absolute" from="9180,-317" to="10500,-317" stroked="true" strokeweight=".5pt" strokecolor="#231f20">
              <v:stroke dashstyle="solid"/>
            </v:line>
            <w10:wrap type="none"/>
          </v:group>
        </w:pict>
      </w:r>
      <w:r>
        <w:rPr>
          <w:color w:val="231F20"/>
        </w:rPr>
        <w:t>The effective tax rate on income before income taxes differed from the federal income tax statutory  rate for the following</w:t>
      </w:r>
      <w:r>
        <w:rPr>
          <w:color w:val="231F20"/>
          <w:spacing w:val="-2"/>
        </w:rPr>
        <w:t> </w:t>
      </w:r>
      <w:r>
        <w:rPr>
          <w:color w:val="231F20"/>
        </w:rPr>
        <w:t>reasons:</w:t>
      </w:r>
    </w:p>
    <w:p>
      <w:pPr>
        <w:pStyle w:val="BodyText"/>
        <w:spacing w:before="3"/>
        <w:rPr>
          <w:sz w:val="15"/>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80"/>
        <w:gridCol w:w="200"/>
        <w:gridCol w:w="1080"/>
        <w:gridCol w:w="200"/>
        <w:gridCol w:w="1080"/>
        <w:gridCol w:w="200"/>
        <w:gridCol w:w="1080"/>
      </w:tblGrid>
      <w:tr>
        <w:trPr>
          <w:trHeight w:val="256" w:hRule="exact"/>
        </w:trPr>
        <w:tc>
          <w:tcPr>
            <w:tcW w:w="5280" w:type="dxa"/>
            <w:tcBorders>
              <w:bottom w:val="single" w:sz="8" w:space="0" w:color="231F20"/>
            </w:tcBorders>
          </w:tcPr>
          <w:p>
            <w:pPr>
              <w:pStyle w:val="TableParagraph"/>
              <w:spacing w:line="229" w:lineRule="exact" w:before="0"/>
              <w:ind w:left="100"/>
              <w:rPr>
                <w:b/>
                <w:sz w:val="20"/>
              </w:rPr>
            </w:pPr>
            <w:r>
              <w:rPr>
                <w:b/>
                <w:color w:val="231F20"/>
                <w:sz w:val="20"/>
              </w:rPr>
              <w:t>(in millions)</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2016</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2015</w:t>
            </w:r>
          </w:p>
        </w:tc>
        <w:tc>
          <w:tcPr>
            <w:tcW w:w="200" w:type="dxa"/>
          </w:tcPr>
          <w:p>
            <w:pPr/>
          </w:p>
        </w:tc>
        <w:tc>
          <w:tcPr>
            <w:tcW w:w="1080" w:type="dxa"/>
            <w:tcBorders>
              <w:bottom w:val="single" w:sz="8" w:space="0" w:color="231F20"/>
            </w:tcBorders>
          </w:tcPr>
          <w:p>
            <w:pPr>
              <w:pStyle w:val="TableParagraph"/>
              <w:spacing w:line="229" w:lineRule="exact" w:before="0"/>
              <w:ind w:left="340"/>
              <w:rPr>
                <w:b/>
                <w:sz w:val="20"/>
              </w:rPr>
            </w:pPr>
            <w:r>
              <w:rPr>
                <w:b/>
                <w:color w:val="231F20"/>
                <w:sz w:val="20"/>
              </w:rPr>
              <w:t>2014</w:t>
            </w:r>
          </w:p>
        </w:tc>
      </w:tr>
      <w:tr>
        <w:trPr>
          <w:trHeight w:val="310" w:hRule="exact"/>
        </w:trPr>
        <w:tc>
          <w:tcPr>
            <w:tcW w:w="5280" w:type="dxa"/>
            <w:tcBorders>
              <w:top w:val="single" w:sz="8" w:space="0" w:color="231F20"/>
            </w:tcBorders>
          </w:tcPr>
          <w:p>
            <w:pPr>
              <w:pStyle w:val="TableParagraph"/>
              <w:ind w:left="100"/>
              <w:rPr>
                <w:sz w:val="20"/>
              </w:rPr>
            </w:pPr>
            <w:r>
              <w:rPr>
                <w:color w:val="231F20"/>
                <w:sz w:val="20"/>
              </w:rPr>
              <w:t>Tax at statutory U.S. tax rates</w:t>
            </w:r>
          </w:p>
        </w:tc>
        <w:tc>
          <w:tcPr>
            <w:tcW w:w="200" w:type="dxa"/>
          </w:tcPr>
          <w:p>
            <w:pPr/>
          </w:p>
        </w:tc>
        <w:tc>
          <w:tcPr>
            <w:tcW w:w="1080" w:type="dxa"/>
            <w:tcBorders>
              <w:top w:val="single" w:sz="8" w:space="0" w:color="231F20"/>
            </w:tcBorders>
          </w:tcPr>
          <w:p>
            <w:pPr>
              <w:pStyle w:val="TableParagraph"/>
              <w:tabs>
                <w:tab w:pos="512" w:val="left" w:leader="none"/>
              </w:tabs>
              <w:rPr>
                <w:sz w:val="20"/>
              </w:rPr>
            </w:pPr>
            <w:r>
              <w:rPr>
                <w:color w:val="231F20"/>
                <w:sz w:val="20"/>
              </w:rPr>
              <w:t>$</w:t>
              <w:tab/>
              <w:t>1,241</w:t>
            </w:r>
          </w:p>
        </w:tc>
        <w:tc>
          <w:tcPr>
            <w:tcW w:w="200" w:type="dxa"/>
          </w:tcPr>
          <w:p>
            <w:pPr/>
          </w:p>
        </w:tc>
        <w:tc>
          <w:tcPr>
            <w:tcW w:w="1080" w:type="dxa"/>
            <w:tcBorders>
              <w:top w:val="single" w:sz="8" w:space="0" w:color="231F20"/>
            </w:tcBorders>
          </w:tcPr>
          <w:p>
            <w:pPr>
              <w:pStyle w:val="TableParagraph"/>
              <w:tabs>
                <w:tab w:pos="579" w:val="left" w:leader="none"/>
              </w:tabs>
              <w:ind w:right="49"/>
              <w:jc w:val="right"/>
              <w:rPr>
                <w:sz w:val="20"/>
              </w:rPr>
            </w:pPr>
            <w:r>
              <w:rPr>
                <w:color w:val="231F20"/>
                <w:sz w:val="20"/>
              </w:rPr>
              <w:t>$</w:t>
              <w:tab/>
            </w:r>
            <w:r>
              <w:rPr>
                <w:color w:val="231F20"/>
                <w:spacing w:val="-1"/>
                <w:sz w:val="20"/>
              </w:rPr>
              <w:t>1,218</w:t>
            </w:r>
          </w:p>
        </w:tc>
        <w:tc>
          <w:tcPr>
            <w:tcW w:w="200" w:type="dxa"/>
          </w:tcPr>
          <w:p>
            <w:pPr/>
          </w:p>
        </w:tc>
        <w:tc>
          <w:tcPr>
            <w:tcW w:w="1080" w:type="dxa"/>
            <w:tcBorders>
              <w:top w:val="single" w:sz="8" w:space="0" w:color="231F20"/>
            </w:tcBorders>
          </w:tcPr>
          <w:p>
            <w:pPr>
              <w:pStyle w:val="TableParagraph"/>
              <w:tabs>
                <w:tab w:pos="729" w:val="left" w:leader="none"/>
              </w:tabs>
              <w:ind w:right="49"/>
              <w:jc w:val="right"/>
              <w:rPr>
                <w:sz w:val="20"/>
              </w:rPr>
            </w:pPr>
            <w:r>
              <w:rPr>
                <w:color w:val="231F20"/>
                <w:sz w:val="20"/>
              </w:rPr>
              <w:t>$</w:t>
              <w:tab/>
              <w:t>636</w:t>
            </w:r>
          </w:p>
        </w:tc>
      </w:tr>
      <w:tr>
        <w:trPr>
          <w:trHeight w:val="300" w:hRule="exact"/>
        </w:trPr>
        <w:tc>
          <w:tcPr>
            <w:tcW w:w="5280" w:type="dxa"/>
            <w:shd w:val="clear" w:color="auto" w:fill="D1D3D4"/>
          </w:tcPr>
          <w:p>
            <w:pPr>
              <w:pStyle w:val="TableParagraph"/>
              <w:ind w:left="100"/>
              <w:rPr>
                <w:sz w:val="20"/>
              </w:rPr>
            </w:pPr>
            <w:r>
              <w:rPr>
                <w:color w:val="231F20"/>
                <w:sz w:val="20"/>
              </w:rPr>
              <w:t>State income taxes, net of federal benefit</w:t>
            </w:r>
          </w:p>
        </w:tc>
        <w:tc>
          <w:tcPr>
            <w:tcW w:w="200" w:type="dxa"/>
            <w:shd w:val="clear" w:color="auto" w:fill="D1D3D4"/>
          </w:tcPr>
          <w:p>
            <w:pPr/>
          </w:p>
        </w:tc>
        <w:tc>
          <w:tcPr>
            <w:tcW w:w="1080" w:type="dxa"/>
            <w:shd w:val="clear" w:color="auto" w:fill="D1D3D4"/>
          </w:tcPr>
          <w:p>
            <w:pPr>
              <w:pStyle w:val="TableParagraph"/>
              <w:ind w:right="116"/>
              <w:jc w:val="right"/>
              <w:rPr>
                <w:sz w:val="20"/>
              </w:rPr>
            </w:pPr>
            <w:r>
              <w:rPr>
                <w:color w:val="231F20"/>
                <w:sz w:val="20"/>
              </w:rPr>
              <w:t>64</w:t>
            </w:r>
          </w:p>
        </w:tc>
        <w:tc>
          <w:tcPr>
            <w:tcW w:w="200" w:type="dxa"/>
            <w:shd w:val="clear" w:color="auto" w:fill="D1D3D4"/>
          </w:tcPr>
          <w:p>
            <w:pPr/>
          </w:p>
        </w:tc>
        <w:tc>
          <w:tcPr>
            <w:tcW w:w="1080" w:type="dxa"/>
            <w:shd w:val="clear" w:color="auto" w:fill="D1D3D4"/>
          </w:tcPr>
          <w:p>
            <w:pPr>
              <w:pStyle w:val="TableParagraph"/>
              <w:ind w:right="49"/>
              <w:jc w:val="right"/>
              <w:rPr>
                <w:sz w:val="20"/>
              </w:rPr>
            </w:pPr>
            <w:r>
              <w:rPr>
                <w:color w:val="231F20"/>
                <w:sz w:val="20"/>
              </w:rPr>
              <w:t>66</w:t>
            </w:r>
          </w:p>
        </w:tc>
        <w:tc>
          <w:tcPr>
            <w:tcW w:w="200" w:type="dxa"/>
            <w:shd w:val="clear" w:color="auto" w:fill="D1D3D4"/>
          </w:tcPr>
          <w:p>
            <w:pPr/>
          </w:p>
        </w:tc>
        <w:tc>
          <w:tcPr>
            <w:tcW w:w="1080" w:type="dxa"/>
            <w:shd w:val="clear" w:color="auto" w:fill="D1D3D4"/>
          </w:tcPr>
          <w:p>
            <w:pPr>
              <w:pStyle w:val="TableParagraph"/>
              <w:ind w:right="49"/>
              <w:jc w:val="right"/>
              <w:rPr>
                <w:sz w:val="20"/>
              </w:rPr>
            </w:pPr>
            <w:r>
              <w:rPr>
                <w:color w:val="231F20"/>
                <w:sz w:val="20"/>
              </w:rPr>
              <w:t>37</w:t>
            </w:r>
          </w:p>
        </w:tc>
      </w:tr>
      <w:tr>
        <w:trPr>
          <w:trHeight w:val="315" w:hRule="exact"/>
        </w:trPr>
        <w:tc>
          <w:tcPr>
            <w:tcW w:w="5280" w:type="dxa"/>
          </w:tcPr>
          <w:p>
            <w:pPr>
              <w:pStyle w:val="TableParagraph"/>
              <w:ind w:left="100"/>
              <w:rPr>
                <w:sz w:val="20"/>
              </w:rPr>
            </w:pPr>
            <w:r>
              <w:rPr>
                <w:color w:val="231F20"/>
                <w:sz w:val="20"/>
              </w:rPr>
              <w:t>Other, net</w:t>
            </w:r>
          </w:p>
        </w:tc>
        <w:tc>
          <w:tcPr>
            <w:tcW w:w="200" w:type="dxa"/>
          </w:tcPr>
          <w:p>
            <w:pPr/>
          </w:p>
        </w:tc>
        <w:tc>
          <w:tcPr>
            <w:tcW w:w="1080" w:type="dxa"/>
            <w:tcBorders>
              <w:bottom w:val="single" w:sz="4" w:space="0" w:color="231F20"/>
            </w:tcBorders>
          </w:tcPr>
          <w:p>
            <w:pPr>
              <w:pStyle w:val="TableParagraph"/>
              <w:ind w:right="48"/>
              <w:jc w:val="right"/>
              <w:rPr>
                <w:sz w:val="20"/>
              </w:rPr>
            </w:pPr>
            <w:r>
              <w:rPr>
                <w:color w:val="231F20"/>
                <w:sz w:val="20"/>
              </w:rPr>
              <w:t>(2)</w:t>
            </w:r>
          </w:p>
        </w:tc>
        <w:tc>
          <w:tcPr>
            <w:tcW w:w="200" w:type="dxa"/>
          </w:tcPr>
          <w:p>
            <w:pPr/>
          </w:p>
        </w:tc>
        <w:tc>
          <w:tcPr>
            <w:tcW w:w="1080" w:type="dxa"/>
            <w:tcBorders>
              <w:bottom w:val="single" w:sz="4" w:space="0" w:color="231F20"/>
            </w:tcBorders>
          </w:tcPr>
          <w:p>
            <w:pPr>
              <w:pStyle w:val="TableParagraph"/>
              <w:ind w:right="49"/>
              <w:jc w:val="right"/>
              <w:rPr>
                <w:sz w:val="20"/>
              </w:rPr>
            </w:pPr>
            <w:r>
              <w:rPr>
                <w:color w:val="231F20"/>
                <w:sz w:val="20"/>
              </w:rPr>
              <w:t>14</w:t>
            </w:r>
          </w:p>
        </w:tc>
        <w:tc>
          <w:tcPr>
            <w:tcW w:w="200" w:type="dxa"/>
          </w:tcPr>
          <w:p>
            <w:pPr/>
          </w:p>
        </w:tc>
        <w:tc>
          <w:tcPr>
            <w:tcW w:w="1080" w:type="dxa"/>
            <w:tcBorders>
              <w:bottom w:val="single" w:sz="4" w:space="0" w:color="231F20"/>
            </w:tcBorders>
          </w:tcPr>
          <w:p>
            <w:pPr>
              <w:pStyle w:val="TableParagraph"/>
              <w:ind w:right="49"/>
              <w:jc w:val="right"/>
              <w:rPr>
                <w:sz w:val="20"/>
              </w:rPr>
            </w:pPr>
            <w:r>
              <w:rPr>
                <w:color w:val="231F20"/>
                <w:sz w:val="20"/>
              </w:rPr>
              <w:t>7</w:t>
            </w:r>
          </w:p>
        </w:tc>
      </w:tr>
      <w:tr>
        <w:trPr>
          <w:trHeight w:val="360" w:hRule="exact"/>
        </w:trPr>
        <w:tc>
          <w:tcPr>
            <w:tcW w:w="5280" w:type="dxa"/>
            <w:shd w:val="clear" w:color="auto" w:fill="D1D3D4"/>
          </w:tcPr>
          <w:p>
            <w:pPr>
              <w:pStyle w:val="TableParagraph"/>
              <w:ind w:left="500"/>
              <w:rPr>
                <w:sz w:val="20"/>
              </w:rPr>
            </w:pPr>
            <w:r>
              <w:rPr>
                <w:color w:val="231F20"/>
                <w:sz w:val="20"/>
              </w:rPr>
              <w:t>Total income tax provision</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12" w:val="left" w:leader="none"/>
              </w:tabs>
              <w:rPr>
                <w:sz w:val="20"/>
              </w:rPr>
            </w:pPr>
            <w:r>
              <w:rPr>
                <w:color w:val="231F20"/>
                <w:sz w:val="20"/>
              </w:rPr>
              <w:t>$</w:t>
              <w:tab/>
              <w:t>1,303</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579" w:val="left" w:leader="none"/>
              </w:tabs>
              <w:ind w:right="47"/>
              <w:jc w:val="right"/>
              <w:rPr>
                <w:sz w:val="20"/>
              </w:rPr>
            </w:pPr>
            <w:r>
              <w:rPr>
                <w:color w:val="231F20"/>
                <w:sz w:val="20"/>
              </w:rPr>
              <w:t>$</w:t>
              <w:tab/>
            </w:r>
            <w:r>
              <w:rPr>
                <w:color w:val="231F20"/>
                <w:spacing w:val="-1"/>
                <w:sz w:val="20"/>
              </w:rPr>
              <w:t>1,298</w:t>
            </w:r>
          </w:p>
        </w:tc>
        <w:tc>
          <w:tcPr>
            <w:tcW w:w="200" w:type="dxa"/>
            <w:shd w:val="clear" w:color="auto" w:fill="D1D3D4"/>
          </w:tcPr>
          <w:p>
            <w:pPr/>
          </w:p>
        </w:tc>
        <w:tc>
          <w:tcPr>
            <w:tcW w:w="1080" w:type="dxa"/>
            <w:tcBorders>
              <w:top w:val="single" w:sz="4" w:space="0" w:color="231F20"/>
              <w:bottom w:val="single" w:sz="4" w:space="0" w:color="231F20"/>
            </w:tcBorders>
            <w:shd w:val="clear" w:color="auto" w:fill="D1D3D4"/>
          </w:tcPr>
          <w:p>
            <w:pPr>
              <w:pStyle w:val="TableParagraph"/>
              <w:tabs>
                <w:tab w:pos="729" w:val="left" w:leader="none"/>
              </w:tabs>
              <w:spacing w:before="48"/>
              <w:ind w:right="47"/>
              <w:jc w:val="right"/>
              <w:rPr>
                <w:sz w:val="20"/>
              </w:rPr>
            </w:pPr>
            <w:r>
              <w:rPr>
                <w:color w:val="231F20"/>
                <w:sz w:val="20"/>
              </w:rPr>
              <w:t>$</w:t>
              <w:tab/>
              <w:t>680</w:t>
            </w:r>
          </w:p>
        </w:tc>
      </w:tr>
    </w:tbl>
    <w:p>
      <w:pPr>
        <w:pStyle w:val="BodyText"/>
        <w:spacing w:before="2"/>
        <w:rPr>
          <w:sz w:val="23"/>
        </w:rPr>
      </w:pPr>
    </w:p>
    <w:p>
      <w:pPr>
        <w:pStyle w:val="BodyText"/>
        <w:spacing w:line="247" w:lineRule="auto"/>
        <w:ind w:left="120" w:right="118"/>
        <w:jc w:val="both"/>
      </w:pPr>
      <w:r>
        <w:rPr/>
        <w:pict>
          <v:line style="position:absolute;mso-position-horizontal-relative:page;mso-position-vertical-relative:paragraph;z-index:-371656" from="343pt,-15.830465pt" to="397pt,-15.830465pt" stroked="true" strokeweight=".5pt" strokecolor="#231f20">
            <v:stroke dashstyle="solid"/>
            <w10:wrap type="none"/>
          </v:line>
        </w:pict>
      </w:r>
      <w:r>
        <w:rPr/>
        <w:pict>
          <v:line style="position:absolute;mso-position-horizontal-relative:page;mso-position-vertical-relative:paragraph;z-index:-371632" from="407pt,-15.830465pt" to="461pt,-15.830465pt" stroked="true" strokeweight=".5pt" strokecolor="#231f20">
            <v:stroke dashstyle="solid"/>
            <w10:wrap type="none"/>
          </v:line>
        </w:pict>
      </w:r>
      <w:r>
        <w:rPr>
          <w:color w:val="231F20"/>
        </w:rPr>
        <w:t>The only periods subject to examination for the Company’s federal tax return are the 2015 and 2016  tax years.</w:t>
      </w:r>
    </w:p>
    <w:p>
      <w:pPr>
        <w:spacing w:after="0" w:line="247" w:lineRule="auto"/>
        <w:jc w:val="both"/>
        <w:sectPr>
          <w:pgSz w:w="11880" w:h="15480"/>
          <w:pgMar w:header="0" w:footer="1240" w:top="1240" w:bottom="1420" w:left="1260" w:right="1260"/>
        </w:sectPr>
      </w:pPr>
    </w:p>
    <w:p>
      <w:pPr>
        <w:pStyle w:val="Heading1"/>
        <w:spacing w:before="74"/>
        <w:ind w:left="1905"/>
        <w:jc w:val="left"/>
      </w:pPr>
      <w:r>
        <w:rPr>
          <w:color w:val="231F20"/>
        </w:rPr>
        <w:t>Report of Independent Registered Public Accounting Firm</w:t>
      </w:r>
    </w:p>
    <w:p>
      <w:pPr>
        <w:pStyle w:val="BodyText"/>
        <w:spacing w:before="4"/>
        <w:rPr>
          <w:b/>
          <w:sz w:val="21"/>
        </w:rPr>
      </w:pPr>
    </w:p>
    <w:p>
      <w:pPr>
        <w:spacing w:line="247" w:lineRule="auto" w:before="1"/>
        <w:ind w:left="100" w:right="5327" w:firstLine="0"/>
        <w:jc w:val="left"/>
        <w:rPr>
          <w:b/>
          <w:sz w:val="22"/>
        </w:rPr>
      </w:pPr>
      <w:r>
        <w:rPr>
          <w:b/>
          <w:color w:val="231F20"/>
          <w:sz w:val="22"/>
        </w:rPr>
        <w:t>The Board of Directors and Shareholders Southwest Airlines Co.</w:t>
      </w:r>
    </w:p>
    <w:p>
      <w:pPr>
        <w:pStyle w:val="BodyText"/>
        <w:spacing w:before="9"/>
        <w:rPr>
          <w:b/>
          <w:sz w:val="20"/>
        </w:rPr>
      </w:pPr>
    </w:p>
    <w:p>
      <w:pPr>
        <w:pStyle w:val="BodyText"/>
        <w:spacing w:line="247" w:lineRule="auto"/>
        <w:ind w:left="100" w:right="117"/>
        <w:jc w:val="both"/>
      </w:pPr>
      <w:r>
        <w:rPr>
          <w:color w:val="231F20"/>
        </w:rPr>
        <w:t>We have audited the accompanying consolidated balance sheet of Southwest Airlines Co. as of December 31, 2016 and 2015, and the related consolidated statements of income, comprehensive income, stockholders’ equity, and cash flows for each of the three years in the  period  ended  December 31, 2016. These financial statements are the responsibility of the Company’s management. Our responsibility is to express an opinion on these financial statements based on our</w:t>
      </w:r>
      <w:r>
        <w:rPr>
          <w:color w:val="231F20"/>
          <w:spacing w:val="-1"/>
        </w:rPr>
        <w:t> </w:t>
      </w:r>
      <w:r>
        <w:rPr>
          <w:color w:val="231F20"/>
        </w:rPr>
        <w:t>audits.</w:t>
      </w:r>
    </w:p>
    <w:p>
      <w:pPr>
        <w:pStyle w:val="BodyText"/>
        <w:spacing w:before="8"/>
        <w:rPr>
          <w:sz w:val="20"/>
        </w:rPr>
      </w:pPr>
    </w:p>
    <w:p>
      <w:pPr>
        <w:pStyle w:val="BodyText"/>
        <w:spacing w:line="247" w:lineRule="auto" w:before="1"/>
        <w:ind w:left="100" w:right="119"/>
        <w:jc w:val="both"/>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w:t>
      </w:r>
      <w:r>
        <w:rPr>
          <w:color w:val="231F20"/>
          <w:spacing w:val="-2"/>
        </w:rPr>
        <w:t> </w:t>
      </w:r>
      <w:r>
        <w:rPr>
          <w:color w:val="231F20"/>
        </w:rPr>
        <w:t>opinion.</w:t>
      </w:r>
    </w:p>
    <w:p>
      <w:pPr>
        <w:pStyle w:val="BodyText"/>
        <w:spacing w:before="9"/>
        <w:rPr>
          <w:sz w:val="20"/>
        </w:rPr>
      </w:pPr>
    </w:p>
    <w:p>
      <w:pPr>
        <w:pStyle w:val="BodyText"/>
        <w:spacing w:line="247" w:lineRule="auto" w:before="1"/>
        <w:ind w:left="100" w:right="118"/>
        <w:jc w:val="both"/>
      </w:pPr>
      <w:r>
        <w:rPr>
          <w:color w:val="231F20"/>
        </w:rPr>
        <w:t>In our opinion, the financial statements referred to above present fairly, in all material respects, the consolidated financial position of Southwest Airlines Co. at December 31, 2016 and 2015, and the consolidated results of its operations and its cash flows for each of the three years in the period ended December 31, 2016 in conformity with U.S. generally accepted accounting principles.</w:t>
      </w:r>
    </w:p>
    <w:p>
      <w:pPr>
        <w:pStyle w:val="BodyText"/>
        <w:spacing w:before="9"/>
        <w:rPr>
          <w:sz w:val="20"/>
        </w:rPr>
      </w:pPr>
    </w:p>
    <w:p>
      <w:pPr>
        <w:pStyle w:val="BodyText"/>
        <w:spacing w:line="247" w:lineRule="auto" w:before="1"/>
        <w:ind w:left="100" w:right="117"/>
        <w:jc w:val="both"/>
      </w:pPr>
      <w:r>
        <w:rPr>
          <w:color w:val="231F20"/>
        </w:rPr>
        <w:t>As discussed in Note 1 to the consolidated financial statements, the Company has changed its method of accounting for its co-brand credit card agreement and applied the amendments to the FASB Accounting Standard Codification resulting from Accounting Standards Update No. 2009-13, Multiple Deliverable Revenue Arrangements, effective July 1, 2015.</w:t>
      </w:r>
    </w:p>
    <w:p>
      <w:pPr>
        <w:pStyle w:val="BodyText"/>
        <w:spacing w:before="9"/>
        <w:rPr>
          <w:sz w:val="20"/>
        </w:rPr>
      </w:pPr>
    </w:p>
    <w:p>
      <w:pPr>
        <w:pStyle w:val="BodyText"/>
        <w:spacing w:line="247" w:lineRule="auto" w:before="1"/>
        <w:ind w:left="100" w:right="117"/>
        <w:jc w:val="both"/>
      </w:pPr>
      <w:r>
        <w:rPr>
          <w:color w:val="231F20"/>
        </w:rPr>
        <w:t>We also have audited, in accordance with the standards of the Public Company Accounting Oversight Board (United States), Southwest Airlines Co.’s internal control over financial reporting as of December 31, 2016, based on criteria established in Internal Control-Integrated Framework issued by the Committee of Sponsoring Organizations of the Treadway Commission (2013 Framework) and our report dated February 7, 2017 expressed an unqualified opinion thereon.</w:t>
      </w:r>
    </w:p>
    <w:p>
      <w:pPr>
        <w:pStyle w:val="BodyText"/>
        <w:spacing w:before="9"/>
        <w:rPr>
          <w:sz w:val="20"/>
        </w:rPr>
      </w:pPr>
    </w:p>
    <w:p>
      <w:pPr>
        <w:pStyle w:val="BodyText"/>
        <w:spacing w:before="1"/>
        <w:ind w:left="7168"/>
      </w:pPr>
      <w:r>
        <w:rPr>
          <w:color w:val="231F20"/>
        </w:rPr>
        <w:t>/s/ Ernst &amp; Young LLP</w:t>
      </w:r>
    </w:p>
    <w:p>
      <w:pPr>
        <w:pStyle w:val="BodyText"/>
        <w:rPr>
          <w:sz w:val="24"/>
        </w:rPr>
      </w:pPr>
    </w:p>
    <w:p>
      <w:pPr>
        <w:pStyle w:val="BodyText"/>
        <w:rPr>
          <w:sz w:val="24"/>
        </w:rPr>
      </w:pPr>
    </w:p>
    <w:p>
      <w:pPr>
        <w:pStyle w:val="BodyText"/>
        <w:spacing w:line="247" w:lineRule="auto" w:before="175"/>
        <w:ind w:left="100" w:right="7710"/>
      </w:pPr>
      <w:r>
        <w:rPr>
          <w:color w:val="231F20"/>
        </w:rPr>
        <w:t>Dallas, Texas February 7, 2017</w:t>
      </w:r>
    </w:p>
    <w:p>
      <w:pPr>
        <w:spacing w:after="0" w:line="247" w:lineRule="auto"/>
        <w:sectPr>
          <w:pgSz w:w="11880" w:h="15480"/>
          <w:pgMar w:header="0" w:footer="1240" w:top="1240" w:bottom="1420" w:left="1280" w:right="1260"/>
        </w:sectPr>
      </w:pPr>
    </w:p>
    <w:p>
      <w:pPr>
        <w:pStyle w:val="Heading1"/>
        <w:spacing w:before="74"/>
        <w:ind w:left="1905"/>
        <w:jc w:val="left"/>
      </w:pPr>
      <w:r>
        <w:rPr>
          <w:color w:val="231F20"/>
        </w:rPr>
        <w:t>Report of Independent Registered Public Accounting Firm</w:t>
      </w:r>
    </w:p>
    <w:p>
      <w:pPr>
        <w:spacing w:line="247" w:lineRule="auto" w:before="122"/>
        <w:ind w:left="100" w:right="5327" w:firstLine="0"/>
        <w:jc w:val="left"/>
        <w:rPr>
          <w:b/>
          <w:sz w:val="22"/>
        </w:rPr>
      </w:pPr>
      <w:r>
        <w:rPr>
          <w:b/>
          <w:color w:val="231F20"/>
          <w:sz w:val="22"/>
        </w:rPr>
        <w:t>The Board of Directors and Shareholders Southwest Airlines Co.</w:t>
      </w:r>
    </w:p>
    <w:p>
      <w:pPr>
        <w:pStyle w:val="BodyText"/>
        <w:spacing w:line="247" w:lineRule="auto" w:before="115"/>
        <w:ind w:left="100" w:right="117"/>
        <w:jc w:val="both"/>
      </w:pPr>
      <w:r>
        <w:rPr>
          <w:color w:val="231F20"/>
        </w:rPr>
        <w:t>We have audited Southwest Airlines Co.’s internal control over financial reporting as of December 31, 2016, based on criteria established in Internal Control—Integrated Framework issued by the  Committee of Sponsoring Organizations of the Treadway Commission (2013 Framework)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w:t>
      </w:r>
      <w:r>
        <w:rPr>
          <w:color w:val="231F20"/>
          <w:spacing w:val="-1"/>
        </w:rPr>
        <w:t> </w:t>
      </w:r>
      <w:r>
        <w:rPr>
          <w:color w:val="231F20"/>
        </w:rPr>
        <w:t>audit.</w:t>
      </w:r>
    </w:p>
    <w:p>
      <w:pPr>
        <w:pStyle w:val="BodyText"/>
        <w:spacing w:line="247" w:lineRule="auto" w:before="115"/>
        <w:ind w:left="100" w:right="117"/>
        <w:jc w:val="both"/>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line="247" w:lineRule="auto" w:before="115"/>
        <w:ind w:left="100" w:right="117"/>
        <w:jc w:val="both"/>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pStyle w:val="BodyText"/>
        <w:spacing w:line="247" w:lineRule="auto" w:before="115"/>
        <w:ind w:left="100" w:right="117"/>
        <w:jc w:val="both"/>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line="247" w:lineRule="auto" w:before="115"/>
        <w:ind w:left="100" w:right="117"/>
        <w:jc w:val="both"/>
      </w:pPr>
      <w:r>
        <w:rPr>
          <w:color w:val="231F20"/>
        </w:rPr>
        <w:t>In our opinion, Southwest Airlines Co. maintained, in all material respects, effective internal control over financial reporting as of December 31, 2016, based on the COSO criteria.</w:t>
      </w:r>
    </w:p>
    <w:p>
      <w:pPr>
        <w:pStyle w:val="BodyText"/>
        <w:spacing w:line="247" w:lineRule="auto" w:before="115"/>
        <w:ind w:left="100" w:right="119"/>
        <w:jc w:val="both"/>
      </w:pPr>
      <w:r>
        <w:rPr>
          <w:color w:val="231F20"/>
        </w:rPr>
        <w:t>We also have audited, in accordance with the standards of the Public Company Accounting Oversight Board (United States), the consolidated balance sheet of Southwest Airlines Co. as of December 31, 2016 and 2015, and the related consolidated statements of income, comprehensive income, stockholders’ equity, and cash flows for each of the three years in the period ended December 31, 2016 and our report dated February 7, 2017 expressed an unqualified opinion thereon.</w:t>
      </w:r>
    </w:p>
    <w:p>
      <w:pPr>
        <w:pStyle w:val="BodyText"/>
        <w:spacing w:before="105"/>
        <w:ind w:right="116"/>
        <w:jc w:val="right"/>
      </w:pPr>
      <w:r>
        <w:rPr>
          <w:color w:val="231F20"/>
        </w:rPr>
        <w:t>/s/ Ernst &amp; Young LLP</w:t>
      </w:r>
    </w:p>
    <w:p>
      <w:pPr>
        <w:pStyle w:val="BodyText"/>
        <w:spacing w:line="247" w:lineRule="auto" w:before="122"/>
        <w:ind w:left="100" w:right="7710"/>
      </w:pPr>
      <w:r>
        <w:rPr>
          <w:color w:val="231F20"/>
        </w:rPr>
        <w:t>Dallas, Texas February 7, 2017</w:t>
      </w:r>
    </w:p>
    <w:p>
      <w:pPr>
        <w:spacing w:after="0" w:line="247" w:lineRule="auto"/>
        <w:sectPr>
          <w:pgSz w:w="11880" w:h="15480"/>
          <w:pgMar w:header="0" w:footer="1240" w:top="1240" w:bottom="1420" w:left="1280" w:right="1260"/>
        </w:sectPr>
      </w:pPr>
    </w:p>
    <w:p>
      <w:pPr>
        <w:pStyle w:val="Heading1"/>
        <w:spacing w:before="74"/>
        <w:ind w:left="94" w:right="95"/>
        <w:jc w:val="center"/>
      </w:pPr>
      <w:bookmarkStart w:name="Item 9. Changes in and Disagreements Wit" w:id="41"/>
      <w:bookmarkEnd w:id="41"/>
      <w:r>
        <w:rPr>
          <w:b w:val="0"/>
        </w:rPr>
      </w:r>
      <w:bookmarkStart w:name="Item 9A. Controls and Procedures " w:id="42"/>
      <w:bookmarkEnd w:id="42"/>
      <w:r>
        <w:rPr>
          <w:b w:val="0"/>
        </w:rPr>
      </w:r>
      <w:r>
        <w:rPr>
          <w:color w:val="231F20"/>
        </w:rPr>
        <w:t>QUARTERLY FINANCIAL DATA</w:t>
      </w:r>
    </w:p>
    <w:p>
      <w:pPr>
        <w:spacing w:before="54"/>
        <w:ind w:left="97" w:right="95" w:firstLine="0"/>
        <w:jc w:val="center"/>
        <w:rPr>
          <w:b/>
          <w:sz w:val="22"/>
        </w:rPr>
      </w:pPr>
      <w:r>
        <w:rPr>
          <w:b/>
          <w:color w:val="231F20"/>
          <w:sz w:val="22"/>
        </w:rPr>
        <w:t>(unaudited)</w:t>
      </w:r>
    </w:p>
    <w:p>
      <w:pPr>
        <w:spacing w:before="158" w:after="26"/>
        <w:ind w:left="4295" w:right="95" w:firstLine="0"/>
        <w:jc w:val="center"/>
        <w:rPr>
          <w:b/>
          <w:sz w:val="20"/>
        </w:rPr>
      </w:pPr>
      <w:r>
        <w:rPr/>
        <w:pict>
          <v:line style="position:absolute;mso-position-horizontal-relative:page;mso-position-vertical-relative:paragraph;z-index:-371584" from="69pt,32.735950pt" to="269pt,32.735950pt" stroked="true" strokeweight="1pt" strokecolor="#231f20">
            <v:stroke dashstyle="solid"/>
            <w10:wrap type="none"/>
          </v:line>
        </w:pict>
      </w:r>
      <w:r>
        <w:rPr>
          <w:b/>
          <w:color w:val="231F20"/>
          <w:sz w:val="20"/>
        </w:rPr>
        <w:t>Three months ended</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200"/>
        <w:gridCol w:w="1080"/>
        <w:gridCol w:w="200"/>
        <w:gridCol w:w="1080"/>
        <w:gridCol w:w="200"/>
        <w:gridCol w:w="1080"/>
        <w:gridCol w:w="200"/>
        <w:gridCol w:w="1080"/>
      </w:tblGrid>
      <w:tr>
        <w:trPr>
          <w:trHeight w:val="240" w:hRule="exact"/>
        </w:trPr>
        <w:tc>
          <w:tcPr>
            <w:tcW w:w="4000" w:type="dxa"/>
          </w:tcPr>
          <w:p>
            <w:pPr>
              <w:pStyle w:val="TableParagraph"/>
              <w:spacing w:before="20"/>
              <w:rPr>
                <w:b/>
                <w:sz w:val="16"/>
              </w:rPr>
            </w:pPr>
            <w:r>
              <w:rPr>
                <w:b/>
                <w:color w:val="231F20"/>
                <w:sz w:val="16"/>
              </w:rPr>
              <w:t>(in millions except per share amounts)</w:t>
            </w:r>
          </w:p>
        </w:tc>
        <w:tc>
          <w:tcPr>
            <w:tcW w:w="200" w:type="dxa"/>
          </w:tcPr>
          <w:p>
            <w:pPr/>
          </w:p>
        </w:tc>
        <w:tc>
          <w:tcPr>
            <w:tcW w:w="1080" w:type="dxa"/>
            <w:tcBorders>
              <w:top w:val="single" w:sz="8" w:space="0" w:color="231F20"/>
              <w:bottom w:val="single" w:sz="8" w:space="0" w:color="231F20"/>
            </w:tcBorders>
          </w:tcPr>
          <w:p>
            <w:pPr>
              <w:pStyle w:val="TableParagraph"/>
              <w:spacing w:before="10"/>
              <w:ind w:left="208"/>
              <w:rPr>
                <w:b/>
                <w:sz w:val="16"/>
              </w:rPr>
            </w:pPr>
            <w:r>
              <w:rPr>
                <w:b/>
                <w:color w:val="231F20"/>
                <w:sz w:val="16"/>
              </w:rPr>
              <w:t>March 31</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76"/>
              <w:rPr>
                <w:b/>
                <w:sz w:val="16"/>
              </w:rPr>
            </w:pPr>
            <w:r>
              <w:rPr>
                <w:b/>
                <w:color w:val="231F20"/>
                <w:sz w:val="16"/>
              </w:rPr>
              <w:t>June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left="268"/>
              <w:rPr>
                <w:b/>
                <w:sz w:val="16"/>
              </w:rPr>
            </w:pPr>
            <w:r>
              <w:rPr>
                <w:b/>
                <w:color w:val="231F20"/>
                <w:sz w:val="16"/>
              </w:rPr>
              <w:t>Sept. 30</w:t>
            </w:r>
          </w:p>
        </w:tc>
        <w:tc>
          <w:tcPr>
            <w:tcW w:w="200" w:type="dxa"/>
            <w:tcBorders>
              <w:top w:val="single" w:sz="8" w:space="0" w:color="231F20"/>
            </w:tcBorders>
          </w:tcPr>
          <w:p>
            <w:pPr/>
          </w:p>
        </w:tc>
        <w:tc>
          <w:tcPr>
            <w:tcW w:w="1080" w:type="dxa"/>
            <w:tcBorders>
              <w:top w:val="single" w:sz="8" w:space="0" w:color="231F20"/>
              <w:bottom w:val="single" w:sz="8" w:space="0" w:color="231F20"/>
            </w:tcBorders>
          </w:tcPr>
          <w:p>
            <w:pPr>
              <w:pStyle w:val="TableParagraph"/>
              <w:spacing w:before="10"/>
              <w:ind w:right="290"/>
              <w:jc w:val="right"/>
              <w:rPr>
                <w:b/>
                <w:sz w:val="16"/>
              </w:rPr>
            </w:pPr>
            <w:r>
              <w:rPr>
                <w:b/>
                <w:color w:val="231F20"/>
                <w:sz w:val="16"/>
              </w:rPr>
              <w:t>Dec. 31</w:t>
            </w:r>
          </w:p>
        </w:tc>
      </w:tr>
      <w:tr>
        <w:trPr>
          <w:trHeight w:val="310" w:hRule="exact"/>
        </w:trPr>
        <w:tc>
          <w:tcPr>
            <w:tcW w:w="4000" w:type="dxa"/>
            <w:shd w:val="clear" w:color="auto" w:fill="D1D3D4"/>
          </w:tcPr>
          <w:p>
            <w:pPr>
              <w:pStyle w:val="TableParagraph"/>
              <w:rPr>
                <w:b/>
                <w:sz w:val="20"/>
              </w:rPr>
            </w:pPr>
            <w:r>
              <w:rPr>
                <w:b/>
                <w:color w:val="231F20"/>
                <w:sz w:val="20"/>
              </w:rPr>
              <w:t>2016</w:t>
            </w: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c>
          <w:tcPr>
            <w:tcW w:w="200" w:type="dxa"/>
            <w:shd w:val="clear" w:color="auto" w:fill="D1D3D4"/>
          </w:tcPr>
          <w:p>
            <w:pPr/>
          </w:p>
        </w:tc>
        <w:tc>
          <w:tcPr>
            <w:tcW w:w="1080" w:type="dxa"/>
            <w:tcBorders>
              <w:top w:val="single" w:sz="8" w:space="0" w:color="231F20"/>
            </w:tcBorders>
            <w:shd w:val="clear" w:color="auto" w:fill="D1D3D4"/>
          </w:tcPr>
          <w:p>
            <w:pPr/>
          </w:p>
        </w:tc>
      </w:tr>
      <w:tr>
        <w:trPr>
          <w:trHeight w:val="300" w:hRule="exact"/>
        </w:trPr>
        <w:tc>
          <w:tcPr>
            <w:tcW w:w="4000" w:type="dxa"/>
          </w:tcPr>
          <w:p>
            <w:pPr>
              <w:pStyle w:val="TableParagraph"/>
              <w:ind w:left="400"/>
              <w:rPr>
                <w:sz w:val="20"/>
              </w:rPr>
            </w:pPr>
            <w:r>
              <w:rPr>
                <w:color w:val="231F20"/>
                <w:sz w:val="20"/>
              </w:rPr>
              <w:t>Operating revenues (a)</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4,826</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5,384</w:t>
            </w:r>
          </w:p>
        </w:tc>
        <w:tc>
          <w:tcPr>
            <w:tcW w:w="200" w:type="dxa"/>
          </w:tcPr>
          <w:p>
            <w:pPr/>
          </w:p>
        </w:tc>
        <w:tc>
          <w:tcPr>
            <w:tcW w:w="1080" w:type="dxa"/>
          </w:tcPr>
          <w:p>
            <w:pPr>
              <w:pStyle w:val="TableParagraph"/>
              <w:tabs>
                <w:tab w:pos="562" w:val="left" w:leader="none"/>
              </w:tabs>
              <w:ind w:right="64"/>
              <w:jc w:val="right"/>
              <w:rPr>
                <w:sz w:val="20"/>
              </w:rPr>
            </w:pPr>
            <w:r>
              <w:rPr>
                <w:color w:val="231F20"/>
                <w:sz w:val="20"/>
              </w:rPr>
              <w:t>$</w:t>
              <w:tab/>
              <w:t>5,139</w:t>
            </w:r>
          </w:p>
        </w:tc>
        <w:tc>
          <w:tcPr>
            <w:tcW w:w="200" w:type="dxa"/>
          </w:tcPr>
          <w:p>
            <w:pPr/>
          </w:p>
        </w:tc>
        <w:tc>
          <w:tcPr>
            <w:tcW w:w="1080" w:type="dxa"/>
          </w:tcPr>
          <w:p>
            <w:pPr>
              <w:pStyle w:val="TableParagraph"/>
              <w:tabs>
                <w:tab w:pos="379" w:val="left" w:leader="none"/>
              </w:tabs>
              <w:ind w:right="247"/>
              <w:jc w:val="right"/>
              <w:rPr>
                <w:sz w:val="20"/>
              </w:rPr>
            </w:pPr>
            <w:r>
              <w:rPr>
                <w:color w:val="231F20"/>
                <w:sz w:val="20"/>
              </w:rPr>
              <w:t>$</w:t>
              <w:tab/>
            </w:r>
            <w:r>
              <w:rPr>
                <w:color w:val="231F20"/>
                <w:spacing w:val="-1"/>
                <w:sz w:val="20"/>
              </w:rPr>
              <w:t>5,076</w:t>
            </w:r>
          </w:p>
        </w:tc>
      </w:tr>
      <w:tr>
        <w:trPr>
          <w:trHeight w:val="300" w:hRule="exact"/>
        </w:trPr>
        <w:tc>
          <w:tcPr>
            <w:tcW w:w="4000" w:type="dxa"/>
            <w:shd w:val="clear" w:color="auto" w:fill="D1D3D4"/>
          </w:tcPr>
          <w:p>
            <w:pPr>
              <w:pStyle w:val="TableParagraph"/>
              <w:ind w:left="400"/>
              <w:rPr>
                <w:sz w:val="20"/>
              </w:rPr>
            </w:pPr>
            <w:r>
              <w:rPr>
                <w:color w:val="231F20"/>
                <w:sz w:val="20"/>
              </w:rPr>
              <w:t>Operating income</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944</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1,276</w:t>
            </w:r>
          </w:p>
        </w:tc>
        <w:tc>
          <w:tcPr>
            <w:tcW w:w="200" w:type="dxa"/>
            <w:shd w:val="clear" w:color="auto" w:fill="D1D3D4"/>
          </w:tcPr>
          <w:p>
            <w:pPr/>
          </w:p>
        </w:tc>
        <w:tc>
          <w:tcPr>
            <w:tcW w:w="1080" w:type="dxa"/>
            <w:shd w:val="clear" w:color="auto" w:fill="D1D3D4"/>
          </w:tcPr>
          <w:p>
            <w:pPr>
              <w:pStyle w:val="TableParagraph"/>
              <w:ind w:right="64"/>
              <w:jc w:val="right"/>
              <w:rPr>
                <w:sz w:val="20"/>
              </w:rPr>
            </w:pPr>
            <w:r>
              <w:rPr>
                <w:color w:val="231F20"/>
                <w:sz w:val="20"/>
              </w:rPr>
              <w:t>695</w:t>
            </w:r>
          </w:p>
        </w:tc>
        <w:tc>
          <w:tcPr>
            <w:tcW w:w="200" w:type="dxa"/>
            <w:shd w:val="clear" w:color="auto" w:fill="D1D3D4"/>
          </w:tcPr>
          <w:p>
            <w:pPr/>
          </w:p>
        </w:tc>
        <w:tc>
          <w:tcPr>
            <w:tcW w:w="1080" w:type="dxa"/>
            <w:shd w:val="clear" w:color="auto" w:fill="D1D3D4"/>
          </w:tcPr>
          <w:p>
            <w:pPr>
              <w:pStyle w:val="TableParagraph"/>
              <w:ind w:right="247"/>
              <w:jc w:val="right"/>
              <w:rPr>
                <w:sz w:val="20"/>
              </w:rPr>
            </w:pPr>
            <w:r>
              <w:rPr>
                <w:color w:val="231F20"/>
                <w:sz w:val="20"/>
              </w:rPr>
              <w:t>846</w:t>
            </w:r>
          </w:p>
        </w:tc>
      </w:tr>
      <w:tr>
        <w:trPr>
          <w:trHeight w:val="300" w:hRule="exact"/>
        </w:trPr>
        <w:tc>
          <w:tcPr>
            <w:tcW w:w="4000" w:type="dxa"/>
          </w:tcPr>
          <w:p>
            <w:pPr>
              <w:pStyle w:val="TableParagraph"/>
              <w:ind w:left="400"/>
              <w:rPr>
                <w:sz w:val="20"/>
              </w:rPr>
            </w:pPr>
            <w:r>
              <w:rPr>
                <w:color w:val="231F20"/>
                <w:sz w:val="20"/>
              </w:rPr>
              <w:t>Income before income taxes</w:t>
            </w:r>
          </w:p>
        </w:tc>
        <w:tc>
          <w:tcPr>
            <w:tcW w:w="200" w:type="dxa"/>
          </w:tcPr>
          <w:p>
            <w:pPr/>
          </w:p>
        </w:tc>
        <w:tc>
          <w:tcPr>
            <w:tcW w:w="1080" w:type="dxa"/>
          </w:tcPr>
          <w:p>
            <w:pPr>
              <w:pStyle w:val="TableParagraph"/>
              <w:ind w:right="66"/>
              <w:jc w:val="right"/>
              <w:rPr>
                <w:sz w:val="20"/>
              </w:rPr>
            </w:pPr>
            <w:r>
              <w:rPr>
                <w:color w:val="231F20"/>
                <w:sz w:val="20"/>
              </w:rPr>
              <w:t>816</w:t>
            </w:r>
          </w:p>
        </w:tc>
        <w:tc>
          <w:tcPr>
            <w:tcW w:w="200" w:type="dxa"/>
          </w:tcPr>
          <w:p>
            <w:pPr/>
          </w:p>
        </w:tc>
        <w:tc>
          <w:tcPr>
            <w:tcW w:w="1080" w:type="dxa"/>
          </w:tcPr>
          <w:p>
            <w:pPr>
              <w:pStyle w:val="TableParagraph"/>
              <w:ind w:right="66"/>
              <w:jc w:val="right"/>
              <w:rPr>
                <w:sz w:val="20"/>
              </w:rPr>
            </w:pPr>
            <w:r>
              <w:rPr>
                <w:color w:val="231F20"/>
                <w:sz w:val="20"/>
              </w:rPr>
              <w:t>1,304</w:t>
            </w:r>
          </w:p>
        </w:tc>
        <w:tc>
          <w:tcPr>
            <w:tcW w:w="200" w:type="dxa"/>
          </w:tcPr>
          <w:p>
            <w:pPr/>
          </w:p>
        </w:tc>
        <w:tc>
          <w:tcPr>
            <w:tcW w:w="1080" w:type="dxa"/>
          </w:tcPr>
          <w:p>
            <w:pPr>
              <w:pStyle w:val="TableParagraph"/>
              <w:ind w:right="66"/>
              <w:jc w:val="right"/>
              <w:rPr>
                <w:sz w:val="20"/>
              </w:rPr>
            </w:pPr>
            <w:r>
              <w:rPr>
                <w:color w:val="231F20"/>
                <w:sz w:val="20"/>
              </w:rPr>
              <w:t>618</w:t>
            </w:r>
          </w:p>
        </w:tc>
        <w:tc>
          <w:tcPr>
            <w:tcW w:w="200" w:type="dxa"/>
          </w:tcPr>
          <w:p>
            <w:pPr/>
          </w:p>
        </w:tc>
        <w:tc>
          <w:tcPr>
            <w:tcW w:w="1080" w:type="dxa"/>
          </w:tcPr>
          <w:p>
            <w:pPr>
              <w:pStyle w:val="TableParagraph"/>
              <w:ind w:right="249"/>
              <w:jc w:val="right"/>
              <w:rPr>
                <w:sz w:val="20"/>
              </w:rPr>
            </w:pPr>
            <w:r>
              <w:rPr>
                <w:color w:val="231F20"/>
                <w:sz w:val="20"/>
              </w:rPr>
              <w:t>809</w:t>
            </w:r>
          </w:p>
        </w:tc>
      </w:tr>
      <w:tr>
        <w:trPr>
          <w:trHeight w:val="300" w:hRule="exact"/>
        </w:trPr>
        <w:tc>
          <w:tcPr>
            <w:tcW w:w="4000" w:type="dxa"/>
            <w:shd w:val="clear" w:color="auto" w:fill="D1D3D4"/>
          </w:tcPr>
          <w:p>
            <w:pPr>
              <w:pStyle w:val="TableParagraph"/>
              <w:ind w:left="400"/>
              <w:rPr>
                <w:sz w:val="20"/>
              </w:rPr>
            </w:pPr>
            <w:r>
              <w:rPr>
                <w:color w:val="231F20"/>
                <w:sz w:val="20"/>
              </w:rPr>
              <w:t>Net income (b)</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513</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820</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388</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522</w:t>
            </w:r>
          </w:p>
        </w:tc>
      </w:tr>
      <w:tr>
        <w:trPr>
          <w:trHeight w:val="300" w:hRule="exact"/>
        </w:trPr>
        <w:tc>
          <w:tcPr>
            <w:tcW w:w="4000" w:type="dxa"/>
          </w:tcPr>
          <w:p>
            <w:pPr>
              <w:pStyle w:val="TableParagraph"/>
              <w:ind w:left="400"/>
              <w:rPr>
                <w:sz w:val="20"/>
              </w:rPr>
            </w:pPr>
            <w:r>
              <w:rPr>
                <w:color w:val="231F20"/>
                <w:sz w:val="20"/>
              </w:rPr>
              <w:t>Net income per share, basic (a)(b)</w:t>
            </w:r>
          </w:p>
        </w:tc>
        <w:tc>
          <w:tcPr>
            <w:tcW w:w="200" w:type="dxa"/>
          </w:tcPr>
          <w:p>
            <w:pPr/>
          </w:p>
        </w:tc>
        <w:tc>
          <w:tcPr>
            <w:tcW w:w="1080" w:type="dxa"/>
          </w:tcPr>
          <w:p>
            <w:pPr>
              <w:pStyle w:val="TableParagraph"/>
              <w:ind w:right="66"/>
              <w:jc w:val="right"/>
              <w:rPr>
                <w:sz w:val="20"/>
              </w:rPr>
            </w:pPr>
            <w:r>
              <w:rPr>
                <w:color w:val="231F20"/>
                <w:sz w:val="20"/>
              </w:rPr>
              <w:t>0.80</w:t>
            </w:r>
          </w:p>
        </w:tc>
        <w:tc>
          <w:tcPr>
            <w:tcW w:w="200" w:type="dxa"/>
          </w:tcPr>
          <w:p>
            <w:pPr/>
          </w:p>
        </w:tc>
        <w:tc>
          <w:tcPr>
            <w:tcW w:w="1080" w:type="dxa"/>
          </w:tcPr>
          <w:p>
            <w:pPr>
              <w:pStyle w:val="TableParagraph"/>
              <w:ind w:right="66"/>
              <w:jc w:val="right"/>
              <w:rPr>
                <w:sz w:val="20"/>
              </w:rPr>
            </w:pPr>
            <w:r>
              <w:rPr>
                <w:color w:val="231F20"/>
                <w:sz w:val="20"/>
              </w:rPr>
              <w:t>1.30</w:t>
            </w:r>
          </w:p>
        </w:tc>
        <w:tc>
          <w:tcPr>
            <w:tcW w:w="200" w:type="dxa"/>
          </w:tcPr>
          <w:p>
            <w:pPr/>
          </w:p>
        </w:tc>
        <w:tc>
          <w:tcPr>
            <w:tcW w:w="1080" w:type="dxa"/>
          </w:tcPr>
          <w:p>
            <w:pPr>
              <w:pStyle w:val="TableParagraph"/>
              <w:ind w:right="66"/>
              <w:jc w:val="right"/>
              <w:rPr>
                <w:sz w:val="20"/>
              </w:rPr>
            </w:pPr>
            <w:r>
              <w:rPr>
                <w:color w:val="231F20"/>
                <w:sz w:val="20"/>
              </w:rPr>
              <w:t>0.63</w:t>
            </w:r>
          </w:p>
        </w:tc>
        <w:tc>
          <w:tcPr>
            <w:tcW w:w="200" w:type="dxa"/>
          </w:tcPr>
          <w:p>
            <w:pPr/>
          </w:p>
        </w:tc>
        <w:tc>
          <w:tcPr>
            <w:tcW w:w="1080" w:type="dxa"/>
          </w:tcPr>
          <w:p>
            <w:pPr>
              <w:pStyle w:val="TableParagraph"/>
              <w:ind w:right="249"/>
              <w:jc w:val="right"/>
              <w:rPr>
                <w:sz w:val="20"/>
              </w:rPr>
            </w:pPr>
            <w:r>
              <w:rPr>
                <w:color w:val="231F20"/>
                <w:sz w:val="20"/>
              </w:rPr>
              <w:t>0.85</w:t>
            </w:r>
          </w:p>
        </w:tc>
      </w:tr>
      <w:tr>
        <w:trPr>
          <w:trHeight w:val="300" w:hRule="exact"/>
        </w:trPr>
        <w:tc>
          <w:tcPr>
            <w:tcW w:w="4000" w:type="dxa"/>
            <w:shd w:val="clear" w:color="auto" w:fill="D1D3D4"/>
          </w:tcPr>
          <w:p>
            <w:pPr>
              <w:pStyle w:val="TableParagraph"/>
              <w:ind w:left="400"/>
              <w:rPr>
                <w:sz w:val="20"/>
              </w:rPr>
            </w:pPr>
            <w:r>
              <w:rPr>
                <w:color w:val="231F20"/>
                <w:sz w:val="20"/>
              </w:rPr>
              <w:t>Net income per share, diluted (a)(b)</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0.79</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1.28</w:t>
            </w:r>
          </w:p>
        </w:tc>
        <w:tc>
          <w:tcPr>
            <w:tcW w:w="200" w:type="dxa"/>
            <w:shd w:val="clear" w:color="auto" w:fill="D1D3D4"/>
          </w:tcPr>
          <w:p>
            <w:pPr/>
          </w:p>
        </w:tc>
        <w:tc>
          <w:tcPr>
            <w:tcW w:w="1080" w:type="dxa"/>
            <w:shd w:val="clear" w:color="auto" w:fill="D1D3D4"/>
          </w:tcPr>
          <w:p>
            <w:pPr>
              <w:pStyle w:val="TableParagraph"/>
              <w:ind w:right="66"/>
              <w:jc w:val="right"/>
              <w:rPr>
                <w:sz w:val="20"/>
              </w:rPr>
            </w:pPr>
            <w:r>
              <w:rPr>
                <w:color w:val="231F20"/>
                <w:sz w:val="20"/>
              </w:rPr>
              <w:t>0.62</w:t>
            </w:r>
          </w:p>
        </w:tc>
        <w:tc>
          <w:tcPr>
            <w:tcW w:w="200" w:type="dxa"/>
            <w:shd w:val="clear" w:color="auto" w:fill="D1D3D4"/>
          </w:tcPr>
          <w:p>
            <w:pPr/>
          </w:p>
        </w:tc>
        <w:tc>
          <w:tcPr>
            <w:tcW w:w="1080" w:type="dxa"/>
            <w:shd w:val="clear" w:color="auto" w:fill="D1D3D4"/>
          </w:tcPr>
          <w:p>
            <w:pPr>
              <w:pStyle w:val="TableParagraph"/>
              <w:ind w:right="249"/>
              <w:jc w:val="right"/>
              <w:rPr>
                <w:sz w:val="20"/>
              </w:rPr>
            </w:pPr>
            <w:r>
              <w:rPr>
                <w:color w:val="231F20"/>
                <w:sz w:val="20"/>
              </w:rPr>
              <w:t>0.84</w:t>
            </w:r>
          </w:p>
        </w:tc>
      </w:tr>
    </w:tbl>
    <w:p>
      <w:pPr>
        <w:pStyle w:val="BodyText"/>
        <w:spacing w:before="9"/>
        <w:rPr>
          <w:b/>
          <w:sz w:val="21"/>
        </w:rPr>
      </w:pPr>
    </w:p>
    <w:p>
      <w:pPr>
        <w:tabs>
          <w:tab w:pos="5463" w:val="left" w:leader="none"/>
          <w:tab w:pos="6737" w:val="left" w:leader="none"/>
          <w:tab w:pos="8039" w:val="left" w:leader="none"/>
        </w:tabs>
        <w:spacing w:before="0"/>
        <w:ind w:left="4118" w:right="0" w:firstLine="0"/>
        <w:jc w:val="center"/>
        <w:rPr>
          <w:b/>
          <w:sz w:val="16"/>
        </w:rPr>
      </w:pPr>
      <w:r>
        <w:rPr/>
        <w:pict>
          <v:shape style="position:absolute;margin-left:69pt;margin-top:11.468762pt;width:456pt;height:15pt;mso-position-horizontal-relative:page;mso-position-vertical-relative:paragraph;z-index:7480;mso-wrap-distance-left:0;mso-wrap-distance-right:0" type="#_x0000_t202" filled="true" fillcolor="#d1d3d4" stroked="false">
            <v:textbox inset="0,0,0,0">
              <w:txbxContent>
                <w:p>
                  <w:pPr>
                    <w:spacing w:before="53"/>
                    <w:ind w:left="0" w:right="0" w:firstLine="0"/>
                    <w:jc w:val="left"/>
                    <w:rPr>
                      <w:b/>
                      <w:sz w:val="20"/>
                    </w:rPr>
                  </w:pPr>
                  <w:r>
                    <w:rPr>
                      <w:b/>
                      <w:color w:val="231F20"/>
                      <w:sz w:val="20"/>
                    </w:rPr>
                    <w:t>2015</w:t>
                  </w:r>
                </w:p>
              </w:txbxContent>
            </v:textbox>
            <v:fill type="solid"/>
            <w10:wrap type="topAndBottom"/>
          </v:shape>
        </w:pict>
      </w:r>
      <w:r>
        <w:rPr/>
        <w:pict>
          <v:line style="position:absolute;mso-position-horizontal-relative:page;mso-position-vertical-relative:paragraph;z-index:7528" from="279pt,10.968762pt" to="333pt,10.968762pt" stroked="true" strokeweight="1pt" strokecolor="#231f20">
            <v:stroke dashstyle="solid"/>
            <w10:wrap type="none"/>
          </v:line>
        </w:pict>
      </w:r>
      <w:r>
        <w:rPr/>
        <w:pict>
          <v:line style="position:absolute;mso-position-horizontal-relative:page;mso-position-vertical-relative:paragraph;z-index:7552" from="343pt,10.968762pt" to="397pt,10.968762pt" stroked="true" strokeweight="1pt" strokecolor="#231f20">
            <v:stroke dashstyle="solid"/>
            <w10:wrap type="none"/>
          </v:line>
        </w:pict>
      </w:r>
      <w:r>
        <w:rPr/>
        <w:pict>
          <v:line style="position:absolute;mso-position-horizontal-relative:page;mso-position-vertical-relative:paragraph;z-index:7576" from="407pt,10.968762pt" to="461pt,10.968762pt" stroked="true" strokeweight="1pt" strokecolor="#231f20">
            <v:stroke dashstyle="solid"/>
            <w10:wrap type="none"/>
          </v:line>
        </w:pict>
      </w:r>
      <w:r>
        <w:rPr/>
        <w:pict>
          <v:line style="position:absolute;mso-position-horizontal-relative:page;mso-position-vertical-relative:paragraph;z-index:7600" from="471pt,10.968762pt" to="525pt,10.968762pt" stroked="true" strokeweight="1pt" strokecolor="#231f20">
            <v:stroke dashstyle="solid"/>
            <w10:wrap type="none"/>
          </v:line>
        </w:pict>
      </w:r>
      <w:r>
        <w:rPr>
          <w:b/>
          <w:color w:val="231F20"/>
          <w:sz w:val="16"/>
        </w:rPr>
        <w:t>March</w:t>
      </w:r>
      <w:r>
        <w:rPr>
          <w:b/>
          <w:color w:val="231F20"/>
          <w:spacing w:val="-1"/>
          <w:sz w:val="16"/>
        </w:rPr>
        <w:t> </w:t>
      </w:r>
      <w:r>
        <w:rPr>
          <w:b/>
          <w:color w:val="231F20"/>
          <w:sz w:val="16"/>
        </w:rPr>
        <w:t>31</w:t>
        <w:tab/>
        <w:t>June 30</w:t>
        <w:tab/>
        <w:t>Sept.</w:t>
      </w:r>
      <w:r>
        <w:rPr>
          <w:b/>
          <w:color w:val="231F20"/>
          <w:spacing w:val="-1"/>
          <w:sz w:val="16"/>
        </w:rPr>
        <w:t> </w:t>
      </w:r>
      <w:r>
        <w:rPr>
          <w:b/>
          <w:color w:val="231F20"/>
          <w:sz w:val="16"/>
        </w:rPr>
        <w:t>30</w:t>
        <w:tab/>
        <w:t>Dec. 31</w:t>
      </w:r>
    </w:p>
    <w:p>
      <w:pPr>
        <w:pStyle w:val="BodyText"/>
        <w:spacing w:before="10"/>
        <w:rPr>
          <w:b/>
          <w:sz w:val="3"/>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19"/>
        <w:gridCol w:w="1728"/>
        <w:gridCol w:w="1280"/>
        <w:gridCol w:w="1280"/>
        <w:gridCol w:w="1213"/>
      </w:tblGrid>
      <w:tr>
        <w:trPr>
          <w:trHeight w:val="240" w:hRule="exact"/>
        </w:trPr>
        <w:tc>
          <w:tcPr>
            <w:tcW w:w="3619" w:type="dxa"/>
          </w:tcPr>
          <w:p>
            <w:pPr>
              <w:pStyle w:val="TableParagraph"/>
              <w:spacing w:line="223" w:lineRule="exact" w:before="0"/>
              <w:ind w:left="400"/>
              <w:rPr>
                <w:sz w:val="20"/>
              </w:rPr>
            </w:pPr>
            <w:r>
              <w:rPr>
                <w:color w:val="231F20"/>
                <w:sz w:val="20"/>
              </w:rPr>
              <w:t>Operating revenues (a)</w:t>
            </w:r>
          </w:p>
        </w:tc>
        <w:tc>
          <w:tcPr>
            <w:tcW w:w="1728" w:type="dxa"/>
          </w:tcPr>
          <w:p>
            <w:pPr>
              <w:pStyle w:val="TableParagraph"/>
              <w:tabs>
                <w:tab w:pos="562" w:val="left" w:leader="none"/>
              </w:tabs>
              <w:spacing w:line="223" w:lineRule="exact" w:before="0"/>
              <w:ind w:right="131"/>
              <w:jc w:val="right"/>
              <w:rPr>
                <w:sz w:val="20"/>
              </w:rPr>
            </w:pPr>
            <w:r>
              <w:rPr>
                <w:color w:val="231F20"/>
                <w:sz w:val="20"/>
              </w:rPr>
              <w:t>$</w:t>
              <w:tab/>
              <w:t>4,414</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5,111</w:t>
            </w:r>
          </w:p>
        </w:tc>
        <w:tc>
          <w:tcPr>
            <w:tcW w:w="1280" w:type="dxa"/>
          </w:tcPr>
          <w:p>
            <w:pPr>
              <w:pStyle w:val="TableParagraph"/>
              <w:tabs>
                <w:tab w:pos="562" w:val="left" w:leader="none"/>
              </w:tabs>
              <w:spacing w:line="223" w:lineRule="exact" w:before="0"/>
              <w:ind w:right="131"/>
              <w:jc w:val="right"/>
              <w:rPr>
                <w:sz w:val="20"/>
              </w:rPr>
            </w:pPr>
            <w:r>
              <w:rPr>
                <w:color w:val="231F20"/>
                <w:sz w:val="20"/>
              </w:rPr>
              <w:t>$</w:t>
              <w:tab/>
              <w:t>5,318</w:t>
            </w:r>
          </w:p>
        </w:tc>
        <w:tc>
          <w:tcPr>
            <w:tcW w:w="1213" w:type="dxa"/>
          </w:tcPr>
          <w:p>
            <w:pPr>
              <w:pStyle w:val="TableParagraph"/>
              <w:tabs>
                <w:tab w:pos="379" w:val="left" w:leader="none"/>
              </w:tabs>
              <w:spacing w:line="223" w:lineRule="exact" w:before="0"/>
              <w:ind w:right="247"/>
              <w:jc w:val="right"/>
              <w:rPr>
                <w:sz w:val="20"/>
              </w:rPr>
            </w:pPr>
            <w:r>
              <w:rPr>
                <w:color w:val="231F20"/>
                <w:sz w:val="20"/>
              </w:rPr>
              <w:t>$</w:t>
              <w:tab/>
            </w:r>
            <w:r>
              <w:rPr>
                <w:color w:val="231F20"/>
                <w:spacing w:val="-1"/>
                <w:sz w:val="20"/>
              </w:rPr>
              <w:t>4,977</w:t>
            </w:r>
          </w:p>
        </w:tc>
      </w:tr>
      <w:tr>
        <w:trPr>
          <w:trHeight w:val="300" w:hRule="exact"/>
        </w:trPr>
        <w:tc>
          <w:tcPr>
            <w:tcW w:w="3619" w:type="dxa"/>
            <w:shd w:val="clear" w:color="auto" w:fill="D1D3D4"/>
          </w:tcPr>
          <w:p>
            <w:pPr>
              <w:pStyle w:val="TableParagraph"/>
              <w:ind w:left="400"/>
              <w:rPr>
                <w:sz w:val="20"/>
              </w:rPr>
            </w:pPr>
            <w:r>
              <w:rPr>
                <w:color w:val="231F20"/>
                <w:sz w:val="20"/>
              </w:rPr>
              <w:t>Operating income</w:t>
            </w:r>
          </w:p>
        </w:tc>
        <w:tc>
          <w:tcPr>
            <w:tcW w:w="1728" w:type="dxa"/>
            <w:shd w:val="clear" w:color="auto" w:fill="D1D3D4"/>
          </w:tcPr>
          <w:p>
            <w:pPr>
              <w:pStyle w:val="TableParagraph"/>
              <w:ind w:right="131"/>
              <w:jc w:val="right"/>
              <w:rPr>
                <w:sz w:val="20"/>
              </w:rPr>
            </w:pPr>
            <w:r>
              <w:rPr>
                <w:color w:val="231F20"/>
                <w:sz w:val="20"/>
              </w:rPr>
              <w:t>780</w:t>
            </w:r>
          </w:p>
        </w:tc>
        <w:tc>
          <w:tcPr>
            <w:tcW w:w="1280" w:type="dxa"/>
            <w:shd w:val="clear" w:color="auto" w:fill="D1D3D4"/>
          </w:tcPr>
          <w:p>
            <w:pPr>
              <w:pStyle w:val="TableParagraph"/>
              <w:ind w:right="131"/>
              <w:jc w:val="right"/>
              <w:rPr>
                <w:sz w:val="20"/>
              </w:rPr>
            </w:pPr>
            <w:r>
              <w:rPr>
                <w:color w:val="231F20"/>
                <w:sz w:val="20"/>
              </w:rPr>
              <w:t>1,085</w:t>
            </w:r>
          </w:p>
        </w:tc>
        <w:tc>
          <w:tcPr>
            <w:tcW w:w="1280" w:type="dxa"/>
            <w:shd w:val="clear" w:color="auto" w:fill="D1D3D4"/>
          </w:tcPr>
          <w:p>
            <w:pPr>
              <w:pStyle w:val="TableParagraph"/>
              <w:ind w:right="131"/>
              <w:jc w:val="right"/>
              <w:rPr>
                <w:sz w:val="20"/>
              </w:rPr>
            </w:pPr>
            <w:r>
              <w:rPr>
                <w:color w:val="231F20"/>
                <w:sz w:val="20"/>
              </w:rPr>
              <w:t>1,225</w:t>
            </w:r>
          </w:p>
        </w:tc>
        <w:tc>
          <w:tcPr>
            <w:tcW w:w="1213" w:type="dxa"/>
            <w:shd w:val="clear" w:color="auto" w:fill="D1D3D4"/>
          </w:tcPr>
          <w:p>
            <w:pPr>
              <w:pStyle w:val="TableParagraph"/>
              <w:ind w:right="247"/>
              <w:jc w:val="right"/>
              <w:rPr>
                <w:sz w:val="20"/>
              </w:rPr>
            </w:pPr>
            <w:r>
              <w:rPr>
                <w:color w:val="231F20"/>
                <w:sz w:val="20"/>
              </w:rPr>
              <w:t>1,026</w:t>
            </w:r>
          </w:p>
        </w:tc>
      </w:tr>
      <w:tr>
        <w:trPr>
          <w:trHeight w:val="300" w:hRule="exact"/>
        </w:trPr>
        <w:tc>
          <w:tcPr>
            <w:tcW w:w="3619" w:type="dxa"/>
          </w:tcPr>
          <w:p>
            <w:pPr>
              <w:pStyle w:val="TableParagraph"/>
              <w:ind w:left="400"/>
              <w:rPr>
                <w:sz w:val="20"/>
              </w:rPr>
            </w:pPr>
            <w:r>
              <w:rPr>
                <w:color w:val="231F20"/>
                <w:sz w:val="20"/>
              </w:rPr>
              <w:t>Income before income taxes</w:t>
            </w:r>
          </w:p>
        </w:tc>
        <w:tc>
          <w:tcPr>
            <w:tcW w:w="1728" w:type="dxa"/>
          </w:tcPr>
          <w:p>
            <w:pPr>
              <w:pStyle w:val="TableParagraph"/>
              <w:ind w:right="131"/>
              <w:jc w:val="right"/>
              <w:rPr>
                <w:sz w:val="20"/>
              </w:rPr>
            </w:pPr>
            <w:r>
              <w:rPr>
                <w:color w:val="231F20"/>
                <w:sz w:val="20"/>
              </w:rPr>
              <w:t>723</w:t>
            </w:r>
          </w:p>
        </w:tc>
        <w:tc>
          <w:tcPr>
            <w:tcW w:w="1280" w:type="dxa"/>
          </w:tcPr>
          <w:p>
            <w:pPr>
              <w:pStyle w:val="TableParagraph"/>
              <w:ind w:right="131"/>
              <w:jc w:val="right"/>
              <w:rPr>
                <w:sz w:val="20"/>
              </w:rPr>
            </w:pPr>
            <w:r>
              <w:rPr>
                <w:color w:val="231F20"/>
                <w:sz w:val="20"/>
              </w:rPr>
              <w:t>977</w:t>
            </w:r>
          </w:p>
        </w:tc>
        <w:tc>
          <w:tcPr>
            <w:tcW w:w="1280" w:type="dxa"/>
          </w:tcPr>
          <w:p>
            <w:pPr>
              <w:pStyle w:val="TableParagraph"/>
              <w:ind w:right="131"/>
              <w:jc w:val="right"/>
              <w:rPr>
                <w:sz w:val="20"/>
              </w:rPr>
            </w:pPr>
            <w:r>
              <w:rPr>
                <w:color w:val="231F20"/>
                <w:sz w:val="20"/>
              </w:rPr>
              <w:t>933</w:t>
            </w:r>
          </w:p>
        </w:tc>
        <w:tc>
          <w:tcPr>
            <w:tcW w:w="1213" w:type="dxa"/>
          </w:tcPr>
          <w:p>
            <w:pPr>
              <w:pStyle w:val="TableParagraph"/>
              <w:ind w:right="249"/>
              <w:jc w:val="right"/>
              <w:rPr>
                <w:sz w:val="20"/>
              </w:rPr>
            </w:pPr>
            <w:r>
              <w:rPr>
                <w:color w:val="231F20"/>
                <w:sz w:val="20"/>
              </w:rPr>
              <w:t>847</w:t>
            </w:r>
          </w:p>
        </w:tc>
      </w:tr>
      <w:tr>
        <w:trPr>
          <w:trHeight w:val="300" w:hRule="exact"/>
        </w:trPr>
        <w:tc>
          <w:tcPr>
            <w:tcW w:w="3619" w:type="dxa"/>
            <w:shd w:val="clear" w:color="auto" w:fill="D1D3D4"/>
          </w:tcPr>
          <w:p>
            <w:pPr>
              <w:pStyle w:val="TableParagraph"/>
              <w:ind w:left="400"/>
              <w:rPr>
                <w:sz w:val="20"/>
              </w:rPr>
            </w:pPr>
            <w:r>
              <w:rPr>
                <w:color w:val="231F20"/>
                <w:sz w:val="20"/>
              </w:rPr>
              <w:t>Net income</w:t>
            </w:r>
          </w:p>
        </w:tc>
        <w:tc>
          <w:tcPr>
            <w:tcW w:w="1728" w:type="dxa"/>
            <w:shd w:val="clear" w:color="auto" w:fill="D1D3D4"/>
          </w:tcPr>
          <w:p>
            <w:pPr>
              <w:pStyle w:val="TableParagraph"/>
              <w:ind w:right="131"/>
              <w:jc w:val="right"/>
              <w:rPr>
                <w:sz w:val="20"/>
              </w:rPr>
            </w:pPr>
            <w:r>
              <w:rPr>
                <w:color w:val="231F20"/>
                <w:sz w:val="20"/>
              </w:rPr>
              <w:t>453</w:t>
            </w:r>
          </w:p>
        </w:tc>
        <w:tc>
          <w:tcPr>
            <w:tcW w:w="1280" w:type="dxa"/>
            <w:shd w:val="clear" w:color="auto" w:fill="D1D3D4"/>
          </w:tcPr>
          <w:p>
            <w:pPr>
              <w:pStyle w:val="TableParagraph"/>
              <w:ind w:right="131"/>
              <w:jc w:val="right"/>
              <w:rPr>
                <w:sz w:val="20"/>
              </w:rPr>
            </w:pPr>
            <w:r>
              <w:rPr>
                <w:color w:val="231F20"/>
                <w:sz w:val="20"/>
              </w:rPr>
              <w:t>608</w:t>
            </w:r>
          </w:p>
        </w:tc>
        <w:tc>
          <w:tcPr>
            <w:tcW w:w="1280" w:type="dxa"/>
            <w:shd w:val="clear" w:color="auto" w:fill="D1D3D4"/>
          </w:tcPr>
          <w:p>
            <w:pPr>
              <w:pStyle w:val="TableParagraph"/>
              <w:ind w:right="131"/>
              <w:jc w:val="right"/>
              <w:rPr>
                <w:sz w:val="20"/>
              </w:rPr>
            </w:pPr>
            <w:r>
              <w:rPr>
                <w:color w:val="231F20"/>
                <w:sz w:val="20"/>
              </w:rPr>
              <w:t>584</w:t>
            </w:r>
          </w:p>
        </w:tc>
        <w:tc>
          <w:tcPr>
            <w:tcW w:w="1213" w:type="dxa"/>
            <w:shd w:val="clear" w:color="auto" w:fill="D1D3D4"/>
          </w:tcPr>
          <w:p>
            <w:pPr>
              <w:pStyle w:val="TableParagraph"/>
              <w:ind w:right="249"/>
              <w:jc w:val="right"/>
              <w:rPr>
                <w:sz w:val="20"/>
              </w:rPr>
            </w:pPr>
            <w:r>
              <w:rPr>
                <w:color w:val="231F20"/>
                <w:sz w:val="20"/>
              </w:rPr>
              <w:t>536</w:t>
            </w:r>
          </w:p>
        </w:tc>
      </w:tr>
      <w:tr>
        <w:trPr>
          <w:trHeight w:val="300" w:hRule="exact"/>
        </w:trPr>
        <w:tc>
          <w:tcPr>
            <w:tcW w:w="3619" w:type="dxa"/>
          </w:tcPr>
          <w:p>
            <w:pPr>
              <w:pStyle w:val="TableParagraph"/>
              <w:ind w:left="400"/>
              <w:rPr>
                <w:sz w:val="20"/>
              </w:rPr>
            </w:pPr>
            <w:r>
              <w:rPr>
                <w:color w:val="231F20"/>
                <w:sz w:val="20"/>
              </w:rPr>
              <w:t>Net income per share, basic (a)</w:t>
            </w:r>
          </w:p>
        </w:tc>
        <w:tc>
          <w:tcPr>
            <w:tcW w:w="1728" w:type="dxa"/>
          </w:tcPr>
          <w:p>
            <w:pPr>
              <w:pStyle w:val="TableParagraph"/>
              <w:ind w:right="131"/>
              <w:jc w:val="right"/>
              <w:rPr>
                <w:sz w:val="20"/>
              </w:rPr>
            </w:pPr>
            <w:r>
              <w:rPr>
                <w:color w:val="231F20"/>
                <w:sz w:val="20"/>
              </w:rPr>
              <w:t>0.67</w:t>
            </w:r>
          </w:p>
        </w:tc>
        <w:tc>
          <w:tcPr>
            <w:tcW w:w="1280" w:type="dxa"/>
          </w:tcPr>
          <w:p>
            <w:pPr>
              <w:pStyle w:val="TableParagraph"/>
              <w:ind w:right="131"/>
              <w:jc w:val="right"/>
              <w:rPr>
                <w:sz w:val="20"/>
              </w:rPr>
            </w:pPr>
            <w:r>
              <w:rPr>
                <w:color w:val="231F20"/>
                <w:sz w:val="20"/>
              </w:rPr>
              <w:t>0.91</w:t>
            </w:r>
          </w:p>
        </w:tc>
        <w:tc>
          <w:tcPr>
            <w:tcW w:w="1280" w:type="dxa"/>
          </w:tcPr>
          <w:p>
            <w:pPr>
              <w:pStyle w:val="TableParagraph"/>
              <w:ind w:right="131"/>
              <w:jc w:val="right"/>
              <w:rPr>
                <w:sz w:val="20"/>
              </w:rPr>
            </w:pPr>
            <w:r>
              <w:rPr>
                <w:color w:val="231F20"/>
                <w:sz w:val="20"/>
              </w:rPr>
              <w:t>0.89</w:t>
            </w:r>
          </w:p>
        </w:tc>
        <w:tc>
          <w:tcPr>
            <w:tcW w:w="1213" w:type="dxa"/>
          </w:tcPr>
          <w:p>
            <w:pPr>
              <w:pStyle w:val="TableParagraph"/>
              <w:ind w:right="249"/>
              <w:jc w:val="right"/>
              <w:rPr>
                <w:sz w:val="20"/>
              </w:rPr>
            </w:pPr>
            <w:r>
              <w:rPr>
                <w:color w:val="231F20"/>
                <w:sz w:val="20"/>
              </w:rPr>
              <w:t>0.83</w:t>
            </w:r>
          </w:p>
        </w:tc>
      </w:tr>
      <w:tr>
        <w:trPr>
          <w:trHeight w:val="300" w:hRule="exact"/>
        </w:trPr>
        <w:tc>
          <w:tcPr>
            <w:tcW w:w="3619" w:type="dxa"/>
            <w:shd w:val="clear" w:color="auto" w:fill="D1D3D4"/>
          </w:tcPr>
          <w:p>
            <w:pPr>
              <w:pStyle w:val="TableParagraph"/>
              <w:ind w:left="400"/>
              <w:rPr>
                <w:sz w:val="20"/>
              </w:rPr>
            </w:pPr>
            <w:r>
              <w:rPr>
                <w:color w:val="231F20"/>
                <w:sz w:val="20"/>
              </w:rPr>
              <w:t>Net income per share, diluted (a)</w:t>
            </w:r>
          </w:p>
        </w:tc>
        <w:tc>
          <w:tcPr>
            <w:tcW w:w="1728" w:type="dxa"/>
            <w:shd w:val="clear" w:color="auto" w:fill="D1D3D4"/>
          </w:tcPr>
          <w:p>
            <w:pPr>
              <w:pStyle w:val="TableParagraph"/>
              <w:ind w:right="131"/>
              <w:jc w:val="right"/>
              <w:rPr>
                <w:sz w:val="20"/>
              </w:rPr>
            </w:pPr>
            <w:r>
              <w:rPr>
                <w:color w:val="231F20"/>
                <w:sz w:val="20"/>
              </w:rPr>
              <w:t>0.66</w:t>
            </w:r>
          </w:p>
        </w:tc>
        <w:tc>
          <w:tcPr>
            <w:tcW w:w="1280" w:type="dxa"/>
            <w:shd w:val="clear" w:color="auto" w:fill="D1D3D4"/>
          </w:tcPr>
          <w:p>
            <w:pPr>
              <w:pStyle w:val="TableParagraph"/>
              <w:ind w:right="131"/>
              <w:jc w:val="right"/>
              <w:rPr>
                <w:sz w:val="20"/>
              </w:rPr>
            </w:pPr>
            <w:r>
              <w:rPr>
                <w:color w:val="231F20"/>
                <w:sz w:val="20"/>
              </w:rPr>
              <w:t>0.90</w:t>
            </w:r>
          </w:p>
        </w:tc>
        <w:tc>
          <w:tcPr>
            <w:tcW w:w="1280" w:type="dxa"/>
            <w:shd w:val="clear" w:color="auto" w:fill="D1D3D4"/>
          </w:tcPr>
          <w:p>
            <w:pPr>
              <w:pStyle w:val="TableParagraph"/>
              <w:ind w:right="131"/>
              <w:jc w:val="right"/>
              <w:rPr>
                <w:sz w:val="20"/>
              </w:rPr>
            </w:pPr>
            <w:r>
              <w:rPr>
                <w:color w:val="231F20"/>
                <w:sz w:val="20"/>
              </w:rPr>
              <w:t>0.88</w:t>
            </w:r>
          </w:p>
        </w:tc>
        <w:tc>
          <w:tcPr>
            <w:tcW w:w="1213" w:type="dxa"/>
            <w:shd w:val="clear" w:color="auto" w:fill="D1D3D4"/>
          </w:tcPr>
          <w:p>
            <w:pPr>
              <w:pStyle w:val="TableParagraph"/>
              <w:ind w:right="249"/>
              <w:jc w:val="right"/>
              <w:rPr>
                <w:sz w:val="20"/>
              </w:rPr>
            </w:pPr>
            <w:r>
              <w:rPr>
                <w:color w:val="231F20"/>
                <w:sz w:val="20"/>
              </w:rPr>
              <w:t>0.82</w:t>
            </w:r>
          </w:p>
        </w:tc>
      </w:tr>
    </w:tbl>
    <w:p>
      <w:pPr>
        <w:pStyle w:val="BodyText"/>
        <w:rPr>
          <w:b/>
          <w:sz w:val="20"/>
        </w:rPr>
      </w:pPr>
    </w:p>
    <w:p>
      <w:pPr>
        <w:pStyle w:val="BodyText"/>
        <w:spacing w:before="4"/>
        <w:rPr>
          <w:b/>
          <w:sz w:val="18"/>
        </w:rPr>
      </w:pPr>
    </w:p>
    <w:p>
      <w:pPr>
        <w:pStyle w:val="ListParagraph"/>
        <w:numPr>
          <w:ilvl w:val="0"/>
          <w:numId w:val="23"/>
        </w:numPr>
        <w:tabs>
          <w:tab w:pos="462" w:val="left" w:leader="none"/>
        </w:tabs>
        <w:spacing w:line="249" w:lineRule="auto" w:before="0" w:after="0"/>
        <w:ind w:left="120" w:right="118" w:firstLine="0"/>
        <w:jc w:val="both"/>
        <w:rPr>
          <w:sz w:val="20"/>
        </w:rPr>
      </w:pPr>
      <w:r>
        <w:rPr>
          <w:color w:val="231F20"/>
          <w:sz w:val="20"/>
        </w:rPr>
        <w:t>Includes the impact of the Agreement with Chase and the resulting required change in accounting methodology. The impact of this change during third quarter and fourth quarter 2015 resulted in increases to Operating revenue of approximately $303 million and $124 million, respectively, and increased Basic and  Diluted net income per share by approximately $.24 in third  quarter  2015  and  by  approximately  $.10  in  fourth quarter 2015. The impact of this change resulted in an increase to Operating revenue during first quarter 2016</w:t>
      </w:r>
      <w:r>
        <w:rPr>
          <w:color w:val="231F20"/>
          <w:spacing w:val="28"/>
          <w:sz w:val="20"/>
        </w:rPr>
        <w:t> </w:t>
      </w:r>
      <w:r>
        <w:rPr>
          <w:color w:val="231F20"/>
          <w:sz w:val="20"/>
        </w:rPr>
        <w:t>of</w:t>
      </w:r>
      <w:r>
        <w:rPr>
          <w:color w:val="231F20"/>
          <w:spacing w:val="28"/>
          <w:sz w:val="20"/>
        </w:rPr>
        <w:t> </w:t>
      </w:r>
      <w:r>
        <w:rPr>
          <w:color w:val="231F20"/>
          <w:sz w:val="20"/>
        </w:rPr>
        <w:t>approximately</w:t>
      </w:r>
      <w:r>
        <w:rPr>
          <w:color w:val="231F20"/>
          <w:spacing w:val="30"/>
          <w:sz w:val="20"/>
        </w:rPr>
        <w:t> </w:t>
      </w:r>
      <w:r>
        <w:rPr>
          <w:color w:val="231F20"/>
          <w:sz w:val="20"/>
        </w:rPr>
        <w:t>$115</w:t>
      </w:r>
      <w:r>
        <w:rPr>
          <w:color w:val="231F20"/>
          <w:spacing w:val="28"/>
          <w:sz w:val="20"/>
        </w:rPr>
        <w:t> </w:t>
      </w:r>
      <w:r>
        <w:rPr>
          <w:color w:val="231F20"/>
          <w:sz w:val="20"/>
        </w:rPr>
        <w:t>million</w:t>
      </w:r>
      <w:r>
        <w:rPr>
          <w:color w:val="231F20"/>
          <w:spacing w:val="30"/>
          <w:sz w:val="20"/>
        </w:rPr>
        <w:t> </w:t>
      </w:r>
      <w:r>
        <w:rPr>
          <w:color w:val="231F20"/>
          <w:sz w:val="20"/>
        </w:rPr>
        <w:t>and</w:t>
      </w:r>
      <w:r>
        <w:rPr>
          <w:color w:val="231F20"/>
          <w:spacing w:val="28"/>
          <w:sz w:val="20"/>
        </w:rPr>
        <w:t> </w:t>
      </w:r>
      <w:r>
        <w:rPr>
          <w:color w:val="231F20"/>
          <w:sz w:val="20"/>
        </w:rPr>
        <w:t>increased</w:t>
      </w:r>
      <w:r>
        <w:rPr>
          <w:color w:val="231F20"/>
          <w:spacing w:val="29"/>
          <w:sz w:val="20"/>
        </w:rPr>
        <w:t> </w:t>
      </w:r>
      <w:r>
        <w:rPr>
          <w:color w:val="231F20"/>
          <w:sz w:val="20"/>
        </w:rPr>
        <w:t>Basic</w:t>
      </w:r>
      <w:r>
        <w:rPr>
          <w:color w:val="231F20"/>
          <w:spacing w:val="27"/>
          <w:sz w:val="20"/>
        </w:rPr>
        <w:t> </w:t>
      </w:r>
      <w:r>
        <w:rPr>
          <w:color w:val="231F20"/>
          <w:sz w:val="20"/>
        </w:rPr>
        <w:t>and</w:t>
      </w:r>
      <w:r>
        <w:rPr>
          <w:color w:val="231F20"/>
          <w:spacing w:val="27"/>
          <w:sz w:val="20"/>
        </w:rPr>
        <w:t> </w:t>
      </w:r>
      <w:r>
        <w:rPr>
          <w:color w:val="231F20"/>
          <w:sz w:val="20"/>
        </w:rPr>
        <w:t>Diluted</w:t>
      </w:r>
      <w:r>
        <w:rPr>
          <w:color w:val="231F20"/>
          <w:spacing w:val="28"/>
          <w:sz w:val="20"/>
        </w:rPr>
        <w:t> </w:t>
      </w:r>
      <w:r>
        <w:rPr>
          <w:color w:val="231F20"/>
          <w:sz w:val="20"/>
        </w:rPr>
        <w:t>net</w:t>
      </w:r>
      <w:r>
        <w:rPr>
          <w:color w:val="231F20"/>
          <w:spacing w:val="27"/>
          <w:sz w:val="20"/>
        </w:rPr>
        <w:t> </w:t>
      </w:r>
      <w:r>
        <w:rPr>
          <w:color w:val="231F20"/>
          <w:sz w:val="20"/>
        </w:rPr>
        <w:t>income</w:t>
      </w:r>
      <w:r>
        <w:rPr>
          <w:color w:val="231F20"/>
          <w:spacing w:val="28"/>
          <w:sz w:val="20"/>
        </w:rPr>
        <w:t> </w:t>
      </w:r>
      <w:r>
        <w:rPr>
          <w:color w:val="231F20"/>
          <w:sz w:val="20"/>
        </w:rPr>
        <w:t>per</w:t>
      </w:r>
      <w:r>
        <w:rPr>
          <w:color w:val="231F20"/>
          <w:spacing w:val="27"/>
          <w:sz w:val="20"/>
        </w:rPr>
        <w:t> </w:t>
      </w:r>
      <w:r>
        <w:rPr>
          <w:color w:val="231F20"/>
          <w:sz w:val="20"/>
        </w:rPr>
        <w:t>share</w:t>
      </w:r>
      <w:r>
        <w:rPr>
          <w:color w:val="231F20"/>
          <w:spacing w:val="28"/>
          <w:sz w:val="20"/>
        </w:rPr>
        <w:t> </w:t>
      </w:r>
      <w:r>
        <w:rPr>
          <w:color w:val="231F20"/>
          <w:sz w:val="20"/>
        </w:rPr>
        <w:t>by</w:t>
      </w:r>
      <w:r>
        <w:rPr>
          <w:color w:val="231F20"/>
          <w:spacing w:val="27"/>
          <w:sz w:val="20"/>
        </w:rPr>
        <w:t> </w:t>
      </w:r>
      <w:r>
        <w:rPr>
          <w:color w:val="231F20"/>
          <w:sz w:val="20"/>
        </w:rPr>
        <w:t>approximately</w:t>
      </w:r>
    </w:p>
    <w:p>
      <w:pPr>
        <w:spacing w:line="249" w:lineRule="auto" w:before="1"/>
        <w:ind w:left="120" w:right="117" w:firstLine="0"/>
        <w:jc w:val="both"/>
        <w:rPr>
          <w:sz w:val="20"/>
        </w:rPr>
      </w:pPr>
      <w:r>
        <w:rPr>
          <w:color w:val="231F20"/>
          <w:sz w:val="20"/>
        </w:rPr>
        <w:t>$.10 and $.09, respectively. The impact of this change resulted in an increase to Operating revenue during second quarter 2016 of approximately $137 million, and increased Basic and Diluted net income per share by approximately $.12 and $.11, respectively. See Note 1 for further detail.</w:t>
      </w:r>
    </w:p>
    <w:p>
      <w:pPr>
        <w:pStyle w:val="ListParagraph"/>
        <w:numPr>
          <w:ilvl w:val="0"/>
          <w:numId w:val="23"/>
        </w:numPr>
        <w:tabs>
          <w:tab w:pos="402" w:val="left" w:leader="none"/>
        </w:tabs>
        <w:spacing w:line="249" w:lineRule="auto" w:before="194" w:after="0"/>
        <w:ind w:left="120" w:right="118" w:firstLine="0"/>
        <w:jc w:val="both"/>
        <w:rPr>
          <w:sz w:val="20"/>
        </w:rPr>
      </w:pPr>
      <w:r>
        <w:rPr>
          <w:color w:val="231F20"/>
          <w:sz w:val="20"/>
        </w:rPr>
        <w:t>During</w:t>
      </w:r>
      <w:r>
        <w:rPr>
          <w:color w:val="231F20"/>
          <w:spacing w:val="-8"/>
          <w:sz w:val="20"/>
        </w:rPr>
        <w:t> </w:t>
      </w:r>
      <w:r>
        <w:rPr>
          <w:color w:val="231F20"/>
          <w:sz w:val="20"/>
        </w:rPr>
        <w:t>second</w:t>
      </w:r>
      <w:r>
        <w:rPr>
          <w:color w:val="231F20"/>
          <w:spacing w:val="-8"/>
          <w:sz w:val="20"/>
        </w:rPr>
        <w:t> </w:t>
      </w:r>
      <w:r>
        <w:rPr>
          <w:color w:val="231F20"/>
          <w:sz w:val="20"/>
        </w:rPr>
        <w:t>quarter</w:t>
      </w:r>
      <w:r>
        <w:rPr>
          <w:color w:val="231F20"/>
          <w:spacing w:val="-8"/>
          <w:sz w:val="20"/>
        </w:rPr>
        <w:t> </w:t>
      </w:r>
      <w:r>
        <w:rPr>
          <w:color w:val="231F20"/>
          <w:sz w:val="20"/>
        </w:rPr>
        <w:t>2016,</w:t>
      </w:r>
      <w:r>
        <w:rPr>
          <w:color w:val="231F20"/>
          <w:spacing w:val="-8"/>
          <w:sz w:val="20"/>
        </w:rPr>
        <w:t> </w:t>
      </w:r>
      <w:r>
        <w:rPr>
          <w:color w:val="231F20"/>
          <w:sz w:val="20"/>
        </w:rPr>
        <w:t>the</w:t>
      </w:r>
      <w:r>
        <w:rPr>
          <w:color w:val="231F20"/>
          <w:spacing w:val="-8"/>
          <w:sz w:val="20"/>
        </w:rPr>
        <w:t> </w:t>
      </w:r>
      <w:r>
        <w:rPr>
          <w:color w:val="231F20"/>
          <w:sz w:val="20"/>
        </w:rPr>
        <w:t>Company</w:t>
      </w:r>
      <w:r>
        <w:rPr>
          <w:color w:val="231F20"/>
          <w:spacing w:val="-8"/>
          <w:sz w:val="20"/>
        </w:rPr>
        <w:t> </w:t>
      </w:r>
      <w:r>
        <w:rPr>
          <w:color w:val="231F20"/>
          <w:sz w:val="20"/>
        </w:rPr>
        <w:t>early</w:t>
      </w:r>
      <w:r>
        <w:rPr>
          <w:color w:val="231F20"/>
          <w:spacing w:val="-8"/>
          <w:sz w:val="20"/>
        </w:rPr>
        <w:t> </w:t>
      </w:r>
      <w:r>
        <w:rPr>
          <w:color w:val="231F20"/>
          <w:sz w:val="20"/>
        </w:rPr>
        <w:t>adopted</w:t>
      </w:r>
      <w:r>
        <w:rPr>
          <w:color w:val="231F20"/>
          <w:spacing w:val="-8"/>
          <w:sz w:val="20"/>
        </w:rPr>
        <w:t> </w:t>
      </w:r>
      <w:r>
        <w:rPr>
          <w:color w:val="231F20"/>
          <w:sz w:val="20"/>
        </w:rPr>
        <w:t>ASU</w:t>
      </w:r>
      <w:r>
        <w:rPr>
          <w:color w:val="231F20"/>
          <w:spacing w:val="-9"/>
          <w:sz w:val="20"/>
        </w:rPr>
        <w:t> </w:t>
      </w:r>
      <w:r>
        <w:rPr>
          <w:color w:val="231F20"/>
          <w:sz w:val="20"/>
        </w:rPr>
        <w:t>No.</w:t>
      </w:r>
      <w:r>
        <w:rPr>
          <w:color w:val="231F20"/>
          <w:spacing w:val="-8"/>
          <w:sz w:val="20"/>
        </w:rPr>
        <w:t> </w:t>
      </w:r>
      <w:r>
        <w:rPr>
          <w:color w:val="231F20"/>
          <w:sz w:val="20"/>
        </w:rPr>
        <w:t>2016-09,</w:t>
      </w:r>
      <w:r>
        <w:rPr>
          <w:color w:val="231F20"/>
          <w:spacing w:val="-8"/>
          <w:sz w:val="20"/>
        </w:rPr>
        <w:t> </w:t>
      </w:r>
      <w:r>
        <w:rPr>
          <w:color w:val="231F20"/>
          <w:sz w:val="20"/>
        </w:rPr>
        <w:t>Improvements</w:t>
      </w:r>
      <w:r>
        <w:rPr>
          <w:color w:val="231F20"/>
          <w:spacing w:val="-8"/>
          <w:sz w:val="20"/>
        </w:rPr>
        <w:t> </w:t>
      </w:r>
      <w:r>
        <w:rPr>
          <w:color w:val="231F20"/>
          <w:sz w:val="20"/>
        </w:rPr>
        <w:t>to</w:t>
      </w:r>
      <w:r>
        <w:rPr>
          <w:color w:val="231F20"/>
          <w:spacing w:val="-9"/>
          <w:sz w:val="20"/>
        </w:rPr>
        <w:t> </w:t>
      </w:r>
      <w:r>
        <w:rPr>
          <w:color w:val="231F20"/>
          <w:sz w:val="20"/>
        </w:rPr>
        <w:t>Employee</w:t>
      </w:r>
      <w:r>
        <w:rPr>
          <w:color w:val="231F20"/>
          <w:spacing w:val="-9"/>
          <w:sz w:val="20"/>
        </w:rPr>
        <w:t> </w:t>
      </w:r>
      <w:r>
        <w:rPr>
          <w:color w:val="231F20"/>
          <w:spacing w:val="-3"/>
          <w:sz w:val="20"/>
        </w:rPr>
        <w:t>Share- </w:t>
      </w:r>
      <w:r>
        <w:rPr>
          <w:color w:val="231F20"/>
          <w:sz w:val="20"/>
        </w:rPr>
        <w:t>Based Payment Accounting, with an effective date as of January 1, 2016. The prospective method of adoption of this</w:t>
      </w:r>
      <w:r>
        <w:rPr>
          <w:color w:val="231F20"/>
          <w:spacing w:val="-7"/>
          <w:sz w:val="20"/>
        </w:rPr>
        <w:t> </w:t>
      </w:r>
      <w:r>
        <w:rPr>
          <w:color w:val="231F20"/>
          <w:sz w:val="20"/>
        </w:rPr>
        <w:t>standard</w:t>
      </w:r>
      <w:r>
        <w:rPr>
          <w:color w:val="231F20"/>
          <w:spacing w:val="-7"/>
          <w:sz w:val="20"/>
        </w:rPr>
        <w:t> </w:t>
      </w:r>
      <w:r>
        <w:rPr>
          <w:color w:val="231F20"/>
          <w:sz w:val="20"/>
        </w:rPr>
        <w:t>resulted</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recognition</w:t>
      </w:r>
      <w:r>
        <w:rPr>
          <w:color w:val="231F20"/>
          <w:spacing w:val="-7"/>
          <w:sz w:val="20"/>
        </w:rPr>
        <w:t> </w:t>
      </w:r>
      <w:r>
        <w:rPr>
          <w:color w:val="231F20"/>
          <w:sz w:val="20"/>
        </w:rPr>
        <w:t>of</w:t>
      </w:r>
      <w:r>
        <w:rPr>
          <w:color w:val="231F20"/>
          <w:spacing w:val="-7"/>
          <w:sz w:val="20"/>
        </w:rPr>
        <w:t> </w:t>
      </w:r>
      <w:r>
        <w:rPr>
          <w:color w:val="231F20"/>
          <w:sz w:val="20"/>
        </w:rPr>
        <w:t>$2</w:t>
      </w:r>
      <w:r>
        <w:rPr>
          <w:color w:val="231F20"/>
          <w:spacing w:val="-7"/>
          <w:sz w:val="20"/>
        </w:rPr>
        <w:t> </w:t>
      </w:r>
      <w:r>
        <w:rPr>
          <w:color w:val="231F20"/>
          <w:sz w:val="20"/>
        </w:rPr>
        <w:t>million</w:t>
      </w:r>
      <w:r>
        <w:rPr>
          <w:color w:val="231F20"/>
          <w:spacing w:val="-7"/>
          <w:sz w:val="20"/>
        </w:rPr>
        <w:t> </w:t>
      </w:r>
      <w:r>
        <w:rPr>
          <w:color w:val="231F20"/>
          <w:sz w:val="20"/>
        </w:rPr>
        <w:t>of</w:t>
      </w:r>
      <w:r>
        <w:rPr>
          <w:color w:val="231F20"/>
          <w:spacing w:val="-8"/>
          <w:sz w:val="20"/>
        </w:rPr>
        <w:t> </w:t>
      </w:r>
      <w:r>
        <w:rPr>
          <w:color w:val="231F20"/>
          <w:sz w:val="20"/>
        </w:rPr>
        <w:t>excess</w:t>
      </w:r>
      <w:r>
        <w:rPr>
          <w:color w:val="231F20"/>
          <w:spacing w:val="-8"/>
          <w:sz w:val="20"/>
        </w:rPr>
        <w:t> </w:t>
      </w:r>
      <w:r>
        <w:rPr>
          <w:color w:val="231F20"/>
          <w:sz w:val="20"/>
        </w:rPr>
        <w:t>tax</w:t>
      </w:r>
      <w:r>
        <w:rPr>
          <w:color w:val="231F20"/>
          <w:spacing w:val="-8"/>
          <w:sz w:val="20"/>
        </w:rPr>
        <w:t> </w:t>
      </w:r>
      <w:r>
        <w:rPr>
          <w:color w:val="231F20"/>
          <w:sz w:val="20"/>
        </w:rPr>
        <w:t>benefits</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Company’s</w:t>
      </w:r>
      <w:r>
        <w:rPr>
          <w:color w:val="231F20"/>
          <w:spacing w:val="-8"/>
          <w:sz w:val="20"/>
        </w:rPr>
        <w:t> </w:t>
      </w:r>
      <w:r>
        <w:rPr>
          <w:color w:val="231F20"/>
          <w:sz w:val="20"/>
        </w:rPr>
        <w:t>income</w:t>
      </w:r>
      <w:r>
        <w:rPr>
          <w:color w:val="231F20"/>
          <w:spacing w:val="-8"/>
          <w:sz w:val="20"/>
        </w:rPr>
        <w:t> </w:t>
      </w:r>
      <w:r>
        <w:rPr>
          <w:color w:val="231F20"/>
          <w:sz w:val="20"/>
        </w:rPr>
        <w:t>tax</w:t>
      </w:r>
      <w:r>
        <w:rPr>
          <w:color w:val="231F20"/>
          <w:spacing w:val="-8"/>
          <w:sz w:val="20"/>
        </w:rPr>
        <w:t> </w:t>
      </w:r>
      <w:r>
        <w:rPr>
          <w:color w:val="231F20"/>
          <w:sz w:val="20"/>
        </w:rPr>
        <w:t>provision for the six months ended June 30, 2016, but which were related to first quarter 2016. For this presentation and in future</w:t>
      </w:r>
      <w:r>
        <w:rPr>
          <w:color w:val="231F20"/>
          <w:spacing w:val="-8"/>
          <w:sz w:val="20"/>
        </w:rPr>
        <w:t> </w:t>
      </w:r>
      <w:r>
        <w:rPr>
          <w:color w:val="231F20"/>
          <w:sz w:val="20"/>
        </w:rPr>
        <w:t>periods</w:t>
      </w:r>
      <w:r>
        <w:rPr>
          <w:color w:val="231F20"/>
          <w:spacing w:val="-8"/>
          <w:sz w:val="20"/>
        </w:rPr>
        <w:t> </w:t>
      </w:r>
      <w:r>
        <w:rPr>
          <w:color w:val="231F20"/>
          <w:sz w:val="20"/>
        </w:rPr>
        <w:t>in</w:t>
      </w:r>
      <w:r>
        <w:rPr>
          <w:color w:val="231F20"/>
          <w:spacing w:val="-8"/>
          <w:sz w:val="20"/>
        </w:rPr>
        <w:t> </w:t>
      </w:r>
      <w:r>
        <w:rPr>
          <w:color w:val="231F20"/>
          <w:sz w:val="20"/>
        </w:rPr>
        <w:t>which</w:t>
      </w:r>
      <w:r>
        <w:rPr>
          <w:color w:val="231F20"/>
          <w:spacing w:val="-8"/>
          <w:sz w:val="20"/>
        </w:rPr>
        <w:t> </w:t>
      </w:r>
      <w:r>
        <w:rPr>
          <w:color w:val="231F20"/>
          <w:sz w:val="20"/>
        </w:rPr>
        <w:t>first</w:t>
      </w:r>
      <w:r>
        <w:rPr>
          <w:color w:val="231F20"/>
          <w:spacing w:val="-8"/>
          <w:sz w:val="20"/>
        </w:rPr>
        <w:t> </w:t>
      </w:r>
      <w:r>
        <w:rPr>
          <w:color w:val="231F20"/>
          <w:sz w:val="20"/>
        </w:rPr>
        <w:t>quarter</w:t>
      </w:r>
      <w:r>
        <w:rPr>
          <w:color w:val="231F20"/>
          <w:spacing w:val="-8"/>
          <w:sz w:val="20"/>
        </w:rPr>
        <w:t> </w:t>
      </w:r>
      <w:r>
        <w:rPr>
          <w:color w:val="231F20"/>
          <w:sz w:val="20"/>
        </w:rPr>
        <w:t>2016</w:t>
      </w:r>
      <w:r>
        <w:rPr>
          <w:color w:val="231F20"/>
          <w:spacing w:val="-8"/>
          <w:sz w:val="20"/>
        </w:rPr>
        <w:t> </w:t>
      </w:r>
      <w:r>
        <w:rPr>
          <w:color w:val="231F20"/>
          <w:sz w:val="20"/>
        </w:rPr>
        <w:t>results</w:t>
      </w:r>
      <w:r>
        <w:rPr>
          <w:color w:val="231F20"/>
          <w:spacing w:val="-8"/>
          <w:sz w:val="20"/>
        </w:rPr>
        <w:t> </w:t>
      </w:r>
      <w:r>
        <w:rPr>
          <w:color w:val="231F20"/>
          <w:sz w:val="20"/>
        </w:rPr>
        <w:t>are</w:t>
      </w:r>
      <w:r>
        <w:rPr>
          <w:color w:val="231F20"/>
          <w:spacing w:val="-8"/>
          <w:sz w:val="20"/>
        </w:rPr>
        <w:t> </w:t>
      </w:r>
      <w:r>
        <w:rPr>
          <w:color w:val="231F20"/>
          <w:sz w:val="20"/>
        </w:rPr>
        <w:t>reported,</w:t>
      </w:r>
      <w:r>
        <w:rPr>
          <w:color w:val="231F20"/>
          <w:spacing w:val="-8"/>
          <w:sz w:val="20"/>
        </w:rPr>
        <w:t> </w:t>
      </w:r>
      <w:r>
        <w:rPr>
          <w:color w:val="231F20"/>
          <w:sz w:val="20"/>
        </w:rPr>
        <w:t>these</w:t>
      </w:r>
      <w:r>
        <w:rPr>
          <w:color w:val="231F20"/>
          <w:spacing w:val="-8"/>
          <w:sz w:val="20"/>
        </w:rPr>
        <w:t> </w:t>
      </w:r>
      <w:r>
        <w:rPr>
          <w:color w:val="231F20"/>
          <w:sz w:val="20"/>
        </w:rPr>
        <w:t>amounts</w:t>
      </w:r>
      <w:r>
        <w:rPr>
          <w:color w:val="231F20"/>
          <w:spacing w:val="-8"/>
          <w:sz w:val="20"/>
        </w:rPr>
        <w:t> </w:t>
      </w:r>
      <w:r>
        <w:rPr>
          <w:color w:val="231F20"/>
          <w:sz w:val="20"/>
        </w:rPr>
        <w:t>are</w:t>
      </w:r>
      <w:r>
        <w:rPr>
          <w:color w:val="231F20"/>
          <w:spacing w:val="-8"/>
          <w:sz w:val="20"/>
        </w:rPr>
        <w:t> </w:t>
      </w:r>
      <w:r>
        <w:rPr>
          <w:color w:val="231F20"/>
          <w:sz w:val="20"/>
        </w:rPr>
        <w:t>reflected</w:t>
      </w:r>
      <w:r>
        <w:rPr>
          <w:color w:val="231F20"/>
          <w:spacing w:val="-8"/>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appropriate</w:t>
      </w:r>
      <w:r>
        <w:rPr>
          <w:color w:val="231F20"/>
          <w:spacing w:val="-9"/>
          <w:sz w:val="20"/>
        </w:rPr>
        <w:t> </w:t>
      </w:r>
      <w:r>
        <w:rPr>
          <w:color w:val="231F20"/>
          <w:sz w:val="20"/>
        </w:rPr>
        <w:t>period. The</w:t>
      </w:r>
      <w:r>
        <w:rPr>
          <w:color w:val="231F20"/>
          <w:spacing w:val="-11"/>
          <w:sz w:val="20"/>
        </w:rPr>
        <w:t> </w:t>
      </w:r>
      <w:r>
        <w:rPr>
          <w:color w:val="231F20"/>
          <w:sz w:val="20"/>
        </w:rPr>
        <w:t>adoption</w:t>
      </w:r>
      <w:r>
        <w:rPr>
          <w:color w:val="231F20"/>
          <w:spacing w:val="-11"/>
          <w:sz w:val="20"/>
        </w:rPr>
        <w:t> </w:t>
      </w:r>
      <w:r>
        <w:rPr>
          <w:color w:val="231F20"/>
          <w:sz w:val="20"/>
        </w:rPr>
        <w:t>had</w:t>
      </w:r>
      <w:r>
        <w:rPr>
          <w:color w:val="231F20"/>
          <w:spacing w:val="-11"/>
          <w:sz w:val="20"/>
        </w:rPr>
        <w:t> </w:t>
      </w:r>
      <w:r>
        <w:rPr>
          <w:color w:val="231F20"/>
          <w:sz w:val="20"/>
        </w:rPr>
        <w:t>no</w:t>
      </w:r>
      <w:r>
        <w:rPr>
          <w:color w:val="231F20"/>
          <w:spacing w:val="-11"/>
          <w:sz w:val="20"/>
        </w:rPr>
        <w:t> </w:t>
      </w:r>
      <w:r>
        <w:rPr>
          <w:color w:val="231F20"/>
          <w:sz w:val="20"/>
        </w:rPr>
        <w:t>impact</w:t>
      </w:r>
      <w:r>
        <w:rPr>
          <w:color w:val="231F20"/>
          <w:spacing w:val="-11"/>
          <w:sz w:val="20"/>
        </w:rPr>
        <w:t> </w:t>
      </w:r>
      <w:r>
        <w:rPr>
          <w:color w:val="231F20"/>
          <w:sz w:val="20"/>
        </w:rPr>
        <w:t>to</w:t>
      </w:r>
      <w:r>
        <w:rPr>
          <w:color w:val="231F20"/>
          <w:spacing w:val="-11"/>
          <w:sz w:val="20"/>
        </w:rPr>
        <w:t> </w:t>
      </w:r>
      <w:r>
        <w:rPr>
          <w:color w:val="231F20"/>
          <w:sz w:val="20"/>
        </w:rPr>
        <w:t>net</w:t>
      </w:r>
      <w:r>
        <w:rPr>
          <w:color w:val="231F20"/>
          <w:spacing w:val="-11"/>
          <w:sz w:val="20"/>
        </w:rPr>
        <w:t> </w:t>
      </w:r>
      <w:r>
        <w:rPr>
          <w:color w:val="231F20"/>
          <w:sz w:val="20"/>
        </w:rPr>
        <w:t>income</w:t>
      </w:r>
      <w:r>
        <w:rPr>
          <w:color w:val="231F20"/>
          <w:spacing w:val="-11"/>
          <w:sz w:val="20"/>
        </w:rPr>
        <w:t> </w:t>
      </w:r>
      <w:r>
        <w:rPr>
          <w:color w:val="231F20"/>
          <w:sz w:val="20"/>
        </w:rPr>
        <w:t>per</w:t>
      </w:r>
      <w:r>
        <w:rPr>
          <w:color w:val="231F20"/>
          <w:spacing w:val="-11"/>
          <w:sz w:val="20"/>
        </w:rPr>
        <w:t> </w:t>
      </w:r>
      <w:r>
        <w:rPr>
          <w:color w:val="231F20"/>
          <w:sz w:val="20"/>
        </w:rPr>
        <w:t>share</w:t>
      </w:r>
      <w:r>
        <w:rPr>
          <w:color w:val="231F20"/>
          <w:spacing w:val="-11"/>
          <w:sz w:val="20"/>
        </w:rPr>
        <w:t> </w:t>
      </w:r>
      <w:r>
        <w:rPr>
          <w:color w:val="231F20"/>
          <w:sz w:val="20"/>
        </w:rPr>
        <w:t>amounts.</w:t>
      </w:r>
      <w:r>
        <w:rPr>
          <w:color w:val="231F20"/>
          <w:spacing w:val="-11"/>
          <w:sz w:val="20"/>
        </w:rPr>
        <w:t> </w:t>
      </w:r>
      <w:r>
        <w:rPr>
          <w:color w:val="231F20"/>
          <w:sz w:val="20"/>
        </w:rPr>
        <w:t>See</w:t>
      </w:r>
      <w:r>
        <w:rPr>
          <w:color w:val="231F20"/>
          <w:spacing w:val="-11"/>
          <w:sz w:val="20"/>
        </w:rPr>
        <w:t> </w:t>
      </w:r>
      <w:r>
        <w:rPr>
          <w:color w:val="231F20"/>
          <w:sz w:val="20"/>
        </w:rPr>
        <w:t>Note</w:t>
      </w:r>
      <w:r>
        <w:rPr>
          <w:color w:val="231F20"/>
          <w:spacing w:val="-11"/>
          <w:sz w:val="20"/>
        </w:rPr>
        <w:t> </w:t>
      </w:r>
      <w:r>
        <w:rPr>
          <w:color w:val="231F20"/>
          <w:sz w:val="20"/>
        </w:rPr>
        <w:t>2</w:t>
      </w:r>
      <w:r>
        <w:rPr>
          <w:color w:val="231F20"/>
          <w:spacing w:val="-11"/>
          <w:sz w:val="20"/>
        </w:rPr>
        <w:t> </w:t>
      </w:r>
      <w:r>
        <w:rPr>
          <w:color w:val="231F20"/>
          <w:sz w:val="20"/>
        </w:rPr>
        <w:t>for</w:t>
      </w:r>
      <w:r>
        <w:rPr>
          <w:color w:val="231F20"/>
          <w:spacing w:val="-11"/>
          <w:sz w:val="20"/>
        </w:rPr>
        <w:t> </w:t>
      </w:r>
      <w:r>
        <w:rPr>
          <w:color w:val="231F20"/>
          <w:sz w:val="20"/>
        </w:rPr>
        <w:t>further</w:t>
      </w:r>
      <w:r>
        <w:rPr>
          <w:color w:val="231F20"/>
          <w:spacing w:val="-11"/>
          <w:sz w:val="20"/>
        </w:rPr>
        <w:t> </w:t>
      </w:r>
      <w:r>
        <w:rPr>
          <w:color w:val="231F20"/>
          <w:spacing w:val="-2"/>
          <w:sz w:val="20"/>
        </w:rPr>
        <w:t>information.</w:t>
      </w:r>
    </w:p>
    <w:p>
      <w:pPr>
        <w:pStyle w:val="Heading2"/>
        <w:tabs>
          <w:tab w:pos="1329" w:val="left" w:leader="none"/>
        </w:tabs>
        <w:spacing w:line="247" w:lineRule="auto" w:before="195"/>
        <w:ind w:left="1330" w:right="772" w:hanging="1210"/>
      </w:pPr>
      <w:r>
        <w:rPr>
          <w:i w:val="0"/>
          <w:color w:val="231F20"/>
        </w:rPr>
        <w:t>Item 9.</w:t>
        <w:tab/>
      </w:r>
      <w:r>
        <w:rPr>
          <w:i/>
          <w:color w:val="231F20"/>
        </w:rPr>
        <w:t>Changes in and Disagreements With Accountants on Accounting</w:t>
      </w:r>
      <w:r>
        <w:rPr>
          <w:i/>
          <w:color w:val="231F20"/>
          <w:spacing w:val="-5"/>
        </w:rPr>
        <w:t> </w:t>
      </w:r>
      <w:r>
        <w:rPr>
          <w:i/>
          <w:color w:val="231F20"/>
        </w:rPr>
        <w:t>and</w:t>
      </w:r>
      <w:r>
        <w:rPr>
          <w:i/>
          <w:color w:val="231F20"/>
          <w:spacing w:val="-1"/>
        </w:rPr>
        <w:t> </w:t>
      </w:r>
      <w:r>
        <w:rPr>
          <w:i/>
          <w:color w:val="231F20"/>
        </w:rPr>
        <w:t>Financial</w:t>
      </w:r>
      <w:r>
        <w:rPr>
          <w:color w:val="231F20"/>
        </w:rPr>
        <w:t> Disclosure</w:t>
      </w:r>
    </w:p>
    <w:p>
      <w:pPr>
        <w:pStyle w:val="BodyText"/>
        <w:spacing w:before="95"/>
        <w:ind w:left="839"/>
      </w:pPr>
      <w:r>
        <w:rPr>
          <w:color w:val="231F20"/>
        </w:rPr>
        <w:t>None.</w:t>
      </w:r>
    </w:p>
    <w:p>
      <w:pPr>
        <w:pStyle w:val="BodyText"/>
        <w:spacing w:before="9"/>
        <w:rPr>
          <w:sz w:val="25"/>
        </w:rPr>
      </w:pPr>
    </w:p>
    <w:p>
      <w:pPr>
        <w:spacing w:before="0"/>
        <w:ind w:left="120" w:right="0" w:firstLine="0"/>
        <w:jc w:val="both"/>
        <w:rPr>
          <w:b/>
          <w:i/>
          <w:sz w:val="22"/>
        </w:rPr>
      </w:pPr>
      <w:r>
        <w:rPr>
          <w:b/>
          <w:color w:val="231F20"/>
          <w:sz w:val="22"/>
        </w:rPr>
        <w:t>Item 9A.       </w:t>
      </w:r>
      <w:r>
        <w:rPr>
          <w:b/>
          <w:i/>
          <w:color w:val="231F20"/>
          <w:sz w:val="22"/>
        </w:rPr>
        <w:t>Controls and Procedures</w:t>
      </w:r>
    </w:p>
    <w:p>
      <w:pPr>
        <w:spacing w:line="247" w:lineRule="auto" w:before="199"/>
        <w:ind w:left="120" w:right="118" w:firstLine="0"/>
        <w:jc w:val="both"/>
        <w:rPr>
          <w:sz w:val="22"/>
        </w:rPr>
      </w:pPr>
      <w:r>
        <w:rPr>
          <w:i/>
          <w:color w:val="231F20"/>
          <w:sz w:val="22"/>
        </w:rPr>
        <w:t>Evaluation of Disclosure Controls and Procedures. </w:t>
      </w:r>
      <w:r>
        <w:rPr>
          <w:color w:val="231F20"/>
          <w:sz w:val="22"/>
        </w:rPr>
        <w:t>The Company maintains disclosure controls and procedures  (as  defined  in  Rule  13a-15(e)  of  the  Securities  Exchange  Act  (the  “Exchange Act”))</w:t>
      </w:r>
    </w:p>
    <w:p>
      <w:pPr>
        <w:spacing w:after="0" w:line="247" w:lineRule="auto"/>
        <w:jc w:val="both"/>
        <w:rPr>
          <w:sz w:val="22"/>
        </w:rPr>
        <w:sectPr>
          <w:pgSz w:w="11880" w:h="15480"/>
          <w:pgMar w:header="0" w:footer="1240" w:top="1240" w:bottom="1420" w:left="1260" w:right="1260"/>
        </w:sectPr>
      </w:pPr>
    </w:p>
    <w:p>
      <w:pPr>
        <w:pStyle w:val="BodyText"/>
        <w:spacing w:line="247" w:lineRule="auto" w:before="74"/>
        <w:ind w:left="100" w:right="118"/>
        <w:jc w:val="both"/>
      </w:pPr>
      <w:bookmarkStart w:name="Item 9B. Other Information " w:id="43"/>
      <w:bookmarkEnd w:id="43"/>
      <w:r>
        <w:rPr/>
      </w:r>
      <w:r>
        <w:rPr>
          <w:color w:val="231F20"/>
        </w:rPr>
        <w:t>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 disclosure. Management, with the participation of the Company’s Chief Executive Officer and Chief Financial Officer, evaluated the effectiveness of the Company’s disclosure controls and procedures as of December 31, 2016. Based on this evaluation, the Company’s Chief Executive Officer and Chief Financial Officer have concluded that the Company’s disclosure controls and procedures were effective as of December 31, 2016, at the reasonable assurance</w:t>
      </w:r>
      <w:r>
        <w:rPr>
          <w:color w:val="231F20"/>
          <w:spacing w:val="2"/>
        </w:rPr>
        <w:t> </w:t>
      </w:r>
      <w:r>
        <w:rPr>
          <w:color w:val="231F20"/>
        </w:rPr>
        <w:t>level.</w:t>
      </w:r>
    </w:p>
    <w:p>
      <w:pPr>
        <w:pStyle w:val="BodyText"/>
        <w:spacing w:before="9"/>
        <w:rPr>
          <w:sz w:val="20"/>
        </w:rPr>
      </w:pPr>
    </w:p>
    <w:p>
      <w:pPr>
        <w:pStyle w:val="BodyText"/>
        <w:spacing w:line="247" w:lineRule="auto"/>
        <w:ind w:left="100" w:right="117"/>
        <w:jc w:val="both"/>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 States.</w:t>
      </w:r>
    </w:p>
    <w:p>
      <w:pPr>
        <w:pStyle w:val="BodyText"/>
        <w:spacing w:before="9"/>
        <w:rPr>
          <w:sz w:val="20"/>
        </w:rPr>
      </w:pPr>
    </w:p>
    <w:p>
      <w:pPr>
        <w:pStyle w:val="BodyText"/>
        <w:spacing w:line="247" w:lineRule="auto"/>
        <w:ind w:left="100" w:right="118"/>
        <w:jc w:val="both"/>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9"/>
        <w:rPr>
          <w:sz w:val="20"/>
        </w:rPr>
      </w:pPr>
    </w:p>
    <w:p>
      <w:pPr>
        <w:pStyle w:val="BodyText"/>
        <w:spacing w:line="247" w:lineRule="auto"/>
        <w:ind w:left="100" w:right="117"/>
        <w:jc w:val="both"/>
      </w:pPr>
      <w:r>
        <w:rPr>
          <w:color w:val="231F20"/>
        </w:rPr>
        <w:t>Management, with the participation of the Company’s Chief Executive Officer and Chief Financial Officer, evaluated the effectiveness of the Company’s internal control over financial reporting as of December 31, 2016. In making this assessment, management used the criteria set forth by the Committee of Sponsoring  Organizations  of  the  Treadway  Commission  (COSO)  in  Internal Control - Integrated Framework (2013 Framework). Based on this evaluation, management, with the participation of the Company’s Chief Executive Officer and Chief Financial Officer, concluded that, as of December 31, 2016, the Company’s internal control over financial reporting was</w:t>
      </w:r>
      <w:r>
        <w:rPr>
          <w:color w:val="231F20"/>
          <w:spacing w:val="-3"/>
        </w:rPr>
        <w:t> </w:t>
      </w:r>
      <w:r>
        <w:rPr>
          <w:color w:val="231F20"/>
        </w:rPr>
        <w:t>effective.</w:t>
      </w:r>
    </w:p>
    <w:p>
      <w:pPr>
        <w:pStyle w:val="BodyText"/>
        <w:spacing w:before="9"/>
        <w:rPr>
          <w:sz w:val="20"/>
        </w:rPr>
      </w:pPr>
    </w:p>
    <w:p>
      <w:pPr>
        <w:pStyle w:val="BodyText"/>
        <w:spacing w:line="247" w:lineRule="auto"/>
        <w:ind w:left="100" w:right="118"/>
        <w:jc w:val="both"/>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9"/>
        <w:rPr>
          <w:sz w:val="20"/>
        </w:rPr>
      </w:pPr>
    </w:p>
    <w:p>
      <w:pPr>
        <w:pStyle w:val="BodyText"/>
        <w:spacing w:line="247" w:lineRule="auto"/>
        <w:ind w:left="100" w:right="117"/>
        <w:jc w:val="both"/>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2016, that have materially affected, or are reasonably likely to materially affect, the Company’s internal control over financial reporting.</w:t>
      </w:r>
    </w:p>
    <w:p>
      <w:pPr>
        <w:pStyle w:val="BodyText"/>
        <w:spacing w:before="3"/>
        <w:rPr>
          <w:sz w:val="31"/>
        </w:rPr>
      </w:pPr>
    </w:p>
    <w:p>
      <w:pPr>
        <w:tabs>
          <w:tab w:pos="1511" w:val="left" w:leader="none"/>
        </w:tabs>
        <w:spacing w:before="0"/>
        <w:ind w:left="100" w:right="0" w:firstLine="0"/>
        <w:jc w:val="both"/>
        <w:rPr>
          <w:b/>
          <w:i/>
          <w:sz w:val="22"/>
        </w:rPr>
      </w:pPr>
      <w:r>
        <w:rPr>
          <w:b/>
          <w:color w:val="231F20"/>
          <w:sz w:val="22"/>
        </w:rPr>
        <w:t>Item 9B.</w:t>
        <w:tab/>
      </w:r>
      <w:r>
        <w:rPr>
          <w:b/>
          <w:i/>
          <w:color w:val="231F20"/>
          <w:sz w:val="22"/>
        </w:rPr>
        <w:t>Other</w:t>
      </w:r>
      <w:r>
        <w:rPr>
          <w:b/>
          <w:i/>
          <w:color w:val="231F20"/>
          <w:spacing w:val="-1"/>
          <w:sz w:val="22"/>
        </w:rPr>
        <w:t> </w:t>
      </w:r>
      <w:r>
        <w:rPr>
          <w:b/>
          <w:i/>
          <w:color w:val="231F20"/>
          <w:sz w:val="22"/>
        </w:rPr>
        <w:t>Information</w:t>
      </w:r>
    </w:p>
    <w:p>
      <w:pPr>
        <w:pStyle w:val="BodyText"/>
        <w:spacing w:before="127"/>
        <w:ind w:left="819"/>
      </w:pPr>
      <w:r>
        <w:rPr>
          <w:color w:val="231F20"/>
        </w:rPr>
        <w:t>None.</w:t>
      </w:r>
    </w:p>
    <w:p>
      <w:pPr>
        <w:spacing w:after="0"/>
        <w:sectPr>
          <w:pgSz w:w="11880" w:h="15480"/>
          <w:pgMar w:header="0" w:footer="1240" w:top="1240" w:bottom="1420" w:left="1280" w:right="1260"/>
        </w:sectPr>
      </w:pPr>
    </w:p>
    <w:p>
      <w:pPr>
        <w:pStyle w:val="Heading1"/>
        <w:spacing w:before="74"/>
        <w:ind w:left="1225" w:right="1244"/>
        <w:jc w:val="center"/>
      </w:pPr>
      <w:bookmarkStart w:name="Part III " w:id="44"/>
      <w:bookmarkEnd w:id="44"/>
      <w:r>
        <w:rPr>
          <w:b w:val="0"/>
        </w:rPr>
      </w:r>
      <w:bookmarkStart w:name="Item 10. Directors, Executive Officers, " w:id="45"/>
      <w:bookmarkEnd w:id="45"/>
      <w:r>
        <w:rPr>
          <w:b w:val="0"/>
        </w:rPr>
      </w:r>
      <w:bookmarkStart w:name="Item 11. Executive Compensation " w:id="46"/>
      <w:bookmarkEnd w:id="46"/>
      <w:r>
        <w:rPr>
          <w:b w:val="0"/>
        </w:rPr>
      </w:r>
      <w:bookmarkStart w:name="Item 12. Security Ownership of Certain B" w:id="47"/>
      <w:bookmarkEnd w:id="47"/>
      <w:r>
        <w:rPr>
          <w:b w:val="0"/>
        </w:rPr>
      </w:r>
      <w:r>
        <w:rPr>
          <w:color w:val="231F20"/>
        </w:rPr>
        <w:t>PART III</w:t>
      </w:r>
    </w:p>
    <w:p>
      <w:pPr>
        <w:pStyle w:val="BodyText"/>
        <w:spacing w:before="10"/>
        <w:rPr>
          <w:b/>
          <w:sz w:val="18"/>
        </w:rPr>
      </w:pPr>
    </w:p>
    <w:p>
      <w:pPr>
        <w:pStyle w:val="Heading2"/>
        <w:tabs>
          <w:tab w:pos="1584" w:val="left" w:leader="none"/>
        </w:tabs>
        <w:ind w:left="100"/>
        <w:jc w:val="both"/>
        <w:rPr>
          <w:i/>
        </w:rPr>
      </w:pPr>
      <w:r>
        <w:rPr>
          <w:i w:val="0"/>
          <w:color w:val="231F20"/>
        </w:rPr>
        <w:t>Item 10.</w:t>
        <w:tab/>
      </w:r>
      <w:r>
        <w:rPr>
          <w:i/>
          <w:color w:val="231F20"/>
        </w:rPr>
        <w:t>Directors, Executive Officers, and Corporate</w:t>
      </w:r>
      <w:r>
        <w:rPr>
          <w:i/>
          <w:color w:val="231F20"/>
          <w:spacing w:val="1"/>
        </w:rPr>
        <w:t> </w:t>
      </w:r>
      <w:r>
        <w:rPr>
          <w:i/>
          <w:color w:val="231F20"/>
        </w:rPr>
        <w:t>Governance</w:t>
      </w:r>
    </w:p>
    <w:p>
      <w:pPr>
        <w:pStyle w:val="BodyText"/>
        <w:spacing w:before="1"/>
        <w:rPr>
          <w:b/>
          <w:i/>
          <w:sz w:val="28"/>
        </w:rPr>
      </w:pPr>
    </w:p>
    <w:p>
      <w:pPr>
        <w:spacing w:before="0"/>
        <w:ind w:left="100" w:right="0" w:firstLine="0"/>
        <w:jc w:val="both"/>
        <w:rPr>
          <w:b/>
          <w:sz w:val="22"/>
        </w:rPr>
      </w:pPr>
      <w:r>
        <w:rPr>
          <w:b/>
          <w:color w:val="231F20"/>
          <w:sz w:val="22"/>
        </w:rPr>
        <w:t>Directors and Executive Officers</w:t>
      </w:r>
    </w:p>
    <w:p>
      <w:pPr>
        <w:pStyle w:val="BodyText"/>
        <w:spacing w:before="10"/>
        <w:rPr>
          <w:b/>
          <w:sz w:val="18"/>
        </w:rPr>
      </w:pPr>
    </w:p>
    <w:p>
      <w:pPr>
        <w:pStyle w:val="BodyText"/>
        <w:spacing w:line="247" w:lineRule="auto"/>
        <w:ind w:left="100" w:right="118"/>
        <w:jc w:val="both"/>
      </w:pPr>
      <w:r>
        <w:rPr>
          <w:color w:val="231F20"/>
        </w:rPr>
        <w:t>The information required by this Item 10 regarding the Company’s directors will be set forth under the heading “Proposal 1 — Election of Directors” in the Proxy Statement for the Company’s 2017 Annual Meeting of Shareholders and is incorporated herein by reference. The information required by this  Item 10 regarding the Company’s executive officers is set forth under the heading “Executive Officers of the Registrant” in Part I of this Form 10-K and is incorporated herein by</w:t>
      </w:r>
      <w:r>
        <w:rPr>
          <w:color w:val="231F20"/>
          <w:spacing w:val="-7"/>
        </w:rPr>
        <w:t> </w:t>
      </w:r>
      <w:r>
        <w:rPr>
          <w:color w:val="231F20"/>
        </w:rPr>
        <w:t>reference.</w:t>
      </w:r>
    </w:p>
    <w:p>
      <w:pPr>
        <w:pStyle w:val="BodyText"/>
        <w:spacing w:before="5"/>
        <w:rPr>
          <w:sz w:val="27"/>
        </w:rPr>
      </w:pPr>
    </w:p>
    <w:p>
      <w:pPr>
        <w:pStyle w:val="Heading1"/>
        <w:spacing w:before="1"/>
      </w:pPr>
      <w:r>
        <w:rPr>
          <w:color w:val="231F20"/>
        </w:rPr>
        <w:t>Section 16(a) Compliance</w:t>
      </w:r>
    </w:p>
    <w:p>
      <w:pPr>
        <w:pStyle w:val="BodyText"/>
        <w:spacing w:before="11"/>
        <w:rPr>
          <w:b/>
          <w:sz w:val="18"/>
        </w:rPr>
      </w:pPr>
    </w:p>
    <w:p>
      <w:pPr>
        <w:pStyle w:val="BodyText"/>
        <w:spacing w:line="247" w:lineRule="auto"/>
        <w:ind w:left="100" w:right="118"/>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2017 Annual Meeting of Shareholders and is incorporated herein by reference.</w:t>
      </w:r>
    </w:p>
    <w:p>
      <w:pPr>
        <w:pStyle w:val="BodyText"/>
        <w:spacing w:before="6"/>
        <w:rPr>
          <w:sz w:val="27"/>
        </w:rPr>
      </w:pPr>
    </w:p>
    <w:p>
      <w:pPr>
        <w:pStyle w:val="Heading1"/>
      </w:pPr>
      <w:r>
        <w:rPr>
          <w:color w:val="231F20"/>
        </w:rPr>
        <w:t>Corporate Governance</w:t>
      </w:r>
    </w:p>
    <w:p>
      <w:pPr>
        <w:pStyle w:val="BodyText"/>
        <w:spacing w:before="11"/>
        <w:rPr>
          <w:b/>
          <w:sz w:val="18"/>
        </w:rPr>
      </w:pPr>
    </w:p>
    <w:p>
      <w:pPr>
        <w:pStyle w:val="BodyText"/>
        <w:spacing w:line="247" w:lineRule="auto"/>
        <w:ind w:left="100" w:right="117"/>
        <w:jc w:val="both"/>
      </w:pPr>
      <w:r>
        <w:rPr>
          <w:color w:val="231F20"/>
        </w:rPr>
        <w:t>Except as set forth in the following paragraph, the remaining information required by this Item 10 will be set forth under the heading “Corporate Governance” in the Proxy Statement for the Company’s  2017 Annual Meeting of Shareholders and is incorporated herein by</w:t>
      </w:r>
      <w:r>
        <w:rPr>
          <w:color w:val="231F20"/>
          <w:spacing w:val="-1"/>
        </w:rPr>
        <w:t> </w:t>
      </w:r>
      <w:r>
        <w:rPr>
          <w:color w:val="231F20"/>
        </w:rPr>
        <w:t>reference.</w:t>
      </w:r>
    </w:p>
    <w:p>
      <w:pPr>
        <w:pStyle w:val="BodyText"/>
        <w:spacing w:line="247" w:lineRule="auto" w:before="210"/>
        <w:ind w:left="100" w:right="117"/>
        <w:jc w:val="both"/>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17">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17">
        <w:r>
          <w:rPr>
            <w:color w:val="231F20"/>
          </w:rPr>
          <w:t>www.southwest.com,</w:t>
        </w:r>
      </w:hyperlink>
      <w:r>
        <w:rPr>
          <w:color w:val="231F20"/>
        </w:rPr>
        <w:t> under the “About Southwest” caption, promptly following the date of any such amendment or</w:t>
      </w:r>
      <w:r>
        <w:rPr>
          <w:color w:val="231F20"/>
          <w:spacing w:val="-1"/>
        </w:rPr>
        <w:t> </w:t>
      </w:r>
      <w:r>
        <w:rPr>
          <w:color w:val="231F20"/>
        </w:rPr>
        <w:t>waiver.</w:t>
      </w:r>
    </w:p>
    <w:p>
      <w:pPr>
        <w:tabs>
          <w:tab w:pos="1584" w:val="left" w:leader="none"/>
        </w:tabs>
        <w:spacing w:before="210"/>
        <w:ind w:left="100" w:right="0" w:firstLine="0"/>
        <w:jc w:val="both"/>
        <w:rPr>
          <w:b/>
          <w:i/>
          <w:sz w:val="22"/>
        </w:rPr>
      </w:pPr>
      <w:r>
        <w:rPr>
          <w:b/>
          <w:color w:val="231F20"/>
          <w:sz w:val="22"/>
        </w:rPr>
        <w:t>Item 11.</w:t>
        <w:tab/>
      </w:r>
      <w:r>
        <w:rPr>
          <w:b/>
          <w:i/>
          <w:color w:val="231F20"/>
          <w:sz w:val="22"/>
        </w:rPr>
        <w:t>Executive Compensation</w:t>
      </w:r>
    </w:p>
    <w:p>
      <w:pPr>
        <w:pStyle w:val="BodyText"/>
        <w:spacing w:before="11"/>
        <w:rPr>
          <w:b/>
          <w:i/>
          <w:sz w:val="18"/>
        </w:rPr>
      </w:pPr>
    </w:p>
    <w:p>
      <w:pPr>
        <w:pStyle w:val="BodyText"/>
        <w:spacing w:line="247" w:lineRule="auto"/>
        <w:ind w:left="100" w:right="117"/>
        <w:jc w:val="both"/>
      </w:pPr>
      <w:r>
        <w:rPr>
          <w:color w:val="231F20"/>
        </w:rPr>
        <w:t>The information required by this Item 11 will be set forth under the headings “Compensation of Executive Officers” and “Compensation  of Directors” in the Proxy Statement for the Company’s   2017 Annual Meeting of Shareholders and is incorporated herein by</w:t>
      </w:r>
      <w:r>
        <w:rPr>
          <w:color w:val="231F20"/>
          <w:spacing w:val="-1"/>
        </w:rPr>
        <w:t> </w:t>
      </w:r>
      <w:r>
        <w:rPr>
          <w:color w:val="231F20"/>
        </w:rPr>
        <w:t>reference.</w:t>
      </w:r>
    </w:p>
    <w:p>
      <w:pPr>
        <w:pStyle w:val="Heading2"/>
        <w:tabs>
          <w:tab w:pos="1584" w:val="left" w:leader="none"/>
        </w:tabs>
        <w:spacing w:line="247" w:lineRule="auto" w:before="210"/>
        <w:ind w:left="100" w:right="459"/>
      </w:pPr>
      <w:r>
        <w:rPr>
          <w:i w:val="0"/>
          <w:color w:val="231F20"/>
        </w:rPr>
        <w:t>Item 12.</w:t>
        <w:tab/>
      </w:r>
      <w:r>
        <w:rPr>
          <w:i/>
          <w:color w:val="231F20"/>
        </w:rPr>
        <w:t>Security Ownership of Certain Beneficial Owners and Management</w:t>
      </w:r>
      <w:r>
        <w:rPr>
          <w:i/>
          <w:color w:val="231F20"/>
          <w:spacing w:val="-1"/>
        </w:rPr>
        <w:t> </w:t>
      </w:r>
      <w:r>
        <w:rPr>
          <w:i/>
          <w:color w:val="231F20"/>
        </w:rPr>
        <w:t>and</w:t>
      </w:r>
      <w:r>
        <w:rPr>
          <w:i/>
          <w:color w:val="231F20"/>
          <w:spacing w:val="-1"/>
        </w:rPr>
        <w:t> </w:t>
      </w:r>
      <w:r>
        <w:rPr>
          <w:i/>
          <w:color w:val="231F20"/>
        </w:rPr>
        <w:t>Related</w:t>
      </w:r>
      <w:r>
        <w:rPr>
          <w:color w:val="231F20"/>
          <w:w w:val="100"/>
        </w:rPr>
        <w:t> </w:t>
      </w:r>
      <w:r>
        <w:rPr>
          <w:color w:val="231F20"/>
        </w:rPr>
        <w:t>Stockholder Matters</w:t>
      </w:r>
    </w:p>
    <w:p>
      <w:pPr>
        <w:pStyle w:val="BodyText"/>
        <w:spacing w:line="247" w:lineRule="auto" w:before="210"/>
        <w:ind w:left="100" w:right="117"/>
        <w:jc w:val="both"/>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2017 Annual Meeting of Shareholders and is incorporated herein by reference.</w:t>
      </w:r>
    </w:p>
    <w:p>
      <w:pPr>
        <w:spacing w:after="0" w:line="247" w:lineRule="auto"/>
        <w:jc w:val="both"/>
        <w:sectPr>
          <w:pgSz w:w="11880" w:h="15480"/>
          <w:pgMar w:header="0" w:footer="1240" w:top="1240" w:bottom="1420" w:left="1280" w:right="1260"/>
        </w:sectPr>
      </w:pPr>
    </w:p>
    <w:p>
      <w:pPr>
        <w:pStyle w:val="Heading1"/>
        <w:spacing w:before="74"/>
        <w:ind w:left="120"/>
      </w:pPr>
      <w:bookmarkStart w:name="Item 13. Certain Relationships and Relat" w:id="48"/>
      <w:bookmarkEnd w:id="48"/>
      <w:r>
        <w:rPr>
          <w:b w:val="0"/>
        </w:rPr>
      </w:r>
      <w:bookmarkStart w:name="Item 14. Principal Accounting Fees and S" w:id="49"/>
      <w:bookmarkEnd w:id="49"/>
      <w:r>
        <w:rPr>
          <w:b w:val="0"/>
        </w:rPr>
      </w:r>
      <w:r>
        <w:rPr>
          <w:color w:val="231F20"/>
        </w:rPr>
        <w:t>Securities Authorized for Issuance under Equity Compensation Plans</w:t>
      </w:r>
    </w:p>
    <w:p>
      <w:pPr>
        <w:pStyle w:val="BodyText"/>
        <w:spacing w:line="240" w:lineRule="exact" w:before="206"/>
        <w:ind w:left="120" w:right="118"/>
        <w:jc w:val="both"/>
      </w:pPr>
      <w:r>
        <w:rPr>
          <w:color w:val="231F20"/>
        </w:rPr>
        <w:t>The following table provides information as of December 31, 2016, regarding compensation plans (including individual compensation arrangements) under which equity securities of the Company are authorized for issuance.</w:t>
      </w:r>
    </w:p>
    <w:p>
      <w:pPr>
        <w:pStyle w:val="BodyText"/>
        <w:rPr>
          <w:sz w:val="24"/>
        </w:rPr>
      </w:pPr>
    </w:p>
    <w:p>
      <w:pPr>
        <w:pStyle w:val="Heading1"/>
        <w:spacing w:before="145"/>
        <w:ind w:left="95" w:right="95"/>
        <w:jc w:val="center"/>
      </w:pPr>
      <w:r>
        <w:rPr>
          <w:color w:val="231F20"/>
        </w:rPr>
        <w:t>Equity Compensation Plan Information</w:t>
      </w:r>
    </w:p>
    <w:p>
      <w:pPr>
        <w:pStyle w:val="BodyText"/>
        <w:spacing w:before="3"/>
        <w:rPr>
          <w:b/>
          <w:sz w:val="18"/>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42"/>
        <w:gridCol w:w="200"/>
        <w:gridCol w:w="1568"/>
        <w:gridCol w:w="1913"/>
        <w:gridCol w:w="336"/>
        <w:gridCol w:w="2361"/>
      </w:tblGrid>
      <w:tr>
        <w:trPr>
          <w:trHeight w:val="192" w:hRule="exact"/>
        </w:trPr>
        <w:tc>
          <w:tcPr>
            <w:tcW w:w="2942" w:type="dxa"/>
            <w:gridSpan w:val="2"/>
            <w:vMerge w:val="restart"/>
          </w:tcPr>
          <w:p>
            <w:pPr/>
          </w:p>
        </w:tc>
        <w:tc>
          <w:tcPr>
            <w:tcW w:w="1568" w:type="dxa"/>
          </w:tcPr>
          <w:p>
            <w:pPr>
              <w:pStyle w:val="TableParagraph"/>
              <w:spacing w:line="183" w:lineRule="exact" w:before="0"/>
              <w:ind w:right="37"/>
              <w:jc w:val="right"/>
              <w:rPr>
                <w:b/>
                <w:sz w:val="16"/>
              </w:rPr>
            </w:pPr>
            <w:r>
              <w:rPr>
                <w:b/>
                <w:color w:val="231F20"/>
                <w:sz w:val="16"/>
              </w:rPr>
              <w:t>Number of Securities</w:t>
            </w:r>
          </w:p>
        </w:tc>
        <w:tc>
          <w:tcPr>
            <w:tcW w:w="1913" w:type="dxa"/>
          </w:tcPr>
          <w:p>
            <w:pPr/>
          </w:p>
        </w:tc>
        <w:tc>
          <w:tcPr>
            <w:tcW w:w="336" w:type="dxa"/>
          </w:tcPr>
          <w:p>
            <w:pPr/>
          </w:p>
        </w:tc>
        <w:tc>
          <w:tcPr>
            <w:tcW w:w="2361" w:type="dxa"/>
          </w:tcPr>
          <w:p>
            <w:pPr>
              <w:pStyle w:val="TableParagraph"/>
              <w:spacing w:line="183" w:lineRule="exact" w:before="0"/>
              <w:ind w:left="178"/>
              <w:rPr>
                <w:b/>
                <w:sz w:val="16"/>
              </w:rPr>
            </w:pPr>
            <w:r>
              <w:rPr>
                <w:b/>
                <w:color w:val="231F20"/>
                <w:sz w:val="16"/>
              </w:rPr>
              <w:t>Number of Securities</w:t>
            </w:r>
          </w:p>
        </w:tc>
      </w:tr>
      <w:tr>
        <w:trPr>
          <w:trHeight w:val="200" w:hRule="exact"/>
        </w:trPr>
        <w:tc>
          <w:tcPr>
            <w:tcW w:w="2942" w:type="dxa"/>
            <w:gridSpan w:val="2"/>
            <w:vMerge/>
          </w:tcPr>
          <w:p>
            <w:pPr/>
          </w:p>
        </w:tc>
        <w:tc>
          <w:tcPr>
            <w:tcW w:w="1568" w:type="dxa"/>
          </w:tcPr>
          <w:p>
            <w:pPr>
              <w:pStyle w:val="TableParagraph"/>
              <w:spacing w:before="7"/>
              <w:ind w:left="191"/>
              <w:rPr>
                <w:b/>
                <w:sz w:val="16"/>
              </w:rPr>
            </w:pPr>
            <w:r>
              <w:rPr>
                <w:b/>
                <w:color w:val="231F20"/>
                <w:sz w:val="16"/>
              </w:rPr>
              <w:t>to be Issued Upon</w:t>
            </w:r>
          </w:p>
        </w:tc>
        <w:tc>
          <w:tcPr>
            <w:tcW w:w="1913" w:type="dxa"/>
          </w:tcPr>
          <w:p>
            <w:pPr/>
          </w:p>
        </w:tc>
        <w:tc>
          <w:tcPr>
            <w:tcW w:w="336" w:type="dxa"/>
          </w:tcPr>
          <w:p>
            <w:pPr/>
          </w:p>
        </w:tc>
        <w:tc>
          <w:tcPr>
            <w:tcW w:w="2361" w:type="dxa"/>
          </w:tcPr>
          <w:p>
            <w:pPr>
              <w:pStyle w:val="TableParagraph"/>
              <w:spacing w:before="7"/>
              <w:ind w:left="63"/>
              <w:rPr>
                <w:b/>
                <w:sz w:val="16"/>
              </w:rPr>
            </w:pPr>
            <w:r>
              <w:rPr>
                <w:b/>
                <w:color w:val="231F20"/>
                <w:sz w:val="16"/>
              </w:rPr>
              <w:t>Remaining Available for</w:t>
            </w:r>
          </w:p>
        </w:tc>
      </w:tr>
      <w:tr>
        <w:trPr>
          <w:trHeight w:val="200" w:hRule="exact"/>
        </w:trPr>
        <w:tc>
          <w:tcPr>
            <w:tcW w:w="2942" w:type="dxa"/>
            <w:gridSpan w:val="2"/>
            <w:vMerge/>
          </w:tcPr>
          <w:p>
            <w:pPr/>
          </w:p>
        </w:tc>
        <w:tc>
          <w:tcPr>
            <w:tcW w:w="1568" w:type="dxa"/>
          </w:tcPr>
          <w:p>
            <w:pPr>
              <w:pStyle w:val="TableParagraph"/>
              <w:spacing w:before="7"/>
              <w:ind w:left="428"/>
              <w:rPr>
                <w:b/>
                <w:sz w:val="16"/>
              </w:rPr>
            </w:pPr>
            <w:r>
              <w:rPr>
                <w:b/>
                <w:color w:val="231F20"/>
                <w:sz w:val="16"/>
              </w:rPr>
              <w:t>Exercise of</w:t>
            </w:r>
          </w:p>
        </w:tc>
        <w:tc>
          <w:tcPr>
            <w:tcW w:w="1913" w:type="dxa"/>
          </w:tcPr>
          <w:p>
            <w:pPr>
              <w:pStyle w:val="TableParagraph"/>
              <w:spacing w:before="7"/>
              <w:ind w:right="135"/>
              <w:jc w:val="right"/>
              <w:rPr>
                <w:b/>
                <w:sz w:val="16"/>
              </w:rPr>
            </w:pPr>
            <w:r>
              <w:rPr>
                <w:b/>
                <w:color w:val="231F20"/>
                <w:sz w:val="16"/>
              </w:rPr>
              <w:t>Weighted-Average</w:t>
            </w:r>
          </w:p>
        </w:tc>
        <w:tc>
          <w:tcPr>
            <w:tcW w:w="336" w:type="dxa"/>
          </w:tcPr>
          <w:p>
            <w:pPr/>
          </w:p>
        </w:tc>
        <w:tc>
          <w:tcPr>
            <w:tcW w:w="2361" w:type="dxa"/>
          </w:tcPr>
          <w:p>
            <w:pPr>
              <w:pStyle w:val="TableParagraph"/>
              <w:spacing w:before="7"/>
              <w:ind w:left="115"/>
              <w:rPr>
                <w:b/>
                <w:sz w:val="16"/>
              </w:rPr>
            </w:pPr>
            <w:r>
              <w:rPr>
                <w:b/>
                <w:color w:val="231F20"/>
                <w:sz w:val="16"/>
              </w:rPr>
              <w:t>Future Issuance Under</w:t>
            </w:r>
          </w:p>
        </w:tc>
      </w:tr>
      <w:tr>
        <w:trPr>
          <w:trHeight w:val="200" w:hRule="exact"/>
        </w:trPr>
        <w:tc>
          <w:tcPr>
            <w:tcW w:w="2942" w:type="dxa"/>
            <w:gridSpan w:val="2"/>
            <w:vMerge/>
          </w:tcPr>
          <w:p>
            <w:pPr/>
          </w:p>
        </w:tc>
        <w:tc>
          <w:tcPr>
            <w:tcW w:w="1568" w:type="dxa"/>
          </w:tcPr>
          <w:p>
            <w:pPr>
              <w:pStyle w:val="TableParagraph"/>
              <w:spacing w:before="7"/>
              <w:ind w:left="376"/>
              <w:rPr>
                <w:b/>
                <w:sz w:val="16"/>
              </w:rPr>
            </w:pPr>
            <w:r>
              <w:rPr>
                <w:b/>
                <w:color w:val="231F20"/>
                <w:sz w:val="16"/>
              </w:rPr>
              <w:t>Outstanding</w:t>
            </w:r>
          </w:p>
        </w:tc>
        <w:tc>
          <w:tcPr>
            <w:tcW w:w="1913" w:type="dxa"/>
          </w:tcPr>
          <w:p>
            <w:pPr>
              <w:pStyle w:val="TableParagraph"/>
              <w:spacing w:before="7"/>
              <w:ind w:left="563"/>
              <w:rPr>
                <w:b/>
                <w:sz w:val="16"/>
              </w:rPr>
            </w:pPr>
            <w:r>
              <w:rPr>
                <w:b/>
                <w:color w:val="231F20"/>
                <w:sz w:val="16"/>
              </w:rPr>
              <w:t>Exercise Price of</w:t>
            </w:r>
          </w:p>
        </w:tc>
        <w:tc>
          <w:tcPr>
            <w:tcW w:w="336" w:type="dxa"/>
          </w:tcPr>
          <w:p>
            <w:pPr/>
          </w:p>
        </w:tc>
        <w:tc>
          <w:tcPr>
            <w:tcW w:w="2361" w:type="dxa"/>
          </w:tcPr>
          <w:p>
            <w:pPr>
              <w:pStyle w:val="TableParagraph"/>
              <w:spacing w:before="7"/>
              <w:ind w:left="158"/>
              <w:rPr>
                <w:b/>
                <w:sz w:val="16"/>
              </w:rPr>
            </w:pPr>
            <w:r>
              <w:rPr>
                <w:b/>
                <w:color w:val="231F20"/>
                <w:sz w:val="16"/>
              </w:rPr>
              <w:t>Equity Compensation</w:t>
            </w:r>
          </w:p>
        </w:tc>
      </w:tr>
      <w:tr>
        <w:trPr>
          <w:trHeight w:val="200" w:hRule="exact"/>
        </w:trPr>
        <w:tc>
          <w:tcPr>
            <w:tcW w:w="2942" w:type="dxa"/>
            <w:gridSpan w:val="2"/>
            <w:vMerge/>
          </w:tcPr>
          <w:p>
            <w:pPr/>
          </w:p>
        </w:tc>
        <w:tc>
          <w:tcPr>
            <w:tcW w:w="1568" w:type="dxa"/>
          </w:tcPr>
          <w:p>
            <w:pPr>
              <w:pStyle w:val="TableParagraph"/>
              <w:spacing w:before="7"/>
              <w:ind w:left="512"/>
              <w:rPr>
                <w:b/>
                <w:sz w:val="16"/>
              </w:rPr>
            </w:pPr>
            <w:r>
              <w:rPr>
                <w:b/>
                <w:color w:val="231F20"/>
                <w:sz w:val="16"/>
              </w:rPr>
              <w:t>Options,</w:t>
            </w:r>
          </w:p>
        </w:tc>
        <w:tc>
          <w:tcPr>
            <w:tcW w:w="1913" w:type="dxa"/>
          </w:tcPr>
          <w:p>
            <w:pPr>
              <w:pStyle w:val="TableParagraph"/>
              <w:spacing w:before="7"/>
              <w:ind w:right="37"/>
              <w:jc w:val="right"/>
              <w:rPr>
                <w:b/>
                <w:sz w:val="16"/>
              </w:rPr>
            </w:pPr>
            <w:r>
              <w:rPr>
                <w:b/>
                <w:color w:val="231F20"/>
                <w:sz w:val="16"/>
              </w:rPr>
              <w:t>Outstanding Options,</w:t>
            </w:r>
          </w:p>
        </w:tc>
        <w:tc>
          <w:tcPr>
            <w:tcW w:w="336" w:type="dxa"/>
          </w:tcPr>
          <w:p>
            <w:pPr/>
          </w:p>
        </w:tc>
        <w:tc>
          <w:tcPr>
            <w:tcW w:w="2361" w:type="dxa"/>
          </w:tcPr>
          <w:p>
            <w:pPr>
              <w:pStyle w:val="TableParagraph"/>
              <w:spacing w:before="7"/>
              <w:ind w:left="322"/>
              <w:rPr>
                <w:b/>
                <w:sz w:val="16"/>
              </w:rPr>
            </w:pPr>
            <w:r>
              <w:rPr>
                <w:b/>
                <w:color w:val="231F20"/>
                <w:sz w:val="16"/>
              </w:rPr>
              <w:t>Plans (Excluding</w:t>
            </w:r>
          </w:p>
        </w:tc>
      </w:tr>
      <w:tr>
        <w:trPr>
          <w:trHeight w:val="200" w:hRule="exact"/>
        </w:trPr>
        <w:tc>
          <w:tcPr>
            <w:tcW w:w="2942" w:type="dxa"/>
            <w:gridSpan w:val="2"/>
            <w:vMerge/>
          </w:tcPr>
          <w:p>
            <w:pPr/>
          </w:p>
        </w:tc>
        <w:tc>
          <w:tcPr>
            <w:tcW w:w="1568" w:type="dxa"/>
          </w:tcPr>
          <w:p>
            <w:pPr>
              <w:pStyle w:val="TableParagraph"/>
              <w:spacing w:before="7"/>
              <w:ind w:left="300"/>
              <w:rPr>
                <w:b/>
                <w:sz w:val="16"/>
              </w:rPr>
            </w:pPr>
            <w:r>
              <w:rPr>
                <w:b/>
                <w:color w:val="231F20"/>
                <w:sz w:val="16"/>
              </w:rPr>
              <w:t>Warrants, and</w:t>
            </w:r>
          </w:p>
        </w:tc>
        <w:tc>
          <w:tcPr>
            <w:tcW w:w="1913" w:type="dxa"/>
          </w:tcPr>
          <w:p>
            <w:pPr>
              <w:pStyle w:val="TableParagraph"/>
              <w:spacing w:before="7"/>
              <w:ind w:left="633"/>
              <w:rPr>
                <w:b/>
                <w:sz w:val="16"/>
              </w:rPr>
            </w:pPr>
            <w:r>
              <w:rPr>
                <w:b/>
                <w:color w:val="231F20"/>
                <w:sz w:val="16"/>
              </w:rPr>
              <w:t>Warrants, and</w:t>
            </w:r>
          </w:p>
        </w:tc>
        <w:tc>
          <w:tcPr>
            <w:tcW w:w="336" w:type="dxa"/>
          </w:tcPr>
          <w:p>
            <w:pPr/>
          </w:p>
        </w:tc>
        <w:tc>
          <w:tcPr>
            <w:tcW w:w="2361" w:type="dxa"/>
          </w:tcPr>
          <w:p>
            <w:pPr>
              <w:pStyle w:val="TableParagraph"/>
              <w:spacing w:before="7"/>
              <w:ind w:left="230"/>
              <w:rPr>
                <w:b/>
                <w:sz w:val="16"/>
              </w:rPr>
            </w:pPr>
            <w:r>
              <w:rPr>
                <w:b/>
                <w:color w:val="231F20"/>
                <w:sz w:val="16"/>
              </w:rPr>
              <w:t>Securities Reflected</w:t>
            </w:r>
          </w:p>
        </w:tc>
      </w:tr>
      <w:tr>
        <w:trPr>
          <w:trHeight w:val="200" w:hRule="exact"/>
        </w:trPr>
        <w:tc>
          <w:tcPr>
            <w:tcW w:w="2942" w:type="dxa"/>
            <w:gridSpan w:val="2"/>
            <w:vMerge/>
          </w:tcPr>
          <w:p>
            <w:pPr/>
          </w:p>
        </w:tc>
        <w:tc>
          <w:tcPr>
            <w:tcW w:w="1568" w:type="dxa"/>
          </w:tcPr>
          <w:p>
            <w:pPr>
              <w:pStyle w:val="TableParagraph"/>
              <w:spacing w:before="7"/>
              <w:ind w:left="560" w:right="522"/>
              <w:jc w:val="center"/>
              <w:rPr>
                <w:b/>
                <w:sz w:val="16"/>
              </w:rPr>
            </w:pPr>
            <w:r>
              <w:rPr>
                <w:b/>
                <w:color w:val="231F20"/>
                <w:sz w:val="16"/>
              </w:rPr>
              <w:t>Rights</w:t>
            </w:r>
          </w:p>
        </w:tc>
        <w:tc>
          <w:tcPr>
            <w:tcW w:w="1913" w:type="dxa"/>
          </w:tcPr>
          <w:p>
            <w:pPr>
              <w:pStyle w:val="TableParagraph"/>
              <w:spacing w:before="7"/>
              <w:ind w:left="913"/>
              <w:rPr>
                <w:b/>
                <w:sz w:val="16"/>
              </w:rPr>
            </w:pPr>
            <w:r>
              <w:rPr>
                <w:b/>
                <w:color w:val="231F20"/>
                <w:sz w:val="16"/>
              </w:rPr>
              <w:t>Rights</w:t>
            </w:r>
          </w:p>
        </w:tc>
        <w:tc>
          <w:tcPr>
            <w:tcW w:w="336" w:type="dxa"/>
          </w:tcPr>
          <w:p>
            <w:pPr/>
          </w:p>
        </w:tc>
        <w:tc>
          <w:tcPr>
            <w:tcW w:w="2361" w:type="dxa"/>
          </w:tcPr>
          <w:p>
            <w:pPr>
              <w:pStyle w:val="TableParagraph"/>
              <w:spacing w:before="7"/>
              <w:ind w:left="400"/>
              <w:rPr>
                <w:b/>
                <w:sz w:val="16"/>
              </w:rPr>
            </w:pPr>
            <w:r>
              <w:rPr>
                <w:b/>
                <w:color w:val="231F20"/>
                <w:sz w:val="16"/>
              </w:rPr>
              <w:t>in Column (a))</w:t>
            </w:r>
          </w:p>
        </w:tc>
      </w:tr>
      <w:tr>
        <w:trPr>
          <w:trHeight w:val="227" w:hRule="exact"/>
        </w:trPr>
        <w:tc>
          <w:tcPr>
            <w:tcW w:w="2742" w:type="dxa"/>
          </w:tcPr>
          <w:p>
            <w:pPr>
              <w:pStyle w:val="TableParagraph"/>
              <w:spacing w:before="7"/>
              <w:rPr>
                <w:b/>
                <w:sz w:val="16"/>
              </w:rPr>
            </w:pPr>
            <w:r>
              <w:rPr>
                <w:b/>
                <w:color w:val="231F20"/>
                <w:sz w:val="16"/>
              </w:rPr>
              <w:t>Plan Category</w:t>
            </w:r>
          </w:p>
        </w:tc>
        <w:tc>
          <w:tcPr>
            <w:tcW w:w="200" w:type="dxa"/>
          </w:tcPr>
          <w:p>
            <w:pPr/>
          </w:p>
        </w:tc>
        <w:tc>
          <w:tcPr>
            <w:tcW w:w="1568" w:type="dxa"/>
            <w:tcBorders>
              <w:bottom w:val="single" w:sz="8" w:space="0" w:color="231F20"/>
            </w:tcBorders>
          </w:tcPr>
          <w:p>
            <w:pPr>
              <w:pStyle w:val="TableParagraph"/>
              <w:spacing w:before="7"/>
              <w:ind w:left="560" w:right="522"/>
              <w:jc w:val="center"/>
              <w:rPr>
                <w:b/>
                <w:sz w:val="16"/>
              </w:rPr>
            </w:pPr>
            <w:r>
              <w:rPr>
                <w:b/>
                <w:color w:val="231F20"/>
                <w:sz w:val="16"/>
              </w:rPr>
              <w:t>(a)</w:t>
            </w:r>
          </w:p>
        </w:tc>
        <w:tc>
          <w:tcPr>
            <w:tcW w:w="1913" w:type="dxa"/>
            <w:tcBorders>
              <w:bottom w:val="single" w:sz="8" w:space="0" w:color="231F20"/>
            </w:tcBorders>
          </w:tcPr>
          <w:p>
            <w:pPr>
              <w:pStyle w:val="TableParagraph"/>
              <w:spacing w:before="7"/>
              <w:ind w:left="1017" w:right="659"/>
              <w:jc w:val="center"/>
              <w:rPr>
                <w:b/>
                <w:sz w:val="16"/>
              </w:rPr>
            </w:pPr>
            <w:r>
              <w:rPr>
                <w:b/>
                <w:color w:val="231F20"/>
                <w:sz w:val="16"/>
              </w:rPr>
              <w:t>(b)</w:t>
            </w:r>
          </w:p>
        </w:tc>
        <w:tc>
          <w:tcPr>
            <w:tcW w:w="336" w:type="dxa"/>
            <w:tcBorders>
              <w:bottom w:val="single" w:sz="8" w:space="0" w:color="231F20"/>
            </w:tcBorders>
          </w:tcPr>
          <w:p>
            <w:pPr/>
          </w:p>
        </w:tc>
        <w:tc>
          <w:tcPr>
            <w:tcW w:w="2361" w:type="dxa"/>
            <w:tcBorders>
              <w:bottom w:val="single" w:sz="8" w:space="0" w:color="231F20"/>
            </w:tcBorders>
          </w:tcPr>
          <w:p>
            <w:pPr>
              <w:pStyle w:val="TableParagraph"/>
              <w:spacing w:before="7"/>
              <w:ind w:left="794" w:right="1349"/>
              <w:jc w:val="center"/>
              <w:rPr>
                <w:b/>
                <w:sz w:val="16"/>
              </w:rPr>
            </w:pPr>
            <w:r>
              <w:rPr>
                <w:b/>
                <w:color w:val="231F20"/>
                <w:sz w:val="16"/>
              </w:rPr>
              <w:t>(c)</w:t>
            </w:r>
          </w:p>
        </w:tc>
      </w:tr>
      <w:tr>
        <w:trPr>
          <w:trHeight w:val="538" w:hRule="exact"/>
        </w:trPr>
        <w:tc>
          <w:tcPr>
            <w:tcW w:w="2742" w:type="dxa"/>
            <w:shd w:val="clear" w:color="auto" w:fill="D1D3D4"/>
          </w:tcPr>
          <w:p>
            <w:pPr>
              <w:pStyle w:val="TableParagraph"/>
              <w:spacing w:line="244" w:lineRule="auto" w:before="47"/>
              <w:ind w:right="272"/>
              <w:rPr>
                <w:sz w:val="20"/>
              </w:rPr>
            </w:pPr>
            <w:r>
              <w:rPr>
                <w:color w:val="231F20"/>
                <w:sz w:val="20"/>
              </w:rPr>
              <w:t>Equity Compensation Plans Approved by Security Holders</w:t>
            </w:r>
          </w:p>
        </w:tc>
        <w:tc>
          <w:tcPr>
            <w:tcW w:w="200" w:type="dxa"/>
            <w:shd w:val="clear" w:color="auto" w:fill="D1D3D4"/>
          </w:tcPr>
          <w:p>
            <w:pPr/>
          </w:p>
        </w:tc>
        <w:tc>
          <w:tcPr>
            <w:tcW w:w="1568" w:type="dxa"/>
            <w:tcBorders>
              <w:top w:val="single" w:sz="8" w:space="0" w:color="231F20"/>
            </w:tcBorders>
            <w:shd w:val="clear" w:color="auto" w:fill="D1D3D4"/>
          </w:tcPr>
          <w:p>
            <w:pPr>
              <w:pStyle w:val="TableParagraph"/>
              <w:spacing w:before="5"/>
              <w:rPr>
                <w:b/>
                <w:sz w:val="24"/>
              </w:rPr>
            </w:pPr>
          </w:p>
          <w:p>
            <w:pPr>
              <w:pStyle w:val="TableParagraph"/>
              <w:spacing w:before="0"/>
              <w:ind w:right="58"/>
              <w:jc w:val="right"/>
              <w:rPr>
                <w:sz w:val="20"/>
              </w:rPr>
            </w:pPr>
            <w:r>
              <w:rPr>
                <w:color w:val="231F20"/>
                <w:sz w:val="20"/>
              </w:rPr>
              <w:t>1,748,323</w:t>
            </w:r>
          </w:p>
        </w:tc>
        <w:tc>
          <w:tcPr>
            <w:tcW w:w="1913" w:type="dxa"/>
            <w:tcBorders>
              <w:top w:val="single" w:sz="8" w:space="0" w:color="231F20"/>
            </w:tcBorders>
            <w:shd w:val="clear" w:color="auto" w:fill="D1D3D4"/>
          </w:tcPr>
          <w:p>
            <w:pPr>
              <w:pStyle w:val="TableParagraph"/>
              <w:spacing w:before="5"/>
              <w:rPr>
                <w:b/>
                <w:sz w:val="24"/>
              </w:rPr>
            </w:pPr>
          </w:p>
          <w:p>
            <w:pPr>
              <w:pStyle w:val="TableParagraph"/>
              <w:tabs>
                <w:tab w:pos="1462" w:val="left" w:leader="none"/>
              </w:tabs>
              <w:spacing w:before="0"/>
              <w:ind w:right="58"/>
              <w:jc w:val="right"/>
              <w:rPr>
                <w:sz w:val="20"/>
              </w:rPr>
            </w:pPr>
            <w:r>
              <w:rPr>
                <w:color w:val="231F20"/>
                <w:sz w:val="20"/>
              </w:rPr>
              <w:t>(1)</w:t>
            </w:r>
            <w:r>
              <w:rPr>
                <w:color w:val="231F20"/>
                <w:spacing w:val="-4"/>
                <w:sz w:val="20"/>
              </w:rPr>
              <w:t> </w:t>
            </w:r>
            <w:r>
              <w:rPr>
                <w:color w:val="231F20"/>
                <w:sz w:val="20"/>
              </w:rPr>
              <w:t>$</w:t>
              <w:tab/>
              <w:t>9.02</w:t>
            </w:r>
          </w:p>
        </w:tc>
        <w:tc>
          <w:tcPr>
            <w:tcW w:w="336" w:type="dxa"/>
            <w:tcBorders>
              <w:top w:val="single" w:sz="8" w:space="0" w:color="231F20"/>
            </w:tcBorders>
            <w:shd w:val="clear" w:color="auto" w:fill="D1D3D4"/>
          </w:tcPr>
          <w:p>
            <w:pPr>
              <w:pStyle w:val="TableParagraph"/>
              <w:spacing w:before="5"/>
              <w:rPr>
                <w:b/>
                <w:sz w:val="24"/>
              </w:rPr>
            </w:pPr>
          </w:p>
          <w:p>
            <w:pPr>
              <w:pStyle w:val="TableParagraph"/>
              <w:spacing w:before="0"/>
              <w:ind w:left="39"/>
              <w:rPr>
                <w:sz w:val="20"/>
              </w:rPr>
            </w:pPr>
            <w:r>
              <w:rPr>
                <w:color w:val="231F20"/>
                <w:sz w:val="20"/>
              </w:rPr>
              <w:t>(2)</w:t>
            </w:r>
          </w:p>
        </w:tc>
        <w:tc>
          <w:tcPr>
            <w:tcW w:w="2361" w:type="dxa"/>
            <w:tcBorders>
              <w:top w:val="single" w:sz="8" w:space="0" w:color="231F20"/>
            </w:tcBorders>
            <w:shd w:val="clear" w:color="auto" w:fill="D1D3D4"/>
          </w:tcPr>
          <w:p>
            <w:pPr>
              <w:pStyle w:val="TableParagraph"/>
              <w:spacing w:before="5"/>
              <w:rPr>
                <w:b/>
                <w:sz w:val="24"/>
              </w:rPr>
            </w:pPr>
          </w:p>
          <w:p>
            <w:pPr>
              <w:pStyle w:val="TableParagraph"/>
              <w:tabs>
                <w:tab w:pos="2127" w:val="left" w:leader="none"/>
              </w:tabs>
              <w:spacing w:before="0"/>
              <w:ind w:left="921"/>
              <w:rPr>
                <w:sz w:val="20"/>
              </w:rPr>
            </w:pPr>
            <w:r>
              <w:rPr>
                <w:color w:val="231F20"/>
                <w:sz w:val="20"/>
              </w:rPr>
              <w:t>31,456,389</w:t>
              <w:tab/>
              <w:t>(3)</w:t>
            </w:r>
          </w:p>
        </w:tc>
      </w:tr>
      <w:tr>
        <w:trPr>
          <w:trHeight w:val="520" w:hRule="exact"/>
        </w:trPr>
        <w:tc>
          <w:tcPr>
            <w:tcW w:w="2742" w:type="dxa"/>
          </w:tcPr>
          <w:p>
            <w:pPr>
              <w:pStyle w:val="TableParagraph"/>
              <w:spacing w:before="43"/>
              <w:ind w:right="194"/>
              <w:rPr>
                <w:sz w:val="20"/>
              </w:rPr>
            </w:pPr>
            <w:r>
              <w:rPr>
                <w:color w:val="231F20"/>
                <w:sz w:val="20"/>
              </w:rPr>
              <w:t>Equity Compensation Plans not Approved by Security Holders</w:t>
            </w:r>
          </w:p>
        </w:tc>
        <w:tc>
          <w:tcPr>
            <w:tcW w:w="200" w:type="dxa"/>
          </w:tcPr>
          <w:p>
            <w:pPr/>
          </w:p>
        </w:tc>
        <w:tc>
          <w:tcPr>
            <w:tcW w:w="1568" w:type="dxa"/>
          </w:tcPr>
          <w:p>
            <w:pPr>
              <w:pStyle w:val="TableParagraph"/>
              <w:spacing w:before="8"/>
              <w:rPr>
                <w:b/>
                <w:sz w:val="23"/>
              </w:rPr>
            </w:pPr>
          </w:p>
          <w:p>
            <w:pPr>
              <w:pStyle w:val="TableParagraph"/>
              <w:spacing w:before="1"/>
              <w:ind w:right="58"/>
              <w:jc w:val="right"/>
              <w:rPr>
                <w:sz w:val="20"/>
              </w:rPr>
            </w:pPr>
            <w:r>
              <w:rPr>
                <w:color w:val="231F20"/>
                <w:sz w:val="20"/>
              </w:rPr>
              <w:t>4,300</w:t>
            </w:r>
          </w:p>
        </w:tc>
        <w:tc>
          <w:tcPr>
            <w:tcW w:w="1913" w:type="dxa"/>
          </w:tcPr>
          <w:p>
            <w:pPr>
              <w:pStyle w:val="TableParagraph"/>
              <w:spacing w:before="8"/>
              <w:rPr>
                <w:b/>
                <w:sz w:val="23"/>
              </w:rPr>
            </w:pPr>
          </w:p>
          <w:p>
            <w:pPr>
              <w:pStyle w:val="TableParagraph"/>
              <w:tabs>
                <w:tab w:pos="1082" w:val="left" w:leader="none"/>
              </w:tabs>
              <w:spacing w:before="1"/>
              <w:ind w:right="58"/>
              <w:jc w:val="right"/>
              <w:rPr>
                <w:sz w:val="20"/>
              </w:rPr>
            </w:pPr>
            <w:r>
              <w:rPr>
                <w:color w:val="231F20"/>
                <w:sz w:val="20"/>
              </w:rPr>
              <w:t>$</w:t>
              <w:tab/>
              <w:t>10.10</w:t>
            </w:r>
          </w:p>
        </w:tc>
        <w:tc>
          <w:tcPr>
            <w:tcW w:w="336" w:type="dxa"/>
          </w:tcPr>
          <w:p>
            <w:pPr/>
          </w:p>
        </w:tc>
        <w:tc>
          <w:tcPr>
            <w:tcW w:w="2361" w:type="dxa"/>
          </w:tcPr>
          <w:p>
            <w:pPr>
              <w:pStyle w:val="TableParagraph"/>
              <w:spacing w:before="8"/>
              <w:rPr>
                <w:b/>
                <w:sz w:val="23"/>
              </w:rPr>
            </w:pPr>
          </w:p>
          <w:p>
            <w:pPr>
              <w:pStyle w:val="TableParagraph"/>
              <w:spacing w:before="1"/>
              <w:ind w:right="537"/>
              <w:jc w:val="right"/>
              <w:rPr>
                <w:sz w:val="20"/>
              </w:rPr>
            </w:pPr>
            <w:r>
              <w:rPr>
                <w:color w:val="231F20"/>
                <w:sz w:val="20"/>
              </w:rPr>
              <w:t>—</w:t>
            </w:r>
          </w:p>
        </w:tc>
      </w:tr>
      <w:tr>
        <w:trPr>
          <w:trHeight w:val="300" w:hRule="exact"/>
        </w:trPr>
        <w:tc>
          <w:tcPr>
            <w:tcW w:w="2742" w:type="dxa"/>
            <w:shd w:val="clear" w:color="auto" w:fill="D1D3D4"/>
          </w:tcPr>
          <w:p>
            <w:pPr>
              <w:pStyle w:val="TableParagraph"/>
              <w:spacing w:before="47"/>
              <w:ind w:left="200"/>
              <w:rPr>
                <w:sz w:val="20"/>
              </w:rPr>
            </w:pPr>
            <w:r>
              <w:rPr>
                <w:color w:val="231F20"/>
                <w:sz w:val="20"/>
              </w:rPr>
              <w:t>Total</w:t>
            </w:r>
          </w:p>
        </w:tc>
        <w:tc>
          <w:tcPr>
            <w:tcW w:w="200" w:type="dxa"/>
            <w:shd w:val="clear" w:color="auto" w:fill="D1D3D4"/>
          </w:tcPr>
          <w:p>
            <w:pPr/>
          </w:p>
        </w:tc>
        <w:tc>
          <w:tcPr>
            <w:tcW w:w="1568" w:type="dxa"/>
            <w:shd w:val="clear" w:color="auto" w:fill="D1D3D4"/>
          </w:tcPr>
          <w:p>
            <w:pPr>
              <w:pStyle w:val="TableParagraph"/>
              <w:ind w:right="58"/>
              <w:jc w:val="right"/>
              <w:rPr>
                <w:sz w:val="20"/>
              </w:rPr>
            </w:pPr>
            <w:r>
              <w:rPr>
                <w:color w:val="231F20"/>
                <w:sz w:val="20"/>
              </w:rPr>
              <w:t>1,752,623</w:t>
            </w:r>
          </w:p>
        </w:tc>
        <w:tc>
          <w:tcPr>
            <w:tcW w:w="1913" w:type="dxa"/>
            <w:shd w:val="clear" w:color="auto" w:fill="D1D3D4"/>
          </w:tcPr>
          <w:p>
            <w:pPr>
              <w:pStyle w:val="TableParagraph"/>
              <w:tabs>
                <w:tab w:pos="1182" w:val="left" w:leader="none"/>
              </w:tabs>
              <w:ind w:right="58"/>
              <w:jc w:val="right"/>
              <w:rPr>
                <w:sz w:val="20"/>
              </w:rPr>
            </w:pPr>
            <w:r>
              <w:rPr>
                <w:color w:val="231F20"/>
                <w:sz w:val="20"/>
              </w:rPr>
              <w:t>$</w:t>
              <w:tab/>
              <w:t>9.02</w:t>
            </w:r>
          </w:p>
        </w:tc>
        <w:tc>
          <w:tcPr>
            <w:tcW w:w="336" w:type="dxa"/>
            <w:shd w:val="clear" w:color="auto" w:fill="D1D3D4"/>
          </w:tcPr>
          <w:p>
            <w:pPr>
              <w:pStyle w:val="TableParagraph"/>
              <w:ind w:left="39"/>
              <w:rPr>
                <w:sz w:val="20"/>
              </w:rPr>
            </w:pPr>
            <w:r>
              <w:rPr>
                <w:color w:val="231F20"/>
                <w:sz w:val="20"/>
              </w:rPr>
              <w:t>(2)</w:t>
            </w:r>
          </w:p>
        </w:tc>
        <w:tc>
          <w:tcPr>
            <w:tcW w:w="2361" w:type="dxa"/>
            <w:shd w:val="clear" w:color="auto" w:fill="D1D3D4"/>
          </w:tcPr>
          <w:p>
            <w:pPr>
              <w:pStyle w:val="TableParagraph"/>
              <w:ind w:left="921"/>
              <w:rPr>
                <w:sz w:val="20"/>
              </w:rPr>
            </w:pPr>
            <w:r>
              <w:rPr>
                <w:color w:val="231F20"/>
                <w:sz w:val="20"/>
              </w:rPr>
              <w:t>31,456,389</w:t>
            </w:r>
          </w:p>
        </w:tc>
      </w:tr>
    </w:tbl>
    <w:p>
      <w:pPr>
        <w:pStyle w:val="BodyText"/>
        <w:spacing w:before="7"/>
        <w:rPr>
          <w:b/>
          <w:sz w:val="19"/>
        </w:rPr>
      </w:pPr>
    </w:p>
    <w:p>
      <w:pPr>
        <w:pStyle w:val="ListParagraph"/>
        <w:numPr>
          <w:ilvl w:val="1"/>
          <w:numId w:val="23"/>
        </w:numPr>
        <w:tabs>
          <w:tab w:pos="920" w:val="left" w:leader="none"/>
        </w:tabs>
        <w:spacing w:line="249" w:lineRule="auto" w:before="0" w:after="0"/>
        <w:ind w:left="920" w:right="118" w:hanging="400"/>
        <w:jc w:val="both"/>
        <w:rPr>
          <w:sz w:val="20"/>
        </w:rPr>
      </w:pPr>
      <w:r>
        <w:rPr/>
        <w:pict>
          <v:line style="position:absolute;mso-position-horizontal-relative:page;mso-position-vertical-relative:paragraph;z-index:-371464" from="69pt,-79.214066pt" to="206.1pt,-79.214066pt" stroked="true" strokeweight="1pt" strokecolor="#231f20">
            <v:stroke dashstyle="solid"/>
            <w10:wrap type="none"/>
          </v:line>
        </w:pict>
      </w:r>
      <w:r>
        <w:rPr>
          <w:color w:val="231F20"/>
          <w:sz w:val="20"/>
        </w:rPr>
        <w:t>Includes 308,913 shares of common stock issuable upon exercise of outstanding stock options and 1,439,410 restricted share units settleable in shares of the Company’s common</w:t>
      </w:r>
      <w:r>
        <w:rPr>
          <w:color w:val="231F20"/>
          <w:spacing w:val="8"/>
          <w:sz w:val="20"/>
        </w:rPr>
        <w:t> </w:t>
      </w:r>
      <w:r>
        <w:rPr>
          <w:color w:val="231F20"/>
          <w:sz w:val="20"/>
        </w:rPr>
        <w:t>stock.</w:t>
      </w:r>
    </w:p>
    <w:p>
      <w:pPr>
        <w:pStyle w:val="ListParagraph"/>
        <w:numPr>
          <w:ilvl w:val="1"/>
          <w:numId w:val="23"/>
        </w:numPr>
        <w:tabs>
          <w:tab w:pos="920" w:val="left" w:leader="none"/>
        </w:tabs>
        <w:spacing w:line="249" w:lineRule="auto" w:before="0" w:after="0"/>
        <w:ind w:left="920" w:right="118" w:hanging="400"/>
        <w:jc w:val="both"/>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3"/>
        </w:numPr>
        <w:tabs>
          <w:tab w:pos="920" w:val="left" w:leader="none"/>
        </w:tabs>
        <w:spacing w:line="230" w:lineRule="auto" w:before="0" w:after="0"/>
        <w:ind w:left="920" w:right="118" w:hanging="400"/>
        <w:jc w:val="both"/>
        <w:rPr>
          <w:sz w:val="20"/>
        </w:rPr>
      </w:pPr>
      <w:r>
        <w:rPr>
          <w:color w:val="231F20"/>
          <w:sz w:val="20"/>
        </w:rPr>
        <w:t>Of these shares, (i) 9,373,779 shares remained available for issuance under the Company’s tax- qualified employee stock purchase plan; and (ii) 22,082,610 shares remained available for issuance under the Company’s 2007 Equity Incentive Plan in connection with the exercise of stock options and stock appreciation rights, the settlement of awards of restricted stock, restricted stock units, and phantom shares, and the grant of unrestricted shares of common stock; however, no more than 1,237,899 shares remain available for grant in connection with awards of unrestricted shares of  common stock, stock-settled phantom shares, and awards to non-Employee members of the Board. These shares are in addition to the shares reserved for issuance pursuant to outstanding awards included in column</w:t>
      </w:r>
      <w:r>
        <w:rPr>
          <w:color w:val="231F20"/>
          <w:spacing w:val="1"/>
          <w:sz w:val="20"/>
        </w:rPr>
        <w:t> </w:t>
      </w:r>
      <w:r>
        <w:rPr>
          <w:color w:val="231F20"/>
          <w:sz w:val="20"/>
        </w:rPr>
        <w:t>(a).</w:t>
      </w:r>
    </w:p>
    <w:p>
      <w:pPr>
        <w:pStyle w:val="BodyText"/>
        <w:spacing w:line="240" w:lineRule="exact" w:before="191"/>
        <w:ind w:left="120" w:right="117"/>
        <w:jc w:val="both"/>
      </w:pPr>
      <w:r>
        <w:rPr>
          <w:color w:val="231F20"/>
        </w:rPr>
        <w:t>See Note 9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 revised.</w:t>
      </w:r>
    </w:p>
    <w:p>
      <w:pPr>
        <w:pStyle w:val="Heading2"/>
        <w:spacing w:before="179"/>
        <w:ind w:left="120"/>
        <w:jc w:val="both"/>
        <w:rPr>
          <w:i/>
        </w:rPr>
      </w:pPr>
      <w:r>
        <w:rPr>
          <w:i w:val="0"/>
          <w:color w:val="231F20"/>
        </w:rPr>
        <w:t>Item 13.        </w:t>
      </w:r>
      <w:r>
        <w:rPr>
          <w:i/>
          <w:color w:val="231F20"/>
        </w:rPr>
        <w:t>Certain Relationships and Related Transactions, and Director Independence</w:t>
      </w:r>
    </w:p>
    <w:p>
      <w:pPr>
        <w:pStyle w:val="BodyText"/>
        <w:spacing w:line="240" w:lineRule="exact" w:before="173"/>
        <w:ind w:left="120" w:right="118"/>
        <w:jc w:val="both"/>
      </w:pPr>
      <w:r>
        <w:rPr>
          <w:color w:val="231F20"/>
        </w:rPr>
        <w:t>The information required by this Item 13 will be set forth under the heading “Certain Relationships and Related Transactions, and Director  Independence”  in  the  Proxy  Statement  for  the  Company’s  2017 Annual Meeting of Shareholders and is incorporated herein by</w:t>
      </w:r>
      <w:r>
        <w:rPr>
          <w:color w:val="231F20"/>
          <w:spacing w:val="-1"/>
        </w:rPr>
        <w:t> </w:t>
      </w:r>
      <w:r>
        <w:rPr>
          <w:color w:val="231F20"/>
        </w:rPr>
        <w:t>reference.</w:t>
      </w:r>
    </w:p>
    <w:p>
      <w:pPr>
        <w:spacing w:before="179"/>
        <w:ind w:left="120" w:right="0" w:firstLine="0"/>
        <w:jc w:val="both"/>
        <w:rPr>
          <w:b/>
          <w:i/>
          <w:sz w:val="22"/>
        </w:rPr>
      </w:pPr>
      <w:r>
        <w:rPr>
          <w:b/>
          <w:color w:val="231F20"/>
          <w:sz w:val="22"/>
        </w:rPr>
        <w:t>Item 14.        </w:t>
      </w:r>
      <w:r>
        <w:rPr>
          <w:b/>
          <w:i/>
          <w:color w:val="231F20"/>
          <w:sz w:val="22"/>
        </w:rPr>
        <w:t>Principal Accounting Fees and Services</w:t>
      </w:r>
    </w:p>
    <w:p>
      <w:pPr>
        <w:pStyle w:val="BodyText"/>
        <w:spacing w:line="240" w:lineRule="exact" w:before="173"/>
        <w:ind w:left="120" w:right="117"/>
        <w:jc w:val="both"/>
      </w:pPr>
      <w:r>
        <w:rPr>
          <w:color w:val="231F20"/>
        </w:rPr>
        <w:t>The information required by this Item 14 will be set forth under the heading “Relationship with Independent  Auditors”  in  the  Proxy  Statement  for  the  Company’s  2017  Annual  Meeting  of</w:t>
      </w:r>
    </w:p>
    <w:p>
      <w:pPr>
        <w:spacing w:after="0" w:line="240" w:lineRule="exact"/>
        <w:jc w:val="both"/>
        <w:sectPr>
          <w:footerReference w:type="default" r:id="rId26"/>
          <w:pgSz w:w="11880" w:h="15480"/>
          <w:pgMar w:footer="1677" w:header="0" w:top="1240" w:bottom="1860" w:left="1260" w:right="1260"/>
        </w:sectPr>
      </w:pPr>
    </w:p>
    <w:p>
      <w:pPr>
        <w:pStyle w:val="Heading1"/>
        <w:spacing w:before="74"/>
        <w:ind w:left="1225" w:right="1244"/>
        <w:jc w:val="center"/>
      </w:pPr>
      <w:bookmarkStart w:name="Part IV " w:id="50"/>
      <w:bookmarkEnd w:id="50"/>
      <w:r>
        <w:rPr>
          <w:b w:val="0"/>
        </w:rPr>
      </w:r>
      <w:bookmarkStart w:name="Item 15. Exhibits and Financial Statemen" w:id="51"/>
      <w:bookmarkEnd w:id="51"/>
      <w:r>
        <w:rPr>
          <w:b w:val="0"/>
        </w:rPr>
      </w:r>
      <w:r>
        <w:rPr>
          <w:color w:val="231F20"/>
        </w:rPr>
        <w:t>PART IV</w:t>
      </w:r>
    </w:p>
    <w:p>
      <w:pPr>
        <w:pStyle w:val="BodyText"/>
        <w:spacing w:before="3"/>
        <w:rPr>
          <w:b/>
          <w:sz w:val="32"/>
        </w:rPr>
      </w:pPr>
    </w:p>
    <w:p>
      <w:pPr>
        <w:pStyle w:val="Heading2"/>
        <w:tabs>
          <w:tab w:pos="1357" w:val="left" w:leader="none"/>
        </w:tabs>
        <w:ind w:left="100"/>
        <w:rPr>
          <w:i/>
        </w:rPr>
      </w:pPr>
      <w:r>
        <w:rPr>
          <w:i w:val="0"/>
          <w:color w:val="231F20"/>
        </w:rPr>
        <w:t>Item 15.</w:t>
        <w:tab/>
      </w:r>
      <w:r>
        <w:rPr>
          <w:i/>
          <w:color w:val="231F20"/>
        </w:rPr>
        <w:t>Exhibits and Financial Statement</w:t>
      </w:r>
      <w:r>
        <w:rPr>
          <w:i/>
          <w:color w:val="231F20"/>
          <w:spacing w:val="-4"/>
        </w:rPr>
        <w:t> </w:t>
      </w:r>
      <w:r>
        <w:rPr>
          <w:i/>
          <w:color w:val="231F20"/>
        </w:rPr>
        <w:t>Schedules</w:t>
      </w:r>
    </w:p>
    <w:p>
      <w:pPr>
        <w:pStyle w:val="BodyText"/>
        <w:spacing w:before="8"/>
        <w:rPr>
          <w:b/>
          <w:i/>
          <w:sz w:val="21"/>
        </w:rPr>
      </w:pPr>
    </w:p>
    <w:p>
      <w:pPr>
        <w:pStyle w:val="ListParagraph"/>
        <w:numPr>
          <w:ilvl w:val="2"/>
          <w:numId w:val="23"/>
        </w:numPr>
        <w:tabs>
          <w:tab w:pos="1119" w:val="left" w:leader="none"/>
        </w:tabs>
        <w:spacing w:line="240" w:lineRule="auto" w:before="0" w:after="0"/>
        <w:ind w:left="1119" w:right="0" w:hanging="299"/>
        <w:jc w:val="left"/>
        <w:rPr>
          <w:i/>
          <w:sz w:val="22"/>
        </w:rPr>
      </w:pPr>
      <w:r>
        <w:rPr>
          <w:color w:val="231F20"/>
          <w:sz w:val="22"/>
        </w:rPr>
        <w:t>1. </w:t>
      </w:r>
      <w:r>
        <w:rPr>
          <w:i/>
          <w:color w:val="231F20"/>
          <w:sz w:val="22"/>
        </w:rPr>
        <w:t>Financial</w:t>
      </w:r>
      <w:r>
        <w:rPr>
          <w:i/>
          <w:color w:val="231F20"/>
          <w:spacing w:val="-1"/>
          <w:sz w:val="22"/>
        </w:rPr>
        <w:t> </w:t>
      </w:r>
      <w:r>
        <w:rPr>
          <w:i/>
          <w:color w:val="231F20"/>
          <w:sz w:val="22"/>
        </w:rPr>
        <w:t>Statements:</w:t>
      </w:r>
    </w:p>
    <w:p>
      <w:pPr>
        <w:pStyle w:val="BodyText"/>
        <w:spacing w:before="8"/>
        <w:rPr>
          <w:i/>
          <w:sz w:val="21"/>
        </w:rPr>
      </w:pPr>
    </w:p>
    <w:p>
      <w:pPr>
        <w:pStyle w:val="BodyText"/>
        <w:spacing w:line="247" w:lineRule="auto"/>
        <w:ind w:left="100" w:right="118"/>
        <w:jc w:val="both"/>
      </w:pPr>
      <w:r>
        <w:rPr>
          <w:color w:val="231F20"/>
        </w:rPr>
        <w:t>The financial statements included in Item 8. Financial Statements and Supplementary Data above are filed as part of this annual report.</w:t>
      </w:r>
    </w:p>
    <w:p>
      <w:pPr>
        <w:pStyle w:val="BodyText"/>
        <w:rPr>
          <w:sz w:val="21"/>
        </w:rPr>
      </w:pPr>
    </w:p>
    <w:p>
      <w:pPr>
        <w:pStyle w:val="ListParagraph"/>
        <w:numPr>
          <w:ilvl w:val="0"/>
          <w:numId w:val="24"/>
        </w:numPr>
        <w:tabs>
          <w:tab w:pos="1040" w:val="left" w:leader="none"/>
        </w:tabs>
        <w:spacing w:line="240" w:lineRule="auto" w:before="1" w:after="0"/>
        <w:ind w:left="1040" w:right="0" w:hanging="220"/>
        <w:jc w:val="left"/>
        <w:rPr>
          <w:i/>
          <w:sz w:val="22"/>
        </w:rPr>
      </w:pPr>
      <w:r>
        <w:rPr>
          <w:i/>
          <w:color w:val="231F20"/>
          <w:sz w:val="22"/>
        </w:rPr>
        <w:t>Financial Statement</w:t>
      </w:r>
      <w:r>
        <w:rPr>
          <w:i/>
          <w:color w:val="231F20"/>
          <w:spacing w:val="-1"/>
          <w:sz w:val="22"/>
        </w:rPr>
        <w:t> </w:t>
      </w:r>
      <w:r>
        <w:rPr>
          <w:i/>
          <w:color w:val="231F20"/>
          <w:sz w:val="22"/>
        </w:rPr>
        <w:t>Schedules:</w:t>
      </w:r>
    </w:p>
    <w:p>
      <w:pPr>
        <w:pStyle w:val="BodyText"/>
        <w:spacing w:before="8"/>
        <w:rPr>
          <w:i/>
          <w:sz w:val="21"/>
        </w:rPr>
      </w:pPr>
    </w:p>
    <w:p>
      <w:pPr>
        <w:pStyle w:val="BodyText"/>
        <w:spacing w:line="247" w:lineRule="auto"/>
        <w:ind w:left="100" w:right="117"/>
        <w:jc w:val="both"/>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BodyText"/>
        <w:rPr>
          <w:sz w:val="21"/>
        </w:rPr>
      </w:pPr>
    </w:p>
    <w:p>
      <w:pPr>
        <w:pStyle w:val="ListParagraph"/>
        <w:numPr>
          <w:ilvl w:val="0"/>
          <w:numId w:val="24"/>
        </w:numPr>
        <w:tabs>
          <w:tab w:pos="1040" w:val="left" w:leader="none"/>
        </w:tabs>
        <w:spacing w:line="240" w:lineRule="auto" w:before="0" w:after="0"/>
        <w:ind w:left="1040" w:right="0" w:hanging="220"/>
        <w:jc w:val="left"/>
        <w:rPr>
          <w:sz w:val="22"/>
        </w:rPr>
      </w:pPr>
      <w:r>
        <w:rPr>
          <w:color w:val="231F20"/>
          <w:sz w:val="22"/>
        </w:rPr>
        <w:t>Exhibits:</w:t>
      </w:r>
    </w:p>
    <w:p>
      <w:pPr>
        <w:pStyle w:val="BodyText"/>
        <w:spacing w:before="6"/>
        <w:rPr>
          <w:sz w:val="21"/>
        </w:rPr>
      </w:pPr>
    </w:p>
    <w:p>
      <w:pPr>
        <w:pStyle w:val="ListParagraph"/>
        <w:numPr>
          <w:ilvl w:val="1"/>
          <w:numId w:val="25"/>
        </w:numPr>
        <w:tabs>
          <w:tab w:pos="2149" w:val="left" w:leader="none"/>
          <w:tab w:pos="2150" w:val="left" w:leader="none"/>
        </w:tabs>
        <w:spacing w:line="249" w:lineRule="auto" w:before="0" w:after="0"/>
        <w:ind w:left="2150" w:right="778" w:hanging="1950"/>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w:t>
      </w:r>
      <w:r>
        <w:rPr>
          <w:color w:val="231F20"/>
          <w:spacing w:val="1"/>
          <w:sz w:val="20"/>
        </w:rPr>
        <w:t> </w:t>
      </w:r>
      <w:r>
        <w:rPr>
          <w:color w:val="231F20"/>
          <w:sz w:val="20"/>
        </w:rPr>
        <w:t>1-7259)).</w:t>
      </w:r>
    </w:p>
    <w:p>
      <w:pPr>
        <w:pStyle w:val="ListParagraph"/>
        <w:numPr>
          <w:ilvl w:val="1"/>
          <w:numId w:val="25"/>
        </w:numPr>
        <w:tabs>
          <w:tab w:pos="2149" w:val="left" w:leader="none"/>
          <w:tab w:pos="2150" w:val="left" w:leader="none"/>
        </w:tabs>
        <w:spacing w:line="249" w:lineRule="auto" w:before="121" w:after="0"/>
        <w:ind w:left="2150" w:right="254" w:hanging="1950"/>
        <w:jc w:val="left"/>
        <w:rPr>
          <w:sz w:val="20"/>
        </w:rPr>
      </w:pPr>
      <w:r>
        <w:rPr>
          <w:color w:val="231F20"/>
          <w:sz w:val="20"/>
        </w:rPr>
        <w:t>Second Amended and Restated Bylaws of the Company, effective November 17, 2016 (incorporated by reference to Exhibit 3.1 to the Company’s Current Report</w:t>
      </w:r>
      <w:r>
        <w:rPr>
          <w:color w:val="231F20"/>
          <w:spacing w:val="6"/>
          <w:sz w:val="20"/>
        </w:rPr>
        <w:t> </w:t>
      </w:r>
      <w:r>
        <w:rPr>
          <w:color w:val="231F20"/>
          <w:sz w:val="20"/>
        </w:rPr>
        <w:t>on</w:t>
      </w:r>
    </w:p>
    <w:p>
      <w:pPr>
        <w:spacing w:before="0"/>
        <w:ind w:left="2150" w:right="0" w:firstLine="0"/>
        <w:jc w:val="left"/>
        <w:rPr>
          <w:sz w:val="20"/>
        </w:rPr>
      </w:pPr>
      <w:r>
        <w:rPr>
          <w:color w:val="231F20"/>
          <w:sz w:val="20"/>
        </w:rPr>
        <w:t>Form 8-K filed November 21, 2016 (File No. 1-7259)).</w:t>
      </w:r>
    </w:p>
    <w:p>
      <w:pPr>
        <w:pStyle w:val="ListParagraph"/>
        <w:numPr>
          <w:ilvl w:val="1"/>
          <w:numId w:val="26"/>
        </w:numPr>
        <w:tabs>
          <w:tab w:pos="2149" w:val="left" w:leader="none"/>
          <w:tab w:pos="2150" w:val="left" w:leader="none"/>
        </w:tabs>
        <w:spacing w:line="249" w:lineRule="auto" w:before="130" w:after="0"/>
        <w:ind w:left="2150" w:right="419" w:hanging="1950"/>
        <w:jc w:val="left"/>
        <w:rPr>
          <w:sz w:val="20"/>
        </w:rPr>
      </w:pPr>
      <w:r>
        <w:rPr>
          <w:color w:val="231F20"/>
          <w:sz w:val="20"/>
        </w:rPr>
        <w:t>Specimen certificate representing common stock of the Company (incorporated by reference to Exhibit 4.2 to the Company’s Annual Report on Form 10-K for the year ended December 31, 1994 (File No.</w:t>
      </w:r>
      <w:r>
        <w:rPr>
          <w:color w:val="231F20"/>
          <w:spacing w:val="1"/>
          <w:sz w:val="20"/>
        </w:rPr>
        <w:t> </w:t>
      </w:r>
      <w:r>
        <w:rPr>
          <w:color w:val="231F20"/>
          <w:sz w:val="20"/>
        </w:rPr>
        <w:t>1-7259)).</w:t>
      </w:r>
    </w:p>
    <w:p>
      <w:pPr>
        <w:pStyle w:val="ListParagraph"/>
        <w:numPr>
          <w:ilvl w:val="1"/>
          <w:numId w:val="26"/>
        </w:numPr>
        <w:tabs>
          <w:tab w:pos="2149" w:val="left" w:leader="none"/>
          <w:tab w:pos="2150" w:val="left" w:leader="none"/>
        </w:tabs>
        <w:spacing w:line="249" w:lineRule="auto" w:before="122" w:after="0"/>
        <w:ind w:left="2150" w:right="332" w:hanging="1950"/>
        <w:jc w:val="left"/>
        <w:rPr>
          <w:sz w:val="20"/>
        </w:rPr>
      </w:pPr>
      <w:r>
        <w:rPr>
          <w:color w:val="231F20"/>
          <w:sz w:val="20"/>
        </w:rPr>
        <w:t>Indenture dated as of February 14, 2005, between the Company and The Bank of New York Trust Company, N.A., Trustee (incorporated by reference to Exhibit 4.2 to the Company’s Current Report on Form 8-K filed February 14, 2005</w:t>
      </w:r>
      <w:r>
        <w:rPr>
          <w:color w:val="231F20"/>
          <w:spacing w:val="3"/>
          <w:sz w:val="20"/>
        </w:rPr>
        <w:t> </w:t>
      </w:r>
      <w:r>
        <w:rPr>
          <w:color w:val="231F20"/>
          <w:sz w:val="20"/>
        </w:rPr>
        <w:t>(File</w:t>
      </w:r>
    </w:p>
    <w:p>
      <w:pPr>
        <w:spacing w:before="1"/>
        <w:ind w:left="2150" w:right="0" w:firstLine="0"/>
        <w:jc w:val="left"/>
        <w:rPr>
          <w:sz w:val="20"/>
        </w:rPr>
      </w:pPr>
      <w:r>
        <w:rPr>
          <w:color w:val="231F20"/>
          <w:sz w:val="20"/>
        </w:rPr>
        <w:t>No. 1-7259)).</w:t>
      </w:r>
    </w:p>
    <w:p>
      <w:pPr>
        <w:pStyle w:val="ListParagraph"/>
        <w:numPr>
          <w:ilvl w:val="1"/>
          <w:numId w:val="26"/>
        </w:numPr>
        <w:tabs>
          <w:tab w:pos="2149" w:val="left" w:leader="none"/>
          <w:tab w:pos="2150" w:val="left" w:leader="none"/>
        </w:tabs>
        <w:spacing w:line="249" w:lineRule="auto" w:before="130" w:after="0"/>
        <w:ind w:left="2150" w:right="458" w:hanging="19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w:t>
      </w:r>
      <w:r>
        <w:rPr>
          <w:color w:val="231F20"/>
          <w:spacing w:val="5"/>
          <w:sz w:val="20"/>
        </w:rPr>
        <w:t> </w:t>
      </w:r>
      <w:r>
        <w:rPr>
          <w:color w:val="231F20"/>
          <w:sz w:val="20"/>
        </w:rPr>
        <w:t>333-100861)).</w:t>
      </w:r>
    </w:p>
    <w:p>
      <w:pPr>
        <w:pStyle w:val="ListParagraph"/>
        <w:numPr>
          <w:ilvl w:val="1"/>
          <w:numId w:val="26"/>
        </w:numPr>
        <w:tabs>
          <w:tab w:pos="2149" w:val="left" w:leader="none"/>
          <w:tab w:pos="2150" w:val="left" w:leader="none"/>
        </w:tabs>
        <w:spacing w:line="240" w:lineRule="auto" w:before="121" w:after="0"/>
        <w:ind w:left="2150" w:right="0" w:hanging="1950"/>
        <w:jc w:val="left"/>
        <w:rPr>
          <w:sz w:val="20"/>
        </w:rPr>
      </w:pPr>
      <w:r>
        <w:rPr>
          <w:color w:val="231F20"/>
          <w:sz w:val="20"/>
        </w:rPr>
        <w:t>Indenture dated as of February 25, 1997, between the Company and</w:t>
      </w:r>
      <w:r>
        <w:rPr>
          <w:color w:val="231F20"/>
          <w:spacing w:val="2"/>
          <w:sz w:val="20"/>
        </w:rPr>
        <w:t> </w:t>
      </w:r>
      <w:r>
        <w:rPr>
          <w:color w:val="231F20"/>
          <w:sz w:val="20"/>
        </w:rPr>
        <w:t>U.S.</w:t>
      </w:r>
    </w:p>
    <w:p>
      <w:pPr>
        <w:spacing w:line="249" w:lineRule="auto" w:before="9"/>
        <w:ind w:left="2150" w:right="699" w:firstLine="0"/>
        <w:jc w:val="left"/>
        <w:rPr>
          <w:sz w:val="20"/>
        </w:rPr>
      </w:pPr>
      <w:r>
        <w:rPr>
          <w:color w:val="231F20"/>
          <w:sz w:val="20"/>
        </w:rPr>
        <w:t>Trust Company of Texas, N.A. (incorporated by reference to Exhibit 4.12 to the Company’s Annual Report on Form 10-K for the year ended December 31, 1996 (File No. 1-7259)).</w:t>
      </w:r>
    </w:p>
    <w:p>
      <w:pPr>
        <w:spacing w:line="249" w:lineRule="auto" w:before="121"/>
        <w:ind w:left="2150" w:right="243" w:firstLine="0"/>
        <w:jc w:val="left"/>
        <w:rPr>
          <w:sz w:val="20"/>
        </w:rPr>
      </w:pPr>
      <w:r>
        <w:rPr>
          <w:color w:val="231F20"/>
          <w:sz w:val="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pStyle w:val="ListParagraph"/>
        <w:numPr>
          <w:ilvl w:val="1"/>
          <w:numId w:val="27"/>
        </w:numPr>
        <w:tabs>
          <w:tab w:pos="2149" w:val="left" w:leader="none"/>
          <w:tab w:pos="2150" w:val="left" w:leader="none"/>
        </w:tabs>
        <w:spacing w:line="249" w:lineRule="auto" w:before="121" w:after="0"/>
        <w:ind w:left="2150" w:right="190" w:hanging="2050"/>
        <w:jc w:val="left"/>
        <w:rPr>
          <w:sz w:val="20"/>
        </w:rPr>
      </w:pPr>
      <w:r>
        <w:rPr>
          <w:color w:val="231F20"/>
          <w:sz w:val="20"/>
        </w:rPr>
        <w:t>Purchase Agreement No. 1810, dated January 19, 1994, between The Boeing Company and the 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w:t>
      </w:r>
      <w:r>
        <w:rPr>
          <w:color w:val="231F20"/>
          <w:spacing w:val="1"/>
          <w:sz w:val="20"/>
        </w:rPr>
        <w:t> </w:t>
      </w:r>
      <w:r>
        <w:rPr>
          <w:color w:val="231F20"/>
          <w:sz w:val="20"/>
        </w:rPr>
        <w:t>1996</w:t>
      </w:r>
    </w:p>
    <w:p>
      <w:pPr>
        <w:spacing w:before="0"/>
        <w:ind w:left="2150" w:right="0" w:firstLine="0"/>
        <w:jc w:val="left"/>
        <w:rPr>
          <w:sz w:val="20"/>
        </w:rPr>
      </w:pPr>
      <w:r>
        <w:rPr>
          <w:color w:val="231F20"/>
          <w:sz w:val="20"/>
        </w:rPr>
        <w:t>(File No. 1-7259)); Supplemental Agreements Nos. 2, 3, and 4 (incorporated by</w:t>
      </w:r>
    </w:p>
    <w:p>
      <w:pPr>
        <w:spacing w:after="0"/>
        <w:jc w:val="left"/>
        <w:rPr>
          <w:sz w:val="20"/>
        </w:rPr>
        <w:sectPr>
          <w:footerReference w:type="default" r:id="rId27"/>
          <w:pgSz w:w="11880" w:h="15480"/>
          <w:pgMar w:footer="1240" w:header="0" w:top="1240" w:bottom="1420" w:left="1280" w:right="1260"/>
        </w:sectPr>
      </w:pPr>
    </w:p>
    <w:p>
      <w:pPr>
        <w:spacing w:line="249" w:lineRule="auto" w:before="73"/>
        <w:ind w:left="1750" w:right="146" w:firstLine="0"/>
        <w:jc w:val="left"/>
        <w:rPr>
          <w:sz w:val="20"/>
        </w:rPr>
      </w:pPr>
      <w:r>
        <w:rPr>
          <w:color w:val="231F20"/>
          <w:sz w:val="20"/>
        </w:rPr>
        <w:t>reference to Exhibit 10.2 to the Company’s Annual Report on Form 10-K for the year ended December 31, 1997 (File No. 1-7259)); Supplemental Agreements Nos. 5, 6, and 7 (incorporated by reference to Exhibit 10.1 to the Company’s Annual Report on</w:t>
      </w:r>
    </w:p>
    <w:p>
      <w:pPr>
        <w:spacing w:line="249" w:lineRule="auto" w:before="1"/>
        <w:ind w:left="1750" w:right="407" w:firstLine="0"/>
        <w:jc w:val="left"/>
        <w:rPr>
          <w:sz w:val="20"/>
        </w:rPr>
      </w:pPr>
      <w:r>
        <w:rPr>
          <w:color w:val="231F20"/>
          <w:sz w:val="20"/>
        </w:rPr>
        <w:t>Form 10-K for the year ended December 31, 1998 (File No. 1-7259)); Supplemental Agreements Nos. 8, 9, and 10 (incorporated by reference to Exhibit 10.1 to the Company’s Annual Report on Form 10-K for the year ended December 31, 1999</w:t>
      </w:r>
    </w:p>
    <w:p>
      <w:pPr>
        <w:spacing w:line="249" w:lineRule="auto" w:before="1"/>
        <w:ind w:left="1750" w:right="168" w:firstLine="0"/>
        <w:jc w:val="left"/>
        <w:rPr>
          <w:sz w:val="20"/>
        </w:rPr>
      </w:pPr>
      <w:r>
        <w:rPr>
          <w:color w:val="231F20"/>
          <w:sz w:val="20"/>
        </w:rPr>
        <w:t>(File No. 1-7259)); Supplemental Agreements Nos. 11, 12, 13, and 14 (incorporated by reference to Exhibit 10.1 to the Company’s Quarterly Report on Form 10-Q for the quarter ended September 30, 2000 (File No. 1-7259)); Supplemental Agreements</w:t>
      </w:r>
    </w:p>
    <w:p>
      <w:pPr>
        <w:spacing w:line="249" w:lineRule="auto" w:before="1"/>
        <w:ind w:left="1750" w:right="101" w:firstLine="0"/>
        <w:jc w:val="left"/>
        <w:rPr>
          <w:sz w:val="20"/>
        </w:rPr>
      </w:pPr>
      <w:r>
        <w:rPr>
          <w:color w:val="231F20"/>
          <w:sz w:val="20"/>
        </w:rPr>
        <w:t>Nos. 15, 16, 17, 18, and 19 (incorporated by reference to Exhibit 10.1 to the Company’s Quarterly Report on Form 10-Q for the quarter ended September 30, 2001</w:t>
      </w:r>
    </w:p>
    <w:p>
      <w:pPr>
        <w:spacing w:line="249" w:lineRule="auto" w:before="1"/>
        <w:ind w:left="1750" w:right="118" w:firstLine="0"/>
        <w:jc w:val="left"/>
        <w:rPr>
          <w:sz w:val="20"/>
        </w:rPr>
      </w:pPr>
      <w:r>
        <w:rPr>
          <w:color w:val="231F20"/>
          <w:sz w:val="20"/>
        </w:rPr>
        <w:t>(File No. 1-7259)); Supplemental Agreements Nos. 20, 21, 22, 23, and 24 (incorporated by reference to Exhibit 10.3 to the Company’s Quarterly Report on Form 10-Q for the quarter ended September 30, 2002 (File No. 1-7259)); Supplemental Agreements</w:t>
      </w:r>
    </w:p>
    <w:p>
      <w:pPr>
        <w:spacing w:line="249" w:lineRule="auto" w:before="1"/>
        <w:ind w:left="1750" w:right="111" w:firstLine="0"/>
        <w:jc w:val="both"/>
        <w:rPr>
          <w:sz w:val="20"/>
        </w:rPr>
      </w:pPr>
      <w:r>
        <w:rPr>
          <w:color w:val="231F20"/>
          <w:sz w:val="20"/>
        </w:rPr>
        <w:t>Nos. 25, 26, 27, 28, and 29 (incorporated by reference to Exhibit 10.8 to the Company’s Quarterly Report on Form 10-Q for the quarter ended June 30, 2003 (File No. 1-7259)); Supplemental Agreements Nos. 30, 31, 32, and 33 (incorporated by reference to</w:t>
      </w:r>
    </w:p>
    <w:p>
      <w:pPr>
        <w:spacing w:line="249" w:lineRule="auto" w:before="1"/>
        <w:ind w:left="1750" w:right="222" w:firstLine="0"/>
        <w:jc w:val="left"/>
        <w:rPr>
          <w:sz w:val="20"/>
        </w:rPr>
      </w:pPr>
      <w:r>
        <w:rPr>
          <w:color w:val="231F20"/>
          <w:sz w:val="20"/>
        </w:rPr>
        <w:t>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w:t>
      </w:r>
      <w:r>
        <w:rPr>
          <w:color w:val="231F20"/>
          <w:spacing w:val="5"/>
          <w:sz w:val="20"/>
        </w:rPr>
        <w:t> </w:t>
      </w:r>
      <w:r>
        <w:rPr>
          <w:color w:val="231F20"/>
          <w:sz w:val="20"/>
        </w:rPr>
        <w:t>Company’s</w:t>
      </w:r>
    </w:p>
    <w:p>
      <w:pPr>
        <w:spacing w:line="249" w:lineRule="auto" w:before="1"/>
        <w:ind w:left="1750" w:right="129" w:firstLine="0"/>
        <w:jc w:val="left"/>
        <w:rPr>
          <w:sz w:val="20"/>
        </w:rPr>
      </w:pPr>
      <w:r>
        <w:rPr>
          <w:color w:val="231F20"/>
          <w:sz w:val="20"/>
        </w:rPr>
        <w:t>Quarterly Report on Form 10-Q for the quarter ended June 30, 2005 (File No. 1-7259)); Supplemental Agreements Nos. 46 and 47 (incorporated by reference to Exhibit 10.1 to the Company’s Quarterly Report on Form 10-Q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w:t>
      </w:r>
    </w:p>
    <w:p>
      <w:pPr>
        <w:spacing w:line="249" w:lineRule="auto" w:before="1"/>
        <w:ind w:left="1750" w:right="140" w:firstLine="0"/>
        <w:jc w:val="left"/>
        <w:rPr>
          <w:sz w:val="20"/>
        </w:rPr>
      </w:pPr>
      <w:r>
        <w:rPr>
          <w:color w:val="231F20"/>
          <w:sz w:val="20"/>
        </w:rPr>
        <w:t>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w:t>
      </w:r>
    </w:p>
    <w:p>
      <w:pPr>
        <w:spacing w:line="249" w:lineRule="auto" w:before="1"/>
        <w:ind w:left="1750" w:right="362" w:firstLine="0"/>
        <w:jc w:val="left"/>
        <w:rPr>
          <w:sz w:val="20"/>
        </w:rPr>
      </w:pPr>
      <w:r>
        <w:rPr>
          <w:color w:val="231F20"/>
          <w:sz w:val="20"/>
        </w:rPr>
        <w:t>(File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 Form 10-Q for the quarter ended September 30, 2007</w:t>
      </w:r>
    </w:p>
    <w:p>
      <w:pPr>
        <w:spacing w:line="249" w:lineRule="auto" w:before="1"/>
        <w:ind w:left="1750" w:right="223" w:firstLine="0"/>
        <w:jc w:val="left"/>
        <w:rPr>
          <w:sz w:val="20"/>
        </w:rPr>
      </w:pPr>
      <w:r>
        <w:rPr>
          <w:color w:val="231F20"/>
          <w:sz w:val="20"/>
        </w:rPr>
        <w:t>(File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w:t>
      </w:r>
    </w:p>
    <w:p>
      <w:pPr>
        <w:pStyle w:val="BodyText"/>
        <w:spacing w:before="10"/>
        <w:rPr>
          <w:sz w:val="20"/>
        </w:rPr>
      </w:pPr>
    </w:p>
    <w:p>
      <w:pPr>
        <w:spacing w:before="1"/>
        <w:ind w:left="4090" w:right="4489" w:firstLine="0"/>
        <w:jc w:val="center"/>
        <w:rPr>
          <w:sz w:val="20"/>
        </w:rPr>
      </w:pPr>
      <w:r>
        <w:rPr>
          <w:color w:val="231F20"/>
          <w:sz w:val="20"/>
        </w:rPr>
        <w:t>129</w:t>
      </w:r>
    </w:p>
    <w:p>
      <w:pPr>
        <w:spacing w:after="0"/>
        <w:jc w:val="center"/>
        <w:rPr>
          <w:sz w:val="20"/>
        </w:rPr>
        <w:sectPr>
          <w:footerReference w:type="default" r:id="rId28"/>
          <w:pgSz w:w="11880" w:h="15480"/>
          <w:pgMar w:footer="0" w:header="0" w:top="1240" w:bottom="280" w:left="1680" w:right="1280"/>
        </w:sectPr>
      </w:pPr>
    </w:p>
    <w:p>
      <w:pPr>
        <w:spacing w:line="249" w:lineRule="auto" w:before="73"/>
        <w:ind w:left="1750" w:right="362" w:firstLine="0"/>
        <w:jc w:val="left"/>
        <w:rPr>
          <w:sz w:val="20"/>
        </w:rPr>
      </w:pPr>
      <w:r>
        <w:rPr>
          <w:color w:val="231F20"/>
          <w:sz w:val="20"/>
        </w:rPr>
        <w:t>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w:t>
      </w:r>
    </w:p>
    <w:p>
      <w:pPr>
        <w:spacing w:line="249" w:lineRule="auto" w:before="1"/>
        <w:ind w:left="1750" w:right="90" w:firstLine="0"/>
        <w:jc w:val="left"/>
        <w:rPr>
          <w:sz w:val="20"/>
        </w:rPr>
      </w:pPr>
      <w:r>
        <w:rPr>
          <w:color w:val="231F20"/>
          <w:sz w:val="20"/>
        </w:rPr>
        <w:t>Nos. 62 and 63 (incorporated by reference to Exhibits 10.1 and 10.2, respectively, to the Company’s Quarterly Report on Form 10-Q for the quarter ended March 31, 2009</w:t>
      </w:r>
    </w:p>
    <w:p>
      <w:pPr>
        <w:spacing w:line="249" w:lineRule="auto" w:before="1"/>
        <w:ind w:left="1750" w:right="240" w:firstLine="0"/>
        <w:jc w:val="left"/>
        <w:rPr>
          <w:sz w:val="20"/>
        </w:rPr>
      </w:pPr>
      <w:r>
        <w:rPr>
          <w:color w:val="231F20"/>
          <w:sz w:val="20"/>
        </w:rPr>
        <w:t>(File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w:t>
      </w:r>
    </w:p>
    <w:p>
      <w:pPr>
        <w:spacing w:line="249" w:lineRule="auto" w:before="1"/>
        <w:ind w:left="1750" w:right="151" w:firstLine="0"/>
        <w:jc w:val="left"/>
        <w:rPr>
          <w:sz w:val="20"/>
        </w:rPr>
      </w:pPr>
      <w:r>
        <w:rPr>
          <w:color w:val="231F20"/>
          <w:sz w:val="20"/>
        </w:rPr>
        <w:t>Form 10-Q for the quarter ended September 30, 2010 (File No. 1-7259)); Supplemental Agreement No. 67 (incorporated by reference to Exhibit 10.1(a) to the Company’s Annual Report on Form 10-K for the year ended December 31, 2010</w:t>
      </w:r>
    </w:p>
    <w:p>
      <w:pPr>
        <w:spacing w:line="249" w:lineRule="auto" w:before="1"/>
        <w:ind w:left="1750" w:right="190" w:firstLine="0"/>
        <w:jc w:val="left"/>
        <w:rPr>
          <w:sz w:val="20"/>
        </w:rPr>
      </w:pPr>
      <w:r>
        <w:rPr>
          <w:color w:val="231F20"/>
          <w:sz w:val="20"/>
        </w:rPr>
        <w:t>(File No. 1-7259)); Supplemental Agreement No. 68 (incorporated by reference to Exhibit 10.1(b) to the Company’s Annual Report on Form 10-K for the year ended December 31, 2010 (File No. 1-7259)); Supplemental Agreement No. 69 (incorporated by reference to Exhibit 10.1(c) to the Company’s Annual Report on Form 10-K for the year ended December 31, 2010 (File No. 1-7259)); Supplemental Agreement No.</w:t>
      </w:r>
    </w:p>
    <w:p>
      <w:pPr>
        <w:spacing w:line="249" w:lineRule="auto" w:before="1"/>
        <w:ind w:left="1750" w:right="240" w:firstLine="0"/>
        <w:jc w:val="left"/>
        <w:rPr>
          <w:sz w:val="20"/>
        </w:rPr>
      </w:pPr>
      <w:r>
        <w:rPr>
          <w:color w:val="231F20"/>
          <w:sz w:val="20"/>
        </w:rPr>
        <w:t>70 (incorporated by reference to Exhibit 10.1(d) to the Company’s Annual Report on Form 10-K for the year ended December 31, 2010 (File No. 1-7259)); Supplemental Agreements Nos. 71 and 72 (incorporated by reference to Exhibits 10.1 and 10.2, respectively, to the Company’s Quarterly Report on Form 10-Q for the quarter ended March 31, 2011 (File No. 1-7259)); Supplemental Agreement No. 73 (incorporated by reference to Exhibit 10.1 to the Company’s Quarterly Report on Form 10-Q for the quarter ended June 30, 2011 (File No. 1-7259)); Supplemental Agreement No. 74 (incorporated by reference to Exhibit 10.1 to the Company’s Quarterly Report on</w:t>
      </w:r>
    </w:p>
    <w:p>
      <w:pPr>
        <w:spacing w:line="249" w:lineRule="auto" w:before="1"/>
        <w:ind w:left="1750" w:right="151" w:firstLine="0"/>
        <w:jc w:val="left"/>
        <w:rPr>
          <w:sz w:val="20"/>
        </w:rPr>
      </w:pPr>
      <w:r>
        <w:rPr>
          <w:color w:val="231F20"/>
          <w:sz w:val="20"/>
        </w:rPr>
        <w:t>Form 10-Q for the quarter ended September 30, 2011 (File No. 1-7259)); Supplemental Agreement No. 75 (incorporated by reference to Exhibit 10.1(a) to the Company’s Annual Report on Form 10-K for the year ended December 31, 2011 (File</w:t>
      </w:r>
    </w:p>
    <w:p>
      <w:pPr>
        <w:spacing w:line="249" w:lineRule="auto" w:before="1"/>
        <w:ind w:left="1750" w:right="96" w:firstLine="0"/>
        <w:jc w:val="left"/>
        <w:rPr>
          <w:sz w:val="20"/>
        </w:rPr>
      </w:pPr>
      <w:r>
        <w:rPr>
          <w:color w:val="231F20"/>
          <w:sz w:val="20"/>
        </w:rPr>
        <w:t>No. 1-7259)); Supplemental Agreements Nos. 76 and 77 (incorporated by reference to Exhibits 10.1 and 10.2, respectively, to the Company’s Quarterly Report on Form 10-Q for the quarter ended June 30, 2012 (File No. 1-7259)); Supplemental Agreements Nos. 78 and 79 (incorporated by reference to Exhibits 10.1 and 10.2, respectively, to the Company’s Quarterly Report on Form 10-Q for the quarter ended September 30, 2012 (File No. 1-7259)); Supplemental Agreements Nos. 80 and 81 (incorporated by reference to Exhibits 10.1 and 10.2, respectively, to the Company’s Quarterly Report on Form 10-Q for the quarter ended March 31, 2013 (File No. 1-7259)); Supplemental Agreements Nos. 82 and 83 (incorporated by reference to Exhibits 10.1 and 10.2, respectively, to the Company’s Quarterly Report on Form 10-Q for the quarter ended June 30, 2013 (File No. 1-7259)); Supplemental Agreement No. 84 (incorporated by reference to Exhibit 10.1 to the Company’s Quarterly Report on Form 10-Q for the quarter ended September 30, 2013 (File No. 1-7259)); Supplemental Agreement No. 85 (incorporated by reference to Exhibit 10.1(a) to the Company’s Annual Report on</w:t>
      </w:r>
    </w:p>
    <w:p>
      <w:pPr>
        <w:spacing w:line="249" w:lineRule="auto" w:before="1"/>
        <w:ind w:left="1750" w:right="407" w:firstLine="0"/>
        <w:jc w:val="left"/>
        <w:rPr>
          <w:sz w:val="20"/>
        </w:rPr>
      </w:pPr>
      <w:r>
        <w:rPr>
          <w:color w:val="231F20"/>
          <w:sz w:val="20"/>
        </w:rPr>
        <w:t>Form 10-K for the year ended December 31, 2013 (File No. 1-7259)); Supplemental Agreement No. 86 (incorporated by reference to Exhibit 10.1 to the Company’s Quarterly Report on Form 10-Q for the quarter ended March 31, 2014</w:t>
      </w:r>
    </w:p>
    <w:p>
      <w:pPr>
        <w:spacing w:line="249" w:lineRule="auto" w:before="1"/>
        <w:ind w:left="1750" w:right="362" w:firstLine="0"/>
        <w:jc w:val="left"/>
        <w:rPr>
          <w:sz w:val="20"/>
        </w:rPr>
      </w:pPr>
      <w:r>
        <w:rPr>
          <w:color w:val="231F20"/>
          <w:sz w:val="20"/>
        </w:rPr>
        <w:t>(File No. 1-7259)); Supplemental Agreement No. 87 (incorporated by reference to Exhibit 10.1 to the Company’s Quarterly Report on Form 10-Q for the quarter ended June 30, 2014 (File No. 1-7259)); Supplemental Agreement No. 88 (incorporated by reference to Exhibit 10.1 to the Company’s Quarterly Report on Form 10-Q for the</w:t>
      </w:r>
    </w:p>
    <w:p>
      <w:pPr>
        <w:spacing w:after="0" w:line="249" w:lineRule="auto"/>
        <w:jc w:val="left"/>
        <w:rPr>
          <w:sz w:val="20"/>
        </w:rPr>
        <w:sectPr>
          <w:footerReference w:type="default" r:id="rId29"/>
          <w:pgSz w:w="11880" w:h="15480"/>
          <w:pgMar w:footer="1240" w:header="0" w:top="1240" w:bottom="1420" w:left="1680" w:right="1280"/>
          <w:pgNumType w:start="130"/>
        </w:sectPr>
      </w:pPr>
    </w:p>
    <w:p>
      <w:pPr>
        <w:spacing w:before="73"/>
        <w:ind w:left="2170" w:right="0" w:firstLine="0"/>
        <w:jc w:val="left"/>
        <w:rPr>
          <w:sz w:val="20"/>
        </w:rPr>
      </w:pPr>
      <w:r>
        <w:rPr>
          <w:color w:val="231F20"/>
          <w:sz w:val="20"/>
        </w:rPr>
        <w:t>quarter ended September 30, 2014 (File No. 1-7259)); Supplemental Agreements</w:t>
      </w:r>
    </w:p>
    <w:p>
      <w:pPr>
        <w:spacing w:line="249" w:lineRule="auto" w:before="9"/>
        <w:ind w:left="2170" w:right="95" w:firstLine="0"/>
        <w:jc w:val="left"/>
        <w:rPr>
          <w:sz w:val="20"/>
        </w:rPr>
      </w:pPr>
      <w:r>
        <w:rPr>
          <w:color w:val="231F20"/>
          <w:sz w:val="20"/>
        </w:rPr>
        <w:t>Nos. 89 and 90 (incorporated by reference to Exhibits 10.1(a) and 10.1(b), respectively, to the Company’s Annual Report on Form 10-K for the year ended December 31, 2014 (File No. 1-7259)); Supplemental Agreement No. 91 (incorporated by reference to Exhibit 10.1 to the Company’s Quarterly Report on Form 10-Q for the quarter ended June 30, 2015 (File No. 1-7259)); Supplemental Letter Agreement No.</w:t>
      </w:r>
    </w:p>
    <w:p>
      <w:pPr>
        <w:spacing w:line="249" w:lineRule="auto" w:before="0"/>
        <w:ind w:left="2170" w:right="722" w:firstLine="0"/>
        <w:jc w:val="left"/>
        <w:rPr>
          <w:sz w:val="20"/>
        </w:rPr>
      </w:pPr>
      <w:r>
        <w:rPr>
          <w:color w:val="231F20"/>
          <w:sz w:val="20"/>
        </w:rPr>
        <w:t>1810-LA-1501773 (incorporated by reference to Exhibit 10.1 to the Company’s Quarterly Report on Form 10-Q for the quarter ended September 30, 2015</w:t>
      </w:r>
    </w:p>
    <w:p>
      <w:pPr>
        <w:spacing w:line="249" w:lineRule="auto" w:before="0"/>
        <w:ind w:left="2170" w:right="161" w:firstLine="0"/>
        <w:jc w:val="left"/>
        <w:rPr>
          <w:sz w:val="20"/>
        </w:rPr>
      </w:pPr>
      <w:r>
        <w:rPr>
          <w:color w:val="231F20"/>
          <w:sz w:val="20"/>
        </w:rPr>
        <w:t>(File No. 1-7259)); Supplemental Agreement No. 92 (incorporated by reference to Exhibit 10.1(a) to the Company’s Annual Report on Form 10-K for the year ended December 31, 2015 (File No. 1-7259)); Supplemental Agreement No. 93 (incorporated by reference to Exhibit 10.1 to the Company’s Quarterly Report on Form 10-Q for the quarter ended March 31, 2016 (File No. 1-7259)); Supplemental Agreement No. 94 (incorporated by reference to Exhibit 10.1 to the Company’s Quarterly Report on Form 10-Q for the quarter ended June 30, 2016 (File No. 1-7259)); Supplemental Agreements Nos. 95, 96, and 97 (incorporated by reference to Exhibits 10.1, 10.2, and 10.3, respectively, to the Company’s Quarterly Report on Form 10-Q for the quarter ended September 30, 2016 (File No. 1-7259)).</w:t>
      </w:r>
      <w:r>
        <w:rPr>
          <w:color w:val="231F20"/>
          <w:spacing w:val="2"/>
          <w:sz w:val="20"/>
        </w:rPr>
        <w:t> </w:t>
      </w:r>
      <w:r>
        <w:rPr>
          <w:color w:val="231F20"/>
          <w:sz w:val="20"/>
        </w:rPr>
        <w:t>(1)</w:t>
      </w:r>
    </w:p>
    <w:p>
      <w:pPr>
        <w:tabs>
          <w:tab w:pos="2169" w:val="left" w:leader="none"/>
        </w:tabs>
        <w:spacing w:line="249" w:lineRule="auto" w:before="120"/>
        <w:ind w:left="2170" w:right="271" w:hanging="2050"/>
        <w:jc w:val="left"/>
        <w:rPr>
          <w:sz w:val="20"/>
        </w:rPr>
      </w:pPr>
      <w:r>
        <w:rPr>
          <w:color w:val="231F20"/>
          <w:sz w:val="20"/>
        </w:rPr>
        <w:t>10.1(a)</w:t>
        <w:tab/>
        <w:t>Supplemental Agreement No. 98 to Purchase Agreement No. 1810, dated</w:t>
      </w:r>
      <w:r>
        <w:rPr>
          <w:color w:val="231F20"/>
          <w:spacing w:val="3"/>
          <w:sz w:val="20"/>
        </w:rPr>
        <w:t> </w:t>
      </w:r>
      <w:r>
        <w:rPr>
          <w:color w:val="231F20"/>
          <w:sz w:val="20"/>
        </w:rPr>
        <w:t>January</w:t>
      </w:r>
      <w:r>
        <w:rPr>
          <w:color w:val="231F20"/>
          <w:spacing w:val="1"/>
          <w:sz w:val="20"/>
        </w:rPr>
        <w:t> </w:t>
      </w:r>
      <w:r>
        <w:rPr>
          <w:color w:val="231F20"/>
          <w:sz w:val="20"/>
        </w:rPr>
        <w:t>19, 1994, between The Boeing Company and the Company. (1)</w:t>
      </w:r>
    </w:p>
    <w:p>
      <w:pPr>
        <w:tabs>
          <w:tab w:pos="2169" w:val="left" w:leader="none"/>
        </w:tabs>
        <w:spacing w:line="249" w:lineRule="auto" w:before="120"/>
        <w:ind w:left="2170" w:right="271" w:hanging="2050"/>
        <w:jc w:val="left"/>
        <w:rPr>
          <w:sz w:val="20"/>
        </w:rPr>
      </w:pPr>
      <w:r>
        <w:rPr>
          <w:color w:val="231F20"/>
          <w:sz w:val="20"/>
        </w:rPr>
        <w:t>10.1(b)</w:t>
        <w:tab/>
        <w:t>Supplemental Agreement No. 99 to Purchase Agreement No. 1810, dated</w:t>
      </w:r>
      <w:r>
        <w:rPr>
          <w:color w:val="231F20"/>
          <w:spacing w:val="3"/>
          <w:sz w:val="20"/>
        </w:rPr>
        <w:t> </w:t>
      </w:r>
      <w:r>
        <w:rPr>
          <w:color w:val="231F20"/>
          <w:sz w:val="20"/>
        </w:rPr>
        <w:t>January</w:t>
      </w:r>
      <w:r>
        <w:rPr>
          <w:color w:val="231F20"/>
          <w:spacing w:val="1"/>
          <w:sz w:val="20"/>
        </w:rPr>
        <w:t> </w:t>
      </w:r>
      <w:r>
        <w:rPr>
          <w:color w:val="231F20"/>
          <w:sz w:val="20"/>
        </w:rPr>
        <w:t>19, 1994, between The Boeing Company and the Company. (1)</w:t>
      </w:r>
    </w:p>
    <w:p>
      <w:pPr>
        <w:pStyle w:val="ListParagraph"/>
        <w:numPr>
          <w:ilvl w:val="1"/>
          <w:numId w:val="27"/>
        </w:numPr>
        <w:tabs>
          <w:tab w:pos="2169" w:val="left" w:leader="none"/>
          <w:tab w:pos="2170" w:val="left" w:leader="none"/>
        </w:tabs>
        <w:spacing w:line="249" w:lineRule="auto" w:before="120" w:after="0"/>
        <w:ind w:left="2170" w:right="331" w:hanging="20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2169" w:val="left" w:leader="none"/>
          <w:tab w:pos="2170" w:val="left" w:leader="none"/>
        </w:tabs>
        <w:spacing w:line="249" w:lineRule="auto" w:before="120" w:after="0"/>
        <w:ind w:left="2170" w:right="197" w:hanging="2050"/>
        <w:jc w:val="left"/>
        <w:rPr>
          <w:sz w:val="20"/>
        </w:rPr>
      </w:pPr>
      <w:r>
        <w:rPr>
          <w:color w:val="231F20"/>
          <w:sz w:val="20"/>
        </w:rPr>
        <w:t>Letter Agreement between Southwest Airlines Co. and Gary C. Kelly, effective as of February 1, 2011 (incorporated by reference to Exhibit 99.1 to the Company’s Current Report on Form 8-K filed February 1, 2011 (File No. 1-7259)).</w:t>
      </w:r>
      <w:r>
        <w:rPr>
          <w:color w:val="231F20"/>
          <w:spacing w:val="3"/>
          <w:sz w:val="20"/>
        </w:rPr>
        <w:t> </w:t>
      </w:r>
      <w:r>
        <w:rPr>
          <w:color w:val="231F20"/>
          <w:sz w:val="20"/>
        </w:rPr>
        <w:t>(2)</w:t>
      </w:r>
    </w:p>
    <w:p>
      <w:pPr>
        <w:pStyle w:val="ListParagraph"/>
        <w:numPr>
          <w:ilvl w:val="1"/>
          <w:numId w:val="27"/>
        </w:numPr>
        <w:tabs>
          <w:tab w:pos="2167" w:val="left" w:leader="none"/>
          <w:tab w:pos="2168" w:val="left" w:leader="none"/>
        </w:tabs>
        <w:spacing w:line="249" w:lineRule="auto" w:before="120" w:after="0"/>
        <w:ind w:left="2170" w:right="109" w:hanging="2050"/>
        <w:jc w:val="left"/>
        <w:rPr>
          <w:sz w:val="20"/>
        </w:rPr>
      </w:pPr>
      <w:r>
        <w:rPr>
          <w:color w:val="231F20"/>
          <w:sz w:val="20"/>
        </w:rPr>
        <w:t>Southwest</w:t>
      </w:r>
      <w:r>
        <w:rPr>
          <w:color w:val="231F20"/>
          <w:spacing w:val="-16"/>
          <w:sz w:val="20"/>
        </w:rPr>
        <w:t> </w:t>
      </w:r>
      <w:r>
        <w:rPr>
          <w:color w:val="231F20"/>
          <w:sz w:val="20"/>
        </w:rPr>
        <w:t>Airlines</w:t>
      </w:r>
      <w:r>
        <w:rPr>
          <w:color w:val="231F20"/>
          <w:spacing w:val="-16"/>
          <w:sz w:val="20"/>
        </w:rPr>
        <w:t> </w:t>
      </w:r>
      <w:r>
        <w:rPr>
          <w:color w:val="231F20"/>
          <w:sz w:val="20"/>
        </w:rPr>
        <w:t>Co.</w:t>
      </w:r>
      <w:r>
        <w:rPr>
          <w:color w:val="231F20"/>
          <w:spacing w:val="-16"/>
          <w:sz w:val="20"/>
        </w:rPr>
        <w:t> </w:t>
      </w:r>
      <w:r>
        <w:rPr>
          <w:color w:val="231F20"/>
          <w:sz w:val="20"/>
        </w:rPr>
        <w:t>Amended</w:t>
      </w:r>
      <w:r>
        <w:rPr>
          <w:color w:val="231F20"/>
          <w:spacing w:val="-16"/>
          <w:sz w:val="20"/>
        </w:rPr>
        <w:t> </w:t>
      </w:r>
      <w:r>
        <w:rPr>
          <w:color w:val="231F20"/>
          <w:sz w:val="20"/>
        </w:rPr>
        <w:t>and</w:t>
      </w:r>
      <w:r>
        <w:rPr>
          <w:color w:val="231F20"/>
          <w:spacing w:val="-16"/>
          <w:sz w:val="20"/>
        </w:rPr>
        <w:t> </w:t>
      </w:r>
      <w:r>
        <w:rPr>
          <w:color w:val="231F20"/>
          <w:sz w:val="20"/>
        </w:rPr>
        <w:t>Restated</w:t>
      </w:r>
      <w:r>
        <w:rPr>
          <w:color w:val="231F20"/>
          <w:spacing w:val="-16"/>
          <w:sz w:val="20"/>
        </w:rPr>
        <w:t> </w:t>
      </w:r>
      <w:r>
        <w:rPr>
          <w:color w:val="231F20"/>
          <w:sz w:val="20"/>
        </w:rPr>
        <w:t>Severance</w:t>
      </w:r>
      <w:r>
        <w:rPr>
          <w:color w:val="231F20"/>
          <w:spacing w:val="-16"/>
          <w:sz w:val="20"/>
        </w:rPr>
        <w:t> </w:t>
      </w:r>
      <w:r>
        <w:rPr>
          <w:color w:val="231F20"/>
          <w:sz w:val="20"/>
        </w:rPr>
        <w:t>Plan</w:t>
      </w:r>
      <w:r>
        <w:rPr>
          <w:color w:val="231F20"/>
          <w:spacing w:val="-16"/>
          <w:sz w:val="20"/>
        </w:rPr>
        <w:t> </w:t>
      </w:r>
      <w:r>
        <w:rPr>
          <w:color w:val="231F20"/>
          <w:sz w:val="20"/>
        </w:rPr>
        <w:t>for</w:t>
      </w:r>
      <w:r>
        <w:rPr>
          <w:color w:val="231F20"/>
          <w:spacing w:val="-16"/>
          <w:sz w:val="20"/>
        </w:rPr>
        <w:t> </w:t>
      </w:r>
      <w:r>
        <w:rPr>
          <w:color w:val="231F20"/>
          <w:sz w:val="20"/>
        </w:rPr>
        <w:t>Directors</w:t>
      </w:r>
      <w:r>
        <w:rPr>
          <w:color w:val="231F20"/>
          <w:spacing w:val="-16"/>
          <w:sz w:val="20"/>
        </w:rPr>
        <w:t> </w:t>
      </w:r>
      <w:r>
        <w:rPr>
          <w:color w:val="231F20"/>
          <w:sz w:val="20"/>
        </w:rPr>
        <w:t>(as</w:t>
      </w:r>
      <w:r>
        <w:rPr>
          <w:color w:val="231F20"/>
          <w:spacing w:val="-16"/>
          <w:sz w:val="20"/>
        </w:rPr>
        <w:t> </w:t>
      </w:r>
      <w:r>
        <w:rPr>
          <w:color w:val="231F20"/>
          <w:sz w:val="20"/>
        </w:rPr>
        <w:t>amended and restated effective May 19, 2009) (incorporated by reference to Exhibit 10.1 to </w:t>
      </w:r>
      <w:r>
        <w:rPr>
          <w:color w:val="231F20"/>
          <w:spacing w:val="-2"/>
          <w:sz w:val="20"/>
        </w:rPr>
        <w:t>the </w:t>
      </w:r>
      <w:r>
        <w:rPr>
          <w:color w:val="231F20"/>
          <w:sz w:val="20"/>
        </w:rPr>
        <w:t>Company’s Quarterly Report on Form 10-Q for the quarter ended June 30, 2009 (File No.</w:t>
      </w:r>
      <w:r>
        <w:rPr>
          <w:color w:val="231F20"/>
          <w:spacing w:val="-26"/>
          <w:sz w:val="20"/>
        </w:rPr>
        <w:t> </w:t>
      </w:r>
      <w:r>
        <w:rPr>
          <w:color w:val="231F20"/>
          <w:sz w:val="20"/>
        </w:rPr>
        <w:t>1-7259)).</w:t>
      </w:r>
    </w:p>
    <w:p>
      <w:pPr>
        <w:pStyle w:val="ListParagraph"/>
        <w:numPr>
          <w:ilvl w:val="1"/>
          <w:numId w:val="27"/>
        </w:numPr>
        <w:tabs>
          <w:tab w:pos="2169" w:val="left" w:leader="none"/>
          <w:tab w:pos="2170" w:val="left" w:leader="none"/>
        </w:tabs>
        <w:spacing w:line="249" w:lineRule="auto" w:before="120" w:after="0"/>
        <w:ind w:left="2170" w:right="105" w:hanging="20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2"/>
          <w:sz w:val="20"/>
        </w:rPr>
        <w:t> </w:t>
      </w:r>
      <w:r>
        <w:rPr>
          <w:color w:val="231F20"/>
          <w:sz w:val="20"/>
        </w:rPr>
        <w:t>1-7259)).</w:t>
      </w:r>
    </w:p>
    <w:p>
      <w:pPr>
        <w:pStyle w:val="ListParagraph"/>
        <w:numPr>
          <w:ilvl w:val="1"/>
          <w:numId w:val="27"/>
        </w:numPr>
        <w:tabs>
          <w:tab w:pos="2169" w:val="left" w:leader="none"/>
          <w:tab w:pos="2170" w:val="left" w:leader="none"/>
        </w:tabs>
        <w:spacing w:line="249" w:lineRule="auto" w:before="120" w:after="0"/>
        <w:ind w:left="2170" w:right="135" w:hanging="2050"/>
        <w:jc w:val="both"/>
        <w:rPr>
          <w:sz w:val="20"/>
        </w:rPr>
      </w:pPr>
      <w:r>
        <w:rPr>
          <w:color w:val="231F20"/>
          <w:sz w:val="20"/>
        </w:rPr>
        <w:t>Southwest Airlines Co. 2002 SWAPIA Non-Qualified Stock Option Plan (incorporated by reference to Exhibit 4.1 to the Company’s Registration Statement on Form S-8 filed October 30, 2002 (File No. 333-100862)).</w:t>
      </w:r>
    </w:p>
    <w:p>
      <w:pPr>
        <w:pStyle w:val="ListParagraph"/>
        <w:numPr>
          <w:ilvl w:val="1"/>
          <w:numId w:val="27"/>
        </w:numPr>
        <w:tabs>
          <w:tab w:pos="2169" w:val="left" w:leader="none"/>
          <w:tab w:pos="2170" w:val="left" w:leader="none"/>
        </w:tabs>
        <w:spacing w:line="249" w:lineRule="auto" w:before="120" w:after="0"/>
        <w:ind w:left="2170" w:right="774" w:hanging="2050"/>
        <w:jc w:val="left"/>
        <w:rPr>
          <w:sz w:val="20"/>
        </w:rPr>
      </w:pPr>
      <w:r>
        <w:rPr>
          <w:color w:val="231F20"/>
          <w:sz w:val="20"/>
        </w:rPr>
        <w:t>Southwest Airlines Co. Amended and Restated 2007 Equity Incentive Plan (incorporated by reference to Exhibit 99.1 to the Company’s Current Report on Form 8-K filed May 18, 2015 (File No. 1-7259)).</w:t>
      </w:r>
      <w:r>
        <w:rPr>
          <w:color w:val="231F20"/>
          <w:spacing w:val="2"/>
          <w:sz w:val="20"/>
        </w:rPr>
        <w:t> </w:t>
      </w:r>
      <w:r>
        <w:rPr>
          <w:color w:val="231F20"/>
          <w:sz w:val="20"/>
        </w:rPr>
        <w:t>(2)</w:t>
      </w:r>
    </w:p>
    <w:p>
      <w:pPr>
        <w:pStyle w:val="ListParagraph"/>
        <w:numPr>
          <w:ilvl w:val="1"/>
          <w:numId w:val="27"/>
        </w:numPr>
        <w:tabs>
          <w:tab w:pos="2169" w:val="left" w:leader="none"/>
          <w:tab w:pos="2170" w:val="left" w:leader="none"/>
        </w:tabs>
        <w:spacing w:line="249" w:lineRule="auto" w:before="120" w:after="0"/>
        <w:ind w:left="2170" w:right="120" w:hanging="20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1"/>
          <w:sz w:val="20"/>
        </w:rPr>
        <w:t> </w:t>
      </w:r>
      <w:r>
        <w:rPr>
          <w:color w:val="231F20"/>
          <w:sz w:val="20"/>
        </w:rPr>
        <w:t>(2)</w:t>
      </w:r>
    </w:p>
    <w:p>
      <w:pPr>
        <w:spacing w:after="0" w:line="249" w:lineRule="auto"/>
        <w:jc w:val="left"/>
        <w:rPr>
          <w:sz w:val="20"/>
        </w:rPr>
        <w:sectPr>
          <w:pgSz w:w="11880" w:h="15480"/>
          <w:pgMar w:header="0" w:footer="1240" w:top="1240" w:bottom="1420" w:left="1260" w:right="1320"/>
        </w:sectPr>
      </w:pPr>
    </w:p>
    <w:p>
      <w:pPr>
        <w:pStyle w:val="ListParagraph"/>
        <w:numPr>
          <w:ilvl w:val="1"/>
          <w:numId w:val="27"/>
        </w:numPr>
        <w:tabs>
          <w:tab w:pos="2149" w:val="left" w:leader="none"/>
          <w:tab w:pos="2150" w:val="left" w:leader="none"/>
        </w:tabs>
        <w:spacing w:line="247" w:lineRule="auto" w:before="70" w:after="0"/>
        <w:ind w:left="2150" w:right="110" w:hanging="2050"/>
        <w:jc w:val="left"/>
        <w:rPr>
          <w:sz w:val="20"/>
        </w:rPr>
      </w:pPr>
      <w:r>
        <w:rPr>
          <w:color w:val="231F20"/>
          <w:sz w:val="20"/>
        </w:rPr>
        <w:t>Southwest Airlines Co. Excess Benefit Plan (incorporated by reference to Exhibit 10.32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79" w:hanging="2050"/>
        <w:jc w:val="both"/>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79" w:hanging="2050"/>
        <w:jc w:val="both"/>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83" w:hanging="2050"/>
        <w:jc w:val="both"/>
        <w:rPr>
          <w:sz w:val="20"/>
        </w:rPr>
      </w:pPr>
      <w:r>
        <w:rPr>
          <w:color w:val="231F20"/>
          <w:sz w:val="20"/>
        </w:rPr>
        <w:t>Amended and Restated Southwest Airlines Co. 2005 Excess Benefit Plan (as amended and restated, effective as of March 1, 2016) (incorporated by reference to Exhibit 10.5 to the Company’s Quarterly Report on Form 10-Q for the quarter ended September 30, 2016 (File No. 1-7259)).</w:t>
      </w:r>
      <w:r>
        <w:rPr>
          <w:color w:val="231F20"/>
          <w:spacing w:val="1"/>
          <w:sz w:val="20"/>
        </w:rPr>
        <w:t> </w:t>
      </w:r>
      <w:r>
        <w:rPr>
          <w:color w:val="231F20"/>
          <w:sz w:val="20"/>
        </w:rPr>
        <w:t>(2)</w:t>
      </w:r>
    </w:p>
    <w:p>
      <w:pPr>
        <w:pStyle w:val="ListParagraph"/>
        <w:numPr>
          <w:ilvl w:val="1"/>
          <w:numId w:val="27"/>
        </w:numPr>
        <w:tabs>
          <w:tab w:pos="2149" w:val="left" w:leader="none"/>
          <w:tab w:pos="2150" w:val="left" w:leader="none"/>
        </w:tabs>
        <w:spacing w:line="247" w:lineRule="auto" w:before="95" w:after="0"/>
        <w:ind w:left="2150" w:right="794" w:hanging="2050"/>
        <w:jc w:val="left"/>
        <w:rPr>
          <w:sz w:val="20"/>
        </w:rPr>
      </w:pPr>
      <w:r>
        <w:rPr>
          <w:color w:val="231F20"/>
          <w:sz w:val="20"/>
        </w:rPr>
        <w:t>Form of Indemnification Agreement between the Company and its Directors (incorporated by reference to Exhibit 10.1 to the Company’s Current Report on Form 8-K filed January 22, 2009 (File No.</w:t>
      </w:r>
      <w:r>
        <w:rPr>
          <w:color w:val="231F20"/>
          <w:spacing w:val="2"/>
          <w:sz w:val="20"/>
        </w:rPr>
        <w:t> </w:t>
      </w:r>
      <w:r>
        <w:rPr>
          <w:color w:val="231F20"/>
          <w:sz w:val="20"/>
        </w:rPr>
        <w:t>1-7259)).</w:t>
      </w:r>
    </w:p>
    <w:p>
      <w:pPr>
        <w:pStyle w:val="ListParagraph"/>
        <w:numPr>
          <w:ilvl w:val="1"/>
          <w:numId w:val="27"/>
        </w:numPr>
        <w:tabs>
          <w:tab w:pos="2149" w:val="left" w:leader="none"/>
          <w:tab w:pos="2150" w:val="left" w:leader="none"/>
        </w:tabs>
        <w:spacing w:line="247" w:lineRule="auto" w:before="94" w:after="0"/>
        <w:ind w:left="2150" w:right="441" w:hanging="2050"/>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2014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5" w:after="0"/>
        <w:ind w:left="2150" w:right="170" w:hanging="2050"/>
        <w:jc w:val="left"/>
        <w:rPr>
          <w:sz w:val="20"/>
        </w:rPr>
      </w:pPr>
      <w:r>
        <w:rPr>
          <w:color w:val="231F20"/>
          <w:sz w:val="20"/>
        </w:rPr>
        <w:t>$1,000,000,000 Revolving Credit Facility Agreement among the Company, the Banks party thereto, Barclays Bank PLC, as Syndication Agent, Bank of America, N.A., BNP Paribas, Goldman Sachs Bank USA, Morgan Stanley Senior Funding, Inc., U.S. Bank National Association, and Wells Fargo Bank, N.A., as Documentation Agents, JPMorgan Chase Bank, N.A. and Citibank, N.A., as Co-Administrative Agents, and JPMorgan Chase Bank, N.A., as Paying Agent, dated as of August 3, 2016 (incorporated by reference to Exhibit 10.1 to the Company’s Current Report</w:t>
      </w:r>
      <w:r>
        <w:rPr>
          <w:color w:val="231F20"/>
          <w:spacing w:val="6"/>
          <w:sz w:val="20"/>
        </w:rPr>
        <w:t> </w:t>
      </w:r>
      <w:r>
        <w:rPr>
          <w:color w:val="231F20"/>
          <w:sz w:val="20"/>
        </w:rPr>
        <w:t>on</w:t>
      </w:r>
    </w:p>
    <w:p>
      <w:pPr>
        <w:spacing w:before="0"/>
        <w:ind w:left="2150" w:right="0" w:firstLine="0"/>
        <w:jc w:val="left"/>
        <w:rPr>
          <w:sz w:val="20"/>
        </w:rPr>
      </w:pPr>
      <w:r>
        <w:rPr>
          <w:color w:val="231F20"/>
          <w:sz w:val="20"/>
        </w:rPr>
        <w:t>Form 8-K filed August 9, 2016 (File No. 1-7259)).</w:t>
      </w:r>
    </w:p>
    <w:p>
      <w:pPr>
        <w:pStyle w:val="ListParagraph"/>
        <w:numPr>
          <w:ilvl w:val="1"/>
          <w:numId w:val="27"/>
        </w:numPr>
        <w:tabs>
          <w:tab w:pos="2149" w:val="left" w:leader="none"/>
          <w:tab w:pos="2150" w:val="left" w:leader="none"/>
        </w:tabs>
        <w:spacing w:line="247" w:lineRule="auto" w:before="104" w:after="0"/>
        <w:ind w:left="2150" w:right="119" w:hanging="2050"/>
        <w:jc w:val="left"/>
        <w:rPr>
          <w:sz w:val="20"/>
        </w:rPr>
      </w:pPr>
      <w:r>
        <w:rPr>
          <w:color w:val="231F20"/>
          <w:sz w:val="20"/>
        </w:rPr>
        <w:t>Purchase Agreement No. 3729 and Aircraft General Terms Agreement, dated December 13, 2011, between The Boeing Company and the Company (incorporated by reference to Exhibit 10.28 to the Company’s Annual Report on Form 10-K for the year ended December 31, 2011 (File No. 1-7259)); Supplemental Agreements Nos. 1 and 2 (incorporated by reference to Exhibits 10.3 and 10.4, respectively, to the Company’s Quarterly Report on Form 10-Q for the quarter ended June 30, 2013 (File No. 1-7259)); Supplemental Agreement No. 3 (incorporated by reference to Exhibit 10.27(a) to the Company’s Annual Report on Form 10-K for the year ended December 31, 2013 (File No. 1-7259)); Supplemental Agreement No. 4 (incorporated by reference</w:t>
      </w:r>
      <w:r>
        <w:rPr>
          <w:color w:val="231F20"/>
          <w:spacing w:val="6"/>
          <w:sz w:val="20"/>
        </w:rPr>
        <w:t> </w:t>
      </w:r>
      <w:r>
        <w:rPr>
          <w:color w:val="231F20"/>
          <w:sz w:val="20"/>
        </w:rPr>
        <w:t>to</w:t>
      </w:r>
    </w:p>
    <w:p>
      <w:pPr>
        <w:spacing w:line="247" w:lineRule="auto" w:before="0"/>
        <w:ind w:left="2150" w:right="237" w:firstLine="0"/>
        <w:jc w:val="left"/>
        <w:rPr>
          <w:sz w:val="20"/>
        </w:rPr>
      </w:pPr>
      <w:r>
        <w:rPr>
          <w:color w:val="231F20"/>
          <w:sz w:val="20"/>
        </w:rPr>
        <w:t>Exhibit 10.18(a) to the Company’s Annual Report on Form 10-K for the year ended December 31, 2015 (File No. 1-7259)); Supplemental Agreement No. 5 (incorporated by reference to Exhibit 10.2 to the Company’s Quarterly Report on Form 10-Q for the quarter ended June 30, 2016 (File No. 1-7259)). (1)</w:t>
      </w:r>
    </w:p>
    <w:p>
      <w:pPr>
        <w:pStyle w:val="ListParagraph"/>
        <w:numPr>
          <w:ilvl w:val="1"/>
          <w:numId w:val="27"/>
        </w:numPr>
        <w:tabs>
          <w:tab w:pos="2149" w:val="left" w:leader="none"/>
          <w:tab w:pos="2150" w:val="left" w:leader="none"/>
        </w:tabs>
        <w:spacing w:line="247" w:lineRule="auto" w:before="100" w:after="0"/>
        <w:ind w:left="2150" w:right="310" w:hanging="2050"/>
        <w:jc w:val="left"/>
        <w:rPr>
          <w:sz w:val="20"/>
        </w:rPr>
      </w:pPr>
      <w:r>
        <w:rPr>
          <w:color w:val="231F20"/>
          <w:sz w:val="20"/>
        </w:rPr>
        <w:t>Southwest Airlines Co. Senior Executive Short Term Incentive Plan (incorporated by reference to Exhibit 99.1 to the Company’s Current Report on Form 8-K filed January 30, 2013 (File No. 1-7259)).</w:t>
      </w:r>
      <w:r>
        <w:rPr>
          <w:color w:val="231F20"/>
          <w:spacing w:val="2"/>
          <w:sz w:val="20"/>
        </w:rPr>
        <w:t> </w:t>
      </w:r>
      <w:r>
        <w:rPr>
          <w:color w:val="231F20"/>
          <w:sz w:val="20"/>
        </w:rPr>
        <w:t>(2)</w:t>
      </w:r>
    </w:p>
    <w:p>
      <w:pPr>
        <w:pStyle w:val="ListParagraph"/>
        <w:numPr>
          <w:ilvl w:val="1"/>
          <w:numId w:val="27"/>
        </w:numPr>
        <w:tabs>
          <w:tab w:pos="2149" w:val="left" w:leader="none"/>
          <w:tab w:pos="2150" w:val="left" w:leader="none"/>
        </w:tabs>
        <w:spacing w:line="247" w:lineRule="auto" w:before="94" w:after="0"/>
        <w:ind w:left="2150" w:right="156" w:hanging="2050"/>
        <w:jc w:val="left"/>
        <w:rPr>
          <w:sz w:val="20"/>
        </w:rPr>
      </w:pPr>
      <w:r>
        <w:rPr>
          <w:color w:val="231F20"/>
          <w:sz w:val="20"/>
        </w:rPr>
        <w:t>Southwest Airlines Co. Deferred Compensation Plan for Senior Leadership and Non- Employee Members of the Southwest Airlines Co. Board of Directors (as amended and restated, effective as of March 1, 2016) (incorporated by reference to Exhibit 10.6 to the Company’s Quarterly Report on Form 10-Q for the quarter ended September 30, 2016 (File No. 1-7259)).</w:t>
      </w:r>
      <w:r>
        <w:rPr>
          <w:color w:val="231F20"/>
          <w:spacing w:val="1"/>
          <w:sz w:val="20"/>
        </w:rPr>
        <w:t> </w:t>
      </w:r>
      <w:r>
        <w:rPr>
          <w:color w:val="231F20"/>
          <w:sz w:val="20"/>
        </w:rPr>
        <w:t>(2)</w:t>
      </w:r>
    </w:p>
    <w:p>
      <w:pPr>
        <w:spacing w:after="0" w:line="247" w:lineRule="auto"/>
        <w:jc w:val="left"/>
        <w:rPr>
          <w:sz w:val="20"/>
        </w:rPr>
        <w:sectPr>
          <w:pgSz w:w="11880" w:h="15480"/>
          <w:pgMar w:header="0" w:footer="1240" w:top="1240" w:bottom="1420" w:left="1280" w:right="1300"/>
        </w:sectPr>
      </w:pPr>
    </w:p>
    <w:p>
      <w:pPr>
        <w:pStyle w:val="ListParagraph"/>
        <w:numPr>
          <w:ilvl w:val="1"/>
          <w:numId w:val="27"/>
        </w:numPr>
        <w:tabs>
          <w:tab w:pos="2319" w:val="left" w:leader="none"/>
          <w:tab w:pos="2320" w:val="left" w:leader="none"/>
        </w:tabs>
        <w:spacing w:line="249" w:lineRule="auto" w:before="73" w:after="0"/>
        <w:ind w:left="2320" w:right="289" w:hanging="2220"/>
        <w:jc w:val="left"/>
        <w:rPr>
          <w:sz w:val="20"/>
        </w:rPr>
      </w:pPr>
      <w:r>
        <w:rPr>
          <w:color w:val="231F20"/>
          <w:sz w:val="20"/>
        </w:rPr>
        <w:t>Southwest Airlines Co. Amended and Restated 2007 Equity Incentive Plan Form of Notice of Grant and Terms and Conditions for Performance-Based Restricted Stock Unit grants (incorporated by reference to Exhibit 10.4 to the Company’s Quarterly Report on Form 10-Q for the quarter ended June 30, 2014 (File No. 1-7259)).</w:t>
      </w:r>
      <w:r>
        <w:rPr>
          <w:color w:val="231F20"/>
          <w:spacing w:val="2"/>
          <w:sz w:val="20"/>
        </w:rPr>
        <w:t> </w:t>
      </w:r>
      <w:r>
        <w:rPr>
          <w:color w:val="231F20"/>
          <w:sz w:val="20"/>
        </w:rPr>
        <w:t>(2)</w:t>
      </w:r>
    </w:p>
    <w:p>
      <w:pPr>
        <w:tabs>
          <w:tab w:pos="2319" w:val="left" w:leader="none"/>
        </w:tabs>
        <w:spacing w:before="121"/>
        <w:ind w:left="100" w:right="0" w:firstLine="0"/>
        <w:jc w:val="left"/>
        <w:rPr>
          <w:sz w:val="20"/>
        </w:rPr>
      </w:pPr>
      <w:r>
        <w:rPr>
          <w:color w:val="231F20"/>
          <w:sz w:val="20"/>
        </w:rPr>
        <w:t>21</w:t>
        <w:tab/>
        <w:t>Subsidiaries of the</w:t>
      </w:r>
      <w:r>
        <w:rPr>
          <w:color w:val="231F20"/>
          <w:spacing w:val="2"/>
          <w:sz w:val="20"/>
        </w:rPr>
        <w:t> </w:t>
      </w:r>
      <w:r>
        <w:rPr>
          <w:color w:val="231F20"/>
          <w:sz w:val="20"/>
        </w:rPr>
        <w:t>Company.</w:t>
      </w:r>
    </w:p>
    <w:p>
      <w:pPr>
        <w:tabs>
          <w:tab w:pos="2319" w:val="left" w:leader="none"/>
        </w:tabs>
        <w:spacing w:before="130"/>
        <w:ind w:left="100" w:right="0" w:firstLine="0"/>
        <w:jc w:val="left"/>
        <w:rPr>
          <w:sz w:val="20"/>
        </w:rPr>
      </w:pPr>
      <w:r>
        <w:rPr>
          <w:color w:val="231F20"/>
          <w:sz w:val="20"/>
        </w:rPr>
        <w:t>23</w:t>
        <w:tab/>
        <w:t>Consent of Ernst &amp; Young LLP, Independent Registered Public Accounting Firm.</w:t>
      </w:r>
    </w:p>
    <w:p>
      <w:pPr>
        <w:pStyle w:val="ListParagraph"/>
        <w:numPr>
          <w:ilvl w:val="1"/>
          <w:numId w:val="28"/>
        </w:numPr>
        <w:tabs>
          <w:tab w:pos="2319" w:val="left" w:leader="none"/>
          <w:tab w:pos="2320" w:val="left" w:leader="none"/>
        </w:tabs>
        <w:spacing w:line="240" w:lineRule="auto" w:before="130" w:after="0"/>
        <w:ind w:left="2320" w:right="0" w:hanging="2220"/>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8"/>
        </w:numPr>
        <w:tabs>
          <w:tab w:pos="2319" w:val="left" w:leader="none"/>
          <w:tab w:pos="2320" w:val="left" w:leader="none"/>
        </w:tabs>
        <w:spacing w:line="240" w:lineRule="auto" w:before="130" w:after="0"/>
        <w:ind w:left="2320" w:right="0" w:hanging="2220"/>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8"/>
        </w:numPr>
        <w:tabs>
          <w:tab w:pos="2319" w:val="left" w:leader="none"/>
          <w:tab w:pos="2320" w:val="left" w:leader="none"/>
        </w:tabs>
        <w:spacing w:line="240" w:lineRule="auto" w:before="130" w:after="0"/>
        <w:ind w:left="2320" w:right="0" w:hanging="2220"/>
        <w:jc w:val="left"/>
        <w:rPr>
          <w:color w:val="231F20"/>
          <w:sz w:val="20"/>
        </w:rPr>
      </w:pPr>
      <w:r>
        <w:rPr>
          <w:color w:val="231F20"/>
          <w:sz w:val="20"/>
        </w:rPr>
        <w:t>Section 1350 Certification of Chief Executive Officer and Chief Financial Officer.</w:t>
      </w:r>
      <w:r>
        <w:rPr>
          <w:color w:val="231F20"/>
          <w:spacing w:val="8"/>
          <w:sz w:val="20"/>
        </w:rPr>
        <w:t> </w:t>
      </w:r>
      <w:r>
        <w:rPr>
          <w:color w:val="231F20"/>
          <w:sz w:val="20"/>
        </w:rPr>
        <w:t>(3)</w:t>
      </w:r>
    </w:p>
    <w:p>
      <w:pPr>
        <w:tabs>
          <w:tab w:pos="2319" w:val="left" w:leader="none"/>
        </w:tabs>
        <w:spacing w:before="130"/>
        <w:ind w:left="100" w:right="0" w:firstLine="0"/>
        <w:jc w:val="left"/>
        <w:rPr>
          <w:sz w:val="20"/>
        </w:rPr>
      </w:pPr>
      <w:r>
        <w:rPr>
          <w:color w:val="231F20"/>
          <w:sz w:val="20"/>
        </w:rPr>
        <w:t>101.INS</w:t>
        <w:tab/>
      </w:r>
      <w:r>
        <w:rPr>
          <w:color w:val="231F20"/>
          <w:w w:val="95"/>
          <w:sz w:val="20"/>
        </w:rPr>
        <w:t>XBRL Instance</w:t>
      </w:r>
      <w:r>
        <w:rPr>
          <w:color w:val="231F20"/>
          <w:spacing w:val="20"/>
          <w:w w:val="95"/>
          <w:sz w:val="20"/>
        </w:rPr>
        <w:t> </w:t>
      </w:r>
      <w:r>
        <w:rPr>
          <w:color w:val="231F20"/>
          <w:w w:val="95"/>
          <w:sz w:val="20"/>
        </w:rPr>
        <w:t>Document</w:t>
      </w:r>
    </w:p>
    <w:p>
      <w:pPr>
        <w:tabs>
          <w:tab w:pos="2319" w:val="left" w:leader="none"/>
        </w:tabs>
        <w:spacing w:before="130"/>
        <w:ind w:left="100" w:right="0" w:firstLine="0"/>
        <w:jc w:val="left"/>
        <w:rPr>
          <w:sz w:val="20"/>
        </w:rPr>
      </w:pPr>
      <w:r>
        <w:rPr>
          <w:color w:val="231F20"/>
          <w:sz w:val="20"/>
        </w:rPr>
        <w:t>101.SCH</w:t>
        <w:tab/>
        <w:t>XBRL Taxonomy Extension Schema</w:t>
      </w:r>
      <w:r>
        <w:rPr>
          <w:color w:val="231F20"/>
          <w:spacing w:val="-1"/>
          <w:sz w:val="20"/>
        </w:rPr>
        <w:t> </w:t>
      </w:r>
      <w:r>
        <w:rPr>
          <w:color w:val="231F20"/>
          <w:sz w:val="20"/>
        </w:rPr>
        <w:t>Document</w:t>
      </w:r>
    </w:p>
    <w:p>
      <w:pPr>
        <w:tabs>
          <w:tab w:pos="2319" w:val="left" w:leader="none"/>
        </w:tabs>
        <w:spacing w:before="130"/>
        <w:ind w:left="100" w:right="0" w:firstLine="0"/>
        <w:jc w:val="left"/>
        <w:rPr>
          <w:sz w:val="20"/>
        </w:rPr>
      </w:pPr>
      <w:r>
        <w:rPr>
          <w:color w:val="231F20"/>
          <w:sz w:val="20"/>
        </w:rPr>
        <w:t>101.CAL</w:t>
        <w:tab/>
        <w:t>XBRL Taxonomy Extension Calculation Linkbase Document</w:t>
      </w:r>
    </w:p>
    <w:p>
      <w:pPr>
        <w:tabs>
          <w:tab w:pos="2319" w:val="left" w:leader="none"/>
        </w:tabs>
        <w:spacing w:before="130"/>
        <w:ind w:left="100" w:right="0" w:firstLine="0"/>
        <w:jc w:val="left"/>
        <w:rPr>
          <w:sz w:val="20"/>
        </w:rPr>
      </w:pPr>
      <w:r>
        <w:rPr>
          <w:color w:val="231F20"/>
          <w:sz w:val="20"/>
        </w:rPr>
        <w:t>101.DEF</w:t>
        <w:tab/>
        <w:t>XBRL Taxonomy Extension Definition Linkbase Document</w:t>
      </w:r>
    </w:p>
    <w:p>
      <w:pPr>
        <w:tabs>
          <w:tab w:pos="2319" w:val="left" w:leader="none"/>
        </w:tabs>
        <w:spacing w:before="130"/>
        <w:ind w:left="100" w:right="0" w:firstLine="0"/>
        <w:jc w:val="left"/>
        <w:rPr>
          <w:sz w:val="20"/>
        </w:rPr>
      </w:pPr>
      <w:r>
        <w:rPr>
          <w:color w:val="231F20"/>
          <w:sz w:val="20"/>
        </w:rPr>
        <w:t>101.LAB</w:t>
        <w:tab/>
        <w:t>XBRL Extension Labels Linkbase</w:t>
      </w:r>
      <w:r>
        <w:rPr>
          <w:color w:val="231F20"/>
          <w:spacing w:val="-1"/>
          <w:sz w:val="20"/>
        </w:rPr>
        <w:t> </w:t>
      </w:r>
      <w:r>
        <w:rPr>
          <w:color w:val="231F20"/>
          <w:sz w:val="20"/>
        </w:rPr>
        <w:t>Document</w:t>
      </w:r>
    </w:p>
    <w:p>
      <w:pPr>
        <w:pStyle w:val="ListParagraph"/>
        <w:numPr>
          <w:ilvl w:val="0"/>
          <w:numId w:val="29"/>
        </w:numPr>
        <w:tabs>
          <w:tab w:pos="451" w:val="left" w:leader="none"/>
          <w:tab w:pos="2319" w:val="left" w:leader="none"/>
        </w:tabs>
        <w:spacing w:line="240" w:lineRule="auto" w:before="130" w:after="0"/>
        <w:ind w:left="451" w:right="0" w:hanging="351"/>
        <w:jc w:val="left"/>
        <w:rPr>
          <w:sz w:val="20"/>
        </w:rPr>
      </w:pPr>
      <w:r>
        <w:rPr>
          <w:color w:val="231F20"/>
          <w:sz w:val="20"/>
        </w:rPr>
        <w:t>PRE</w:t>
        <w:tab/>
        <w:t>XBRL Taxonomy Extension Presentation Linkbase</w:t>
      </w:r>
      <w:r>
        <w:rPr>
          <w:color w:val="231F20"/>
          <w:spacing w:val="1"/>
          <w:sz w:val="20"/>
        </w:rPr>
        <w:t> </w:t>
      </w:r>
      <w:r>
        <w:rPr>
          <w:color w:val="231F20"/>
          <w:sz w:val="20"/>
        </w:rPr>
        <w:t>Document</w:t>
      </w:r>
    </w:p>
    <w:p>
      <w:pPr>
        <w:pStyle w:val="BodyText"/>
        <w:spacing w:before="8"/>
        <w:rPr>
          <w:sz w:val="21"/>
        </w:rPr>
      </w:pPr>
    </w:p>
    <w:p>
      <w:pPr>
        <w:pStyle w:val="ListParagraph"/>
        <w:numPr>
          <w:ilvl w:val="1"/>
          <w:numId w:val="29"/>
        </w:numPr>
        <w:tabs>
          <w:tab w:pos="900" w:val="left" w:leader="none"/>
        </w:tabs>
        <w:spacing w:line="249" w:lineRule="auto" w:before="0" w:after="0"/>
        <w:ind w:left="900" w:right="99" w:hanging="400"/>
        <w:jc w:val="both"/>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1"/>
          <w:numId w:val="29"/>
        </w:numPr>
        <w:tabs>
          <w:tab w:pos="900" w:val="left" w:leader="none"/>
        </w:tabs>
        <w:spacing w:line="240" w:lineRule="auto" w:before="0" w:after="0"/>
        <w:ind w:left="900" w:right="0" w:hanging="40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1"/>
          <w:numId w:val="29"/>
        </w:numPr>
        <w:tabs>
          <w:tab w:pos="900" w:val="left" w:leader="none"/>
        </w:tabs>
        <w:spacing w:line="249" w:lineRule="auto" w:before="9" w:after="0"/>
        <w:ind w:left="900" w:right="98" w:hanging="400"/>
        <w:jc w:val="both"/>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rPr>
          <w:sz w:val="21"/>
        </w:rPr>
      </w:pPr>
    </w:p>
    <w:p>
      <w:pPr>
        <w:pStyle w:val="BodyText"/>
        <w:spacing w:line="247" w:lineRule="auto"/>
        <w:ind w:left="100" w:right="100"/>
      </w:pPr>
      <w:r>
        <w:rPr>
          <w:color w:val="231F20"/>
        </w:rPr>
        <w:t>A copy of each exhibit may be obtained at a price of 15 cents per page, $10.00 minimum order, by writing to: Investor Relations, Southwest Airlines Co., P.O. Box 36611, Dallas, Texas 75235-1611.</w:t>
      </w:r>
    </w:p>
    <w:p>
      <w:pPr>
        <w:spacing w:after="0" w:line="247" w:lineRule="auto"/>
        <w:sectPr>
          <w:pgSz w:w="11880" w:h="15480"/>
          <w:pgMar w:header="0" w:footer="1240" w:top="1240" w:bottom="1420" w:left="1280" w:right="1280"/>
        </w:sectPr>
      </w:pPr>
    </w:p>
    <w:p>
      <w:pPr>
        <w:pStyle w:val="BodyText"/>
        <w:spacing w:before="74"/>
        <w:ind w:left="95" w:right="95"/>
        <w:jc w:val="center"/>
      </w:pPr>
      <w:bookmarkStart w:name="Signatures  " w:id="52"/>
      <w:bookmarkEnd w:id="52"/>
      <w:r>
        <w:rPr/>
      </w:r>
      <w:r>
        <w:rPr>
          <w:color w:val="231F20"/>
        </w:rPr>
        <w:t>SIGNATURES</w:t>
      </w:r>
    </w:p>
    <w:p>
      <w:pPr>
        <w:pStyle w:val="BodyText"/>
        <w:spacing w:before="4"/>
        <w:rPr>
          <w:sz w:val="21"/>
        </w:rPr>
      </w:pPr>
    </w:p>
    <w:p>
      <w:pPr>
        <w:pStyle w:val="BodyText"/>
        <w:spacing w:line="247" w:lineRule="auto" w:before="1"/>
        <w:ind w:left="119"/>
      </w:pPr>
      <w:r>
        <w:rPr>
          <w:color w:val="231F20"/>
          <w:spacing w:val="-4"/>
        </w:rPr>
        <w:t>Pursuant </w:t>
      </w:r>
      <w:r>
        <w:rPr>
          <w:color w:val="231F20"/>
        </w:rPr>
        <w:t>to </w:t>
      </w:r>
      <w:r>
        <w:rPr>
          <w:color w:val="231F20"/>
          <w:spacing w:val="-3"/>
        </w:rPr>
        <w:t>the </w:t>
      </w:r>
      <w:r>
        <w:rPr>
          <w:color w:val="231F20"/>
          <w:spacing w:val="-4"/>
        </w:rPr>
        <w:t>requirements </w:t>
      </w:r>
      <w:r>
        <w:rPr>
          <w:color w:val="231F20"/>
        </w:rPr>
        <w:t>of </w:t>
      </w:r>
      <w:r>
        <w:rPr>
          <w:color w:val="231F20"/>
          <w:spacing w:val="-4"/>
        </w:rPr>
        <w:t>Section </w:t>
      </w:r>
      <w:r>
        <w:rPr>
          <w:color w:val="231F20"/>
        </w:rPr>
        <w:t>13 or </w:t>
      </w:r>
      <w:r>
        <w:rPr>
          <w:color w:val="231F20"/>
          <w:spacing w:val="-4"/>
        </w:rPr>
        <w:t>15(d) </w:t>
      </w:r>
      <w:r>
        <w:rPr>
          <w:color w:val="231F20"/>
        </w:rPr>
        <w:t>of </w:t>
      </w:r>
      <w:r>
        <w:rPr>
          <w:color w:val="231F20"/>
          <w:spacing w:val="-3"/>
        </w:rPr>
        <w:t>the </w:t>
      </w:r>
      <w:r>
        <w:rPr>
          <w:color w:val="231F20"/>
          <w:spacing w:val="-4"/>
        </w:rPr>
        <w:t>Securities Exchange </w:t>
      </w:r>
      <w:r>
        <w:rPr>
          <w:color w:val="231F20"/>
          <w:spacing w:val="-3"/>
        </w:rPr>
        <w:t>Act </w:t>
      </w:r>
      <w:r>
        <w:rPr>
          <w:color w:val="231F20"/>
        </w:rPr>
        <w:t>of </w:t>
      </w:r>
      <w:r>
        <w:rPr>
          <w:color w:val="231F20"/>
          <w:spacing w:val="-4"/>
        </w:rPr>
        <w:t>1934, </w:t>
      </w:r>
      <w:r>
        <w:rPr>
          <w:color w:val="231F20"/>
          <w:spacing w:val="-3"/>
        </w:rPr>
        <w:t>the </w:t>
      </w:r>
      <w:r>
        <w:rPr>
          <w:color w:val="231F20"/>
          <w:spacing w:val="-4"/>
        </w:rPr>
        <w:t>Registrant </w:t>
      </w:r>
      <w:r>
        <w:rPr>
          <w:color w:val="231F20"/>
          <w:spacing w:val="-3"/>
        </w:rPr>
        <w:t>has duly </w:t>
      </w:r>
      <w:r>
        <w:rPr>
          <w:color w:val="231F20"/>
          <w:spacing w:val="-4"/>
        </w:rPr>
        <w:t>caused this report </w:t>
      </w:r>
      <w:r>
        <w:rPr>
          <w:color w:val="231F20"/>
          <w:spacing w:val="-3"/>
        </w:rPr>
        <w:t>to </w:t>
      </w:r>
      <w:r>
        <w:rPr>
          <w:color w:val="231F20"/>
        </w:rPr>
        <w:t>be </w:t>
      </w:r>
      <w:r>
        <w:rPr>
          <w:color w:val="231F20"/>
          <w:spacing w:val="-4"/>
        </w:rPr>
        <w:t>signed </w:t>
      </w:r>
      <w:r>
        <w:rPr>
          <w:color w:val="231F20"/>
        </w:rPr>
        <w:t>on </w:t>
      </w:r>
      <w:r>
        <w:rPr>
          <w:color w:val="231F20"/>
          <w:spacing w:val="-3"/>
        </w:rPr>
        <w:t>its </w:t>
      </w:r>
      <w:r>
        <w:rPr>
          <w:color w:val="231F20"/>
          <w:spacing w:val="-4"/>
        </w:rPr>
        <w:t>behalf </w:t>
      </w:r>
      <w:r>
        <w:rPr>
          <w:color w:val="231F20"/>
        </w:rPr>
        <w:t>by </w:t>
      </w:r>
      <w:r>
        <w:rPr>
          <w:color w:val="231F20"/>
          <w:spacing w:val="-3"/>
        </w:rPr>
        <w:t>the </w:t>
      </w:r>
      <w:r>
        <w:rPr>
          <w:color w:val="231F20"/>
          <w:spacing w:val="-4"/>
        </w:rPr>
        <w:t>undersigned thereunto </w:t>
      </w:r>
      <w:r>
        <w:rPr>
          <w:color w:val="231F20"/>
          <w:spacing w:val="-3"/>
        </w:rPr>
        <w:t>duly </w:t>
      </w:r>
      <w:r>
        <w:rPr>
          <w:color w:val="231F20"/>
          <w:spacing w:val="-4"/>
        </w:rPr>
        <w:t>authorized.</w:t>
      </w:r>
    </w:p>
    <w:p>
      <w:pPr>
        <w:pStyle w:val="BodyText"/>
        <w:spacing w:before="2"/>
        <w:rPr>
          <w:sz w:val="23"/>
        </w:rPr>
      </w:pPr>
    </w:p>
    <w:p>
      <w:pPr>
        <w:pStyle w:val="BodyText"/>
        <w:spacing w:before="93"/>
        <w:ind w:left="4432"/>
      </w:pPr>
      <w:r>
        <w:rPr>
          <w:color w:val="231F20"/>
        </w:rPr>
        <w:t>SOUTHWEST AIRLINES CO.</w:t>
      </w:r>
    </w:p>
    <w:p>
      <w:pPr>
        <w:pStyle w:val="BodyText"/>
        <w:tabs>
          <w:tab w:pos="4432" w:val="left" w:leader="none"/>
          <w:tab w:pos="4925" w:val="left" w:leader="none"/>
          <w:tab w:pos="9234" w:val="left" w:leader="none"/>
        </w:tabs>
        <w:spacing w:line="460" w:lineRule="atLeast" w:before="39"/>
        <w:ind w:left="4926" w:right="123" w:hanging="4806"/>
      </w:pPr>
      <w:r>
        <w:rPr>
          <w:color w:val="231F20"/>
        </w:rPr>
        <w:t>February</w:t>
      </w:r>
      <w:r>
        <w:rPr>
          <w:color w:val="231F20"/>
          <w:spacing w:val="-1"/>
        </w:rPr>
        <w:t> </w:t>
      </w:r>
      <w:r>
        <w:rPr>
          <w:color w:val="231F20"/>
        </w:rPr>
        <w:t>7, 2017</w:t>
        <w:tab/>
      </w:r>
      <w:r>
        <w:rPr>
          <w:color w:val="231F20"/>
          <w:position w:val="2"/>
          <w:sz w:val="20"/>
        </w:rPr>
        <w:t>By</w:t>
        <w:tab/>
      </w:r>
      <w:r>
        <w:rPr>
          <w:color w:val="231F20"/>
          <w:position w:val="6"/>
          <w:u w:val="single" w:color="231F20"/>
        </w:rPr>
        <w:t>/s/  Tammy</w:t>
      </w:r>
      <w:r>
        <w:rPr>
          <w:color w:val="231F20"/>
          <w:spacing w:val="-1"/>
          <w:position w:val="6"/>
          <w:u w:val="single" w:color="231F20"/>
        </w:rPr>
        <w:t> </w:t>
      </w:r>
      <w:r>
        <w:rPr>
          <w:color w:val="231F20"/>
          <w:position w:val="6"/>
          <w:u w:val="single" w:color="231F20"/>
        </w:rPr>
        <w:t>Romo</w:t>
        <w:tab/>
      </w:r>
      <w:r>
        <w:rPr>
          <w:color w:val="231F20"/>
          <w:position w:val="6"/>
        </w:rPr>
        <w:t> </w:t>
      </w:r>
      <w:r>
        <w:rPr>
          <w:color w:val="231F20"/>
        </w:rPr>
        <w:t>Tammy</w:t>
      </w:r>
      <w:r>
        <w:rPr>
          <w:color w:val="231F20"/>
          <w:spacing w:val="-1"/>
        </w:rPr>
        <w:t> </w:t>
      </w:r>
      <w:r>
        <w:rPr>
          <w:color w:val="231F20"/>
        </w:rPr>
        <w:t>Romo</w:t>
      </w:r>
    </w:p>
    <w:p>
      <w:pPr>
        <w:spacing w:line="247" w:lineRule="auto" w:before="6"/>
        <w:ind w:left="4926" w:right="117" w:firstLine="0"/>
        <w:jc w:val="both"/>
        <w:rPr>
          <w:i/>
          <w:sz w:val="22"/>
        </w:rPr>
      </w:pPr>
      <w:r>
        <w:rPr>
          <w:i/>
          <w:color w:val="231F20"/>
          <w:sz w:val="22"/>
        </w:rPr>
        <w:t>Executive Vice President &amp; Chief Financial </w:t>
      </w:r>
      <w:r>
        <w:rPr>
          <w:i/>
          <w:color w:val="231F20"/>
          <w:sz w:val="22"/>
        </w:rPr>
        <w:t>Officer (On behalf of the Registrant and in her capacity as Principal Financial and Accounting Officer)</w:t>
      </w:r>
    </w:p>
    <w:p>
      <w:pPr>
        <w:pStyle w:val="BodyText"/>
        <w:spacing w:before="9"/>
        <w:rPr>
          <w:i/>
          <w:sz w:val="20"/>
        </w:rPr>
      </w:pPr>
    </w:p>
    <w:p>
      <w:pPr>
        <w:pStyle w:val="BodyText"/>
        <w:spacing w:line="247" w:lineRule="auto"/>
        <w:ind w:left="120" w:right="55"/>
      </w:pPr>
      <w:r>
        <w:rPr>
          <w:color w:val="231F20"/>
        </w:rPr>
        <w:t>Pursuant to the requirements of the Securities Exchange Act of 1934, this report has been signed below by the following persons on February 7, 2017, on behalf of the registrant and in the capacities indicated.</w:t>
      </w:r>
    </w:p>
    <w:p>
      <w:pPr>
        <w:tabs>
          <w:tab w:pos="6559" w:val="left" w:leader="none"/>
        </w:tabs>
        <w:spacing w:before="195"/>
        <w:ind w:left="1827" w:right="0" w:firstLine="0"/>
        <w:jc w:val="left"/>
        <w:rPr>
          <w:b/>
          <w:sz w:val="16"/>
        </w:rPr>
      </w:pPr>
      <w:r>
        <w:rPr/>
        <w:pict>
          <v:line style="position:absolute;mso-position-horizontal-relative:page;mso-position-vertical-relative:paragraph;z-index:7672" from="69pt,20.71875pt" to="273pt,20.71875pt" stroked="true" strokeweight="1pt" strokecolor="#231f20">
            <v:stroke dashstyle="solid"/>
            <w10:wrap type="none"/>
          </v:line>
        </w:pict>
      </w:r>
      <w:r>
        <w:rPr>
          <w:b/>
          <w:color w:val="231F20"/>
          <w:sz w:val="16"/>
        </w:rPr>
        <w:t>Signature</w:t>
        <w:tab/>
        <w:t>Title</w:t>
      </w:r>
    </w:p>
    <w:p>
      <w:pPr>
        <w:spacing w:after="0"/>
        <w:jc w:val="left"/>
        <w:rPr>
          <w:sz w:val="16"/>
        </w:rPr>
        <w:sectPr>
          <w:pgSz w:w="11880" w:h="15480"/>
          <w:pgMar w:header="0" w:footer="1240" w:top="1240" w:bottom="1420" w:left="1260" w:right="1260"/>
        </w:sectPr>
      </w:pPr>
    </w:p>
    <w:p>
      <w:pPr>
        <w:tabs>
          <w:tab w:pos="1207" w:val="left" w:leader="none"/>
          <w:tab w:pos="1609" w:val="left" w:leader="none"/>
          <w:tab w:pos="4199" w:val="left" w:leader="none"/>
        </w:tabs>
        <w:spacing w:before="71"/>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GARY C.</w:t>
      </w:r>
      <w:r>
        <w:rPr>
          <w:color w:val="231F20"/>
          <w:spacing w:val="-4"/>
          <w:sz w:val="20"/>
          <w:u w:val="single" w:color="231F20"/>
        </w:rPr>
        <w:t> </w:t>
      </w:r>
      <w:r>
        <w:rPr>
          <w:color w:val="231F20"/>
          <w:sz w:val="20"/>
          <w:u w:val="single" w:color="231F20"/>
        </w:rPr>
        <w:t>KELLY</w:t>
        <w:tab/>
      </w:r>
    </w:p>
    <w:p>
      <w:pPr>
        <w:spacing w:before="42"/>
        <w:ind w:left="118" w:right="0" w:firstLine="0"/>
        <w:jc w:val="center"/>
        <w:rPr>
          <w:b/>
          <w:sz w:val="20"/>
        </w:rPr>
      </w:pPr>
      <w:r>
        <w:rPr>
          <w:b/>
          <w:color w:val="231F20"/>
          <w:sz w:val="20"/>
        </w:rPr>
        <w:t>Gary C. Kelly</w:t>
      </w:r>
    </w:p>
    <w:p>
      <w:pPr>
        <w:tabs>
          <w:tab w:pos="1250" w:val="left" w:leader="none"/>
          <w:tab w:pos="1652"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TAMMY</w:t>
      </w:r>
      <w:r>
        <w:rPr>
          <w:color w:val="231F20"/>
          <w:spacing w:val="-2"/>
          <w:sz w:val="20"/>
          <w:u w:val="single" w:color="231F20"/>
        </w:rPr>
        <w:t> </w:t>
      </w:r>
      <w:r>
        <w:rPr>
          <w:color w:val="231F20"/>
          <w:sz w:val="20"/>
          <w:u w:val="single" w:color="231F20"/>
        </w:rPr>
        <w:t>ROMO</w:t>
        <w:tab/>
      </w:r>
    </w:p>
    <w:p>
      <w:pPr>
        <w:spacing w:before="42"/>
        <w:ind w:left="120" w:right="0" w:firstLine="0"/>
        <w:jc w:val="center"/>
        <w:rPr>
          <w:b/>
          <w:sz w:val="20"/>
        </w:rPr>
      </w:pPr>
      <w:r>
        <w:rPr>
          <w:b/>
          <w:color w:val="231F20"/>
          <w:sz w:val="20"/>
        </w:rPr>
        <w:t>Tammy Romo</w:t>
      </w:r>
    </w:p>
    <w:p>
      <w:pPr>
        <w:tabs>
          <w:tab w:pos="1428" w:val="left" w:leader="none"/>
          <w:tab w:pos="1830"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RON</w:t>
      </w:r>
      <w:r>
        <w:rPr>
          <w:color w:val="231F20"/>
          <w:spacing w:val="-3"/>
          <w:sz w:val="20"/>
          <w:u w:val="single" w:color="231F20"/>
        </w:rPr>
        <w:t> </w:t>
      </w:r>
      <w:r>
        <w:rPr>
          <w:color w:val="231F20"/>
          <w:sz w:val="20"/>
          <w:u w:val="single" w:color="231F20"/>
        </w:rPr>
        <w:t>RICKS</w:t>
        <w:tab/>
      </w:r>
    </w:p>
    <w:p>
      <w:pPr>
        <w:spacing w:before="42"/>
        <w:ind w:left="118" w:right="0" w:firstLine="0"/>
        <w:jc w:val="center"/>
        <w:rPr>
          <w:b/>
          <w:sz w:val="20"/>
        </w:rPr>
      </w:pPr>
      <w:r>
        <w:rPr>
          <w:b/>
          <w:color w:val="231F20"/>
          <w:sz w:val="20"/>
        </w:rPr>
        <w:t>Ron Ricks</w:t>
      </w:r>
    </w:p>
    <w:p>
      <w:pPr>
        <w:tabs>
          <w:tab w:pos="1045" w:val="left" w:leader="none"/>
          <w:tab w:pos="1447"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DAVID W.</w:t>
      </w:r>
      <w:r>
        <w:rPr>
          <w:color w:val="231F20"/>
          <w:spacing w:val="-3"/>
          <w:sz w:val="20"/>
          <w:u w:val="single" w:color="231F20"/>
        </w:rPr>
        <w:t> </w:t>
      </w:r>
      <w:r>
        <w:rPr>
          <w:color w:val="231F20"/>
          <w:sz w:val="20"/>
          <w:u w:val="single" w:color="231F20"/>
        </w:rPr>
        <w:t>BIEGLER</w:t>
        <w:tab/>
      </w:r>
    </w:p>
    <w:p>
      <w:pPr>
        <w:spacing w:before="42"/>
        <w:ind w:left="118" w:right="0" w:firstLine="0"/>
        <w:jc w:val="center"/>
        <w:rPr>
          <w:b/>
          <w:sz w:val="20"/>
        </w:rPr>
      </w:pPr>
      <w:r>
        <w:rPr>
          <w:b/>
          <w:color w:val="231F20"/>
          <w:sz w:val="20"/>
        </w:rPr>
        <w:t>David W. Biegler</w:t>
      </w:r>
    </w:p>
    <w:p>
      <w:pPr>
        <w:tabs>
          <w:tab w:pos="923" w:val="left" w:leader="none"/>
          <w:tab w:pos="1325"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 VERONICA</w:t>
      </w:r>
      <w:r>
        <w:rPr>
          <w:color w:val="231F20"/>
          <w:spacing w:val="-4"/>
          <w:sz w:val="20"/>
          <w:u w:val="single" w:color="231F20"/>
        </w:rPr>
        <w:t> </w:t>
      </w:r>
      <w:r>
        <w:rPr>
          <w:color w:val="231F20"/>
          <w:sz w:val="20"/>
          <w:u w:val="single" w:color="231F20"/>
        </w:rPr>
        <w:t>BIGGINS</w:t>
        <w:tab/>
      </w:r>
    </w:p>
    <w:p>
      <w:pPr>
        <w:spacing w:before="42"/>
        <w:ind w:left="1328" w:right="0" w:firstLine="0"/>
        <w:jc w:val="left"/>
        <w:rPr>
          <w:b/>
          <w:sz w:val="20"/>
        </w:rPr>
      </w:pPr>
      <w:r>
        <w:rPr>
          <w:b/>
          <w:color w:val="231F20"/>
          <w:sz w:val="20"/>
        </w:rPr>
        <w:t>J. Veronica Biggins</w:t>
      </w:r>
    </w:p>
    <w:p>
      <w:pPr>
        <w:tabs>
          <w:tab w:pos="930" w:val="left" w:leader="none"/>
          <w:tab w:pos="1332"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DOUGLAS H.</w:t>
      </w:r>
      <w:r>
        <w:rPr>
          <w:color w:val="231F20"/>
          <w:spacing w:val="-5"/>
          <w:sz w:val="20"/>
          <w:u w:val="single" w:color="231F20"/>
        </w:rPr>
        <w:t> </w:t>
      </w:r>
      <w:r>
        <w:rPr>
          <w:color w:val="231F20"/>
          <w:sz w:val="20"/>
          <w:u w:val="single" w:color="231F20"/>
        </w:rPr>
        <w:t>BROOKS</w:t>
        <w:tab/>
      </w:r>
    </w:p>
    <w:p>
      <w:pPr>
        <w:spacing w:before="42"/>
        <w:ind w:left="120" w:right="0" w:firstLine="0"/>
        <w:jc w:val="center"/>
        <w:rPr>
          <w:b/>
          <w:sz w:val="20"/>
        </w:rPr>
      </w:pPr>
      <w:r>
        <w:rPr>
          <w:b/>
          <w:color w:val="231F20"/>
          <w:sz w:val="20"/>
        </w:rPr>
        <w:t>Douglas H. Brooks</w:t>
      </w:r>
    </w:p>
    <w:p>
      <w:pPr>
        <w:tabs>
          <w:tab w:pos="673" w:val="left" w:leader="none"/>
          <w:tab w:pos="1075"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WILLIAM H.</w:t>
      </w:r>
      <w:r>
        <w:rPr>
          <w:color w:val="231F20"/>
          <w:spacing w:val="-2"/>
          <w:sz w:val="20"/>
          <w:u w:val="single" w:color="231F20"/>
        </w:rPr>
        <w:t> </w:t>
      </w:r>
      <w:r>
        <w:rPr>
          <w:color w:val="231F20"/>
          <w:sz w:val="20"/>
          <w:u w:val="single" w:color="231F20"/>
        </w:rPr>
        <w:t>CUNNINGHAM</w:t>
        <w:tab/>
      </w:r>
    </w:p>
    <w:p>
      <w:pPr>
        <w:spacing w:before="42"/>
        <w:ind w:left="119" w:right="0" w:firstLine="0"/>
        <w:jc w:val="center"/>
        <w:rPr>
          <w:b/>
          <w:sz w:val="20"/>
        </w:rPr>
      </w:pPr>
      <w:r>
        <w:rPr>
          <w:b/>
          <w:color w:val="231F20"/>
          <w:sz w:val="20"/>
        </w:rPr>
        <w:t>William H. Cunningham</w:t>
      </w:r>
    </w:p>
    <w:p>
      <w:pPr>
        <w:tabs>
          <w:tab w:pos="1118" w:val="left" w:leader="none"/>
          <w:tab w:pos="1520"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JOHN G.</w:t>
      </w:r>
      <w:r>
        <w:rPr>
          <w:color w:val="231F20"/>
          <w:spacing w:val="-3"/>
          <w:sz w:val="20"/>
          <w:u w:val="single" w:color="231F20"/>
        </w:rPr>
        <w:t> </w:t>
      </w:r>
      <w:r>
        <w:rPr>
          <w:color w:val="231F20"/>
          <w:sz w:val="20"/>
          <w:u w:val="single" w:color="231F20"/>
        </w:rPr>
        <w:t>DENISON</w:t>
        <w:tab/>
      </w:r>
    </w:p>
    <w:p>
      <w:pPr>
        <w:spacing w:before="42"/>
        <w:ind w:left="119" w:right="0" w:firstLine="0"/>
        <w:jc w:val="center"/>
        <w:rPr>
          <w:b/>
          <w:sz w:val="20"/>
        </w:rPr>
      </w:pPr>
      <w:r>
        <w:rPr>
          <w:b/>
          <w:color w:val="231F20"/>
          <w:sz w:val="20"/>
        </w:rPr>
        <w:t>John G. Denison</w:t>
      </w:r>
    </w:p>
    <w:p>
      <w:pPr>
        <w:tabs>
          <w:tab w:pos="890" w:val="left" w:leader="none"/>
          <w:tab w:pos="1292"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THOMAS W.</w:t>
      </w:r>
      <w:r>
        <w:rPr>
          <w:color w:val="231F20"/>
          <w:spacing w:val="-3"/>
          <w:sz w:val="20"/>
          <w:u w:val="single" w:color="231F20"/>
        </w:rPr>
        <w:t> </w:t>
      </w:r>
      <w:r>
        <w:rPr>
          <w:color w:val="231F20"/>
          <w:sz w:val="20"/>
          <w:u w:val="single" w:color="231F20"/>
        </w:rPr>
        <w:t>GILLIGAN</w:t>
        <w:tab/>
      </w:r>
    </w:p>
    <w:p>
      <w:pPr>
        <w:spacing w:before="42"/>
        <w:ind w:left="118" w:right="0" w:firstLine="0"/>
        <w:jc w:val="center"/>
        <w:rPr>
          <w:b/>
          <w:sz w:val="20"/>
        </w:rPr>
      </w:pPr>
      <w:r>
        <w:rPr>
          <w:b/>
          <w:color w:val="231F20"/>
          <w:sz w:val="20"/>
        </w:rPr>
        <w:t>Thomas W. Gilligan</w:t>
      </w:r>
    </w:p>
    <w:p>
      <w:pPr>
        <w:tabs>
          <w:tab w:pos="1023" w:val="left" w:leader="none"/>
          <w:tab w:pos="1425"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GRACE D.</w:t>
      </w:r>
      <w:r>
        <w:rPr>
          <w:color w:val="231F20"/>
          <w:spacing w:val="-3"/>
          <w:sz w:val="20"/>
          <w:u w:val="single" w:color="231F20"/>
        </w:rPr>
        <w:t> </w:t>
      </w:r>
      <w:r>
        <w:rPr>
          <w:color w:val="231F20"/>
          <w:sz w:val="20"/>
          <w:u w:val="single" w:color="231F20"/>
        </w:rPr>
        <w:t>LIEBLEIN</w:t>
        <w:tab/>
      </w:r>
    </w:p>
    <w:p>
      <w:pPr>
        <w:spacing w:before="42"/>
        <w:ind w:left="119" w:right="0" w:firstLine="0"/>
        <w:jc w:val="center"/>
        <w:rPr>
          <w:b/>
          <w:sz w:val="20"/>
        </w:rPr>
      </w:pPr>
      <w:r>
        <w:rPr>
          <w:b/>
          <w:color w:val="231F20"/>
          <w:sz w:val="20"/>
        </w:rPr>
        <w:t>Grace D. Lieblein</w:t>
      </w:r>
    </w:p>
    <w:p>
      <w:pPr>
        <w:tabs>
          <w:tab w:pos="968" w:val="left" w:leader="none"/>
          <w:tab w:pos="1370"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NANCY B.</w:t>
      </w:r>
      <w:r>
        <w:rPr>
          <w:color w:val="231F20"/>
          <w:spacing w:val="-4"/>
          <w:sz w:val="20"/>
          <w:u w:val="single" w:color="231F20"/>
        </w:rPr>
        <w:t> </w:t>
      </w:r>
      <w:r>
        <w:rPr>
          <w:color w:val="231F20"/>
          <w:sz w:val="20"/>
          <w:u w:val="single" w:color="231F20"/>
        </w:rPr>
        <w:t>LOEFFLER</w:t>
        <w:tab/>
      </w:r>
    </w:p>
    <w:p>
      <w:pPr>
        <w:spacing w:before="42"/>
        <w:ind w:left="117" w:right="0" w:firstLine="0"/>
        <w:jc w:val="center"/>
        <w:rPr>
          <w:b/>
          <w:sz w:val="20"/>
        </w:rPr>
      </w:pPr>
      <w:r>
        <w:rPr>
          <w:b/>
          <w:color w:val="231F20"/>
          <w:sz w:val="20"/>
        </w:rPr>
        <w:t>Nancy B. Loeffler</w:t>
      </w:r>
    </w:p>
    <w:p>
      <w:pPr>
        <w:tabs>
          <w:tab w:pos="1007" w:val="left" w:leader="none"/>
          <w:tab w:pos="1409" w:val="left" w:leader="none"/>
          <w:tab w:pos="4199" w:val="left" w:leader="none"/>
        </w:tabs>
        <w:spacing w:before="142"/>
        <w:ind w:left="120" w:right="0" w:firstLine="0"/>
        <w:jc w:val="center"/>
        <w:rPr>
          <w:sz w:val="20"/>
        </w:rPr>
      </w:pPr>
      <w:r>
        <w:rPr>
          <w:color w:val="231F20"/>
          <w:sz w:val="20"/>
          <w:u w:val="single" w:color="231F20"/>
        </w:rPr>
        <w:t> </w:t>
        <w:tab/>
        <w:t>/</w:t>
      </w:r>
      <w:r>
        <w:rPr>
          <w:color w:val="231F20"/>
          <w:sz w:val="15"/>
          <w:u w:val="single" w:color="231F20"/>
        </w:rPr>
        <w:t>S</w:t>
      </w:r>
      <w:r>
        <w:rPr>
          <w:color w:val="231F20"/>
          <w:sz w:val="20"/>
          <w:u w:val="single" w:color="231F20"/>
        </w:rPr>
        <w:t>/</w:t>
        <w:tab/>
        <w:t>JOHN T.</w:t>
      </w:r>
      <w:r>
        <w:rPr>
          <w:color w:val="231F20"/>
          <w:spacing w:val="-3"/>
          <w:sz w:val="20"/>
          <w:u w:val="single" w:color="231F20"/>
        </w:rPr>
        <w:t> </w:t>
      </w:r>
      <w:r>
        <w:rPr>
          <w:color w:val="231F20"/>
          <w:sz w:val="20"/>
          <w:u w:val="single" w:color="231F20"/>
        </w:rPr>
        <w:t>MONTFORD</w:t>
        <w:tab/>
      </w:r>
    </w:p>
    <w:p>
      <w:pPr>
        <w:spacing w:before="42"/>
        <w:ind w:left="118" w:right="0" w:firstLine="0"/>
        <w:jc w:val="center"/>
        <w:rPr>
          <w:b/>
          <w:sz w:val="20"/>
        </w:rPr>
      </w:pPr>
      <w:r>
        <w:rPr>
          <w:b/>
          <w:color w:val="231F20"/>
          <w:sz w:val="20"/>
        </w:rPr>
        <w:t>John T. Montford</w:t>
      </w:r>
    </w:p>
    <w:p>
      <w:pPr>
        <w:pStyle w:val="BodyText"/>
        <w:spacing w:before="2"/>
        <w:rPr>
          <w:b/>
          <w:sz w:val="2"/>
        </w:rPr>
      </w:pPr>
      <w:r>
        <w:rPr/>
        <w:br w:type="column"/>
      </w:r>
      <w:r>
        <w:rPr>
          <w:b/>
          <w:sz w:val="2"/>
        </w:rPr>
      </w:r>
    </w:p>
    <w:p>
      <w:pPr>
        <w:pStyle w:val="BodyText"/>
        <w:spacing w:line="20" w:lineRule="exact"/>
        <w:ind w:left="110"/>
        <w:rPr>
          <w:sz w:val="2"/>
        </w:rPr>
      </w:pPr>
      <w:r>
        <w:rPr>
          <w:sz w:val="2"/>
        </w:rPr>
        <w:pict>
          <v:group style="width:229pt;height:1pt;mso-position-horizontal-relative:char;mso-position-vertical-relative:line" coordorigin="0,0" coordsize="4580,20">
            <v:line style="position:absolute" from="10,10" to="4570,10" stroked="true" strokeweight="1pt" strokecolor="#231f20">
              <v:stroke dashstyle="solid"/>
            </v:line>
          </v:group>
        </w:pict>
      </w:r>
      <w:r>
        <w:rPr>
          <w:sz w:val="2"/>
        </w:rPr>
      </w:r>
    </w:p>
    <w:p>
      <w:pPr>
        <w:spacing w:line="212" w:lineRule="exact" w:before="43"/>
        <w:ind w:left="120" w:right="884" w:firstLine="0"/>
        <w:jc w:val="left"/>
        <w:rPr>
          <w:sz w:val="20"/>
        </w:rPr>
      </w:pPr>
      <w:r>
        <w:rPr>
          <w:color w:val="231F20"/>
          <w:sz w:val="20"/>
        </w:rPr>
        <w:t>Chairman of the Board &amp; Chief Executive Officer (Principal Executive Officer)</w:t>
      </w:r>
    </w:p>
    <w:p>
      <w:pPr>
        <w:pStyle w:val="BodyText"/>
        <w:spacing w:before="2"/>
        <w:rPr>
          <w:sz w:val="19"/>
        </w:rPr>
      </w:pPr>
    </w:p>
    <w:p>
      <w:pPr>
        <w:spacing w:line="212" w:lineRule="exact" w:before="0"/>
        <w:ind w:left="120" w:right="757" w:firstLine="0"/>
        <w:jc w:val="left"/>
        <w:rPr>
          <w:sz w:val="20"/>
        </w:rPr>
      </w:pPr>
      <w:r>
        <w:rPr>
          <w:color w:val="231F20"/>
          <w:sz w:val="20"/>
        </w:rPr>
        <w:t>Executive Vice President &amp; Chief Financial Officer (Principal Financial &amp; Accounting Officer)</w:t>
      </w:r>
    </w:p>
    <w:p>
      <w:pPr>
        <w:pStyle w:val="BodyText"/>
        <w:spacing w:before="8"/>
        <w:rPr>
          <w:sz w:val="17"/>
        </w:rPr>
      </w:pPr>
    </w:p>
    <w:p>
      <w:pPr>
        <w:spacing w:line="674" w:lineRule="auto" w:before="0"/>
        <w:ind w:left="120" w:right="2634" w:firstLine="0"/>
        <w:jc w:val="left"/>
        <w:rPr>
          <w:sz w:val="20"/>
        </w:rPr>
      </w:pPr>
      <w:r>
        <w:rPr>
          <w:color w:val="231F20"/>
          <w:sz w:val="20"/>
        </w:rPr>
        <w:t>Vice Chairman of the Board Director</w:t>
      </w:r>
    </w:p>
    <w:p>
      <w:pPr>
        <w:spacing w:line="674" w:lineRule="auto" w:before="14"/>
        <w:ind w:left="120" w:right="4251" w:firstLine="0"/>
        <w:jc w:val="both"/>
        <w:rPr>
          <w:sz w:val="20"/>
        </w:rPr>
      </w:pPr>
      <w:r>
        <w:rPr>
          <w:color w:val="231F20"/>
          <w:sz w:val="20"/>
        </w:rPr>
        <w:t>Director Director Director Director Director Director Director Director</w:t>
      </w:r>
    </w:p>
    <w:p>
      <w:pPr>
        <w:spacing w:after="0" w:line="674" w:lineRule="auto"/>
        <w:jc w:val="both"/>
        <w:rPr>
          <w:sz w:val="20"/>
        </w:rPr>
        <w:sectPr>
          <w:type w:val="continuous"/>
          <w:pgSz w:w="11880" w:h="15480"/>
          <w:pgMar w:top="1260" w:bottom="280" w:left="1260" w:right="1260"/>
          <w:cols w:num="2" w:equalWidth="0">
            <w:col w:w="4200" w:space="120"/>
            <w:col w:w="5040"/>
          </w:cols>
        </w:sectPr>
      </w:pPr>
    </w:p>
    <w:p>
      <w:pPr>
        <w:spacing w:before="73"/>
        <w:ind w:left="3516" w:right="3414" w:firstLine="0"/>
        <w:jc w:val="center"/>
        <w:rPr>
          <w:b/>
          <w:sz w:val="20"/>
        </w:rPr>
      </w:pPr>
      <w:bookmarkStart w:name="BOARD OF DIRECTORS" w:id="53"/>
      <w:bookmarkEnd w:id="53"/>
      <w:r>
        <w:rPr/>
      </w:r>
      <w:r>
        <w:rPr>
          <w:b/>
          <w:color w:val="231F20"/>
          <w:sz w:val="20"/>
        </w:rPr>
        <w:t>BOARD OF DIRECTORS</w:t>
      </w:r>
    </w:p>
    <w:p>
      <w:pPr>
        <w:pStyle w:val="BodyText"/>
        <w:rPr>
          <w:b/>
          <w:sz w:val="20"/>
        </w:rPr>
      </w:pPr>
    </w:p>
    <w:p>
      <w:pPr>
        <w:pStyle w:val="BodyText"/>
        <w:rPr>
          <w:b/>
          <w:sz w:val="20"/>
        </w:rPr>
      </w:pPr>
    </w:p>
    <w:p>
      <w:pPr>
        <w:spacing w:after="0"/>
        <w:rPr>
          <w:sz w:val="20"/>
        </w:rPr>
        <w:sectPr>
          <w:footerReference w:type="default" r:id="rId30"/>
          <w:pgSz w:w="11880" w:h="15480"/>
          <w:pgMar w:footer="0" w:header="0" w:top="1240" w:bottom="280" w:left="1260" w:right="1360"/>
        </w:sectPr>
      </w:pPr>
    </w:p>
    <w:p>
      <w:pPr>
        <w:pStyle w:val="BodyText"/>
        <w:spacing w:before="5"/>
        <w:rPr>
          <w:b/>
          <w:sz w:val="23"/>
        </w:rPr>
      </w:pPr>
    </w:p>
    <w:p>
      <w:pPr>
        <w:spacing w:before="0"/>
        <w:ind w:left="119" w:right="0" w:firstLine="0"/>
        <w:jc w:val="left"/>
        <w:rPr>
          <w:b/>
          <w:sz w:val="20"/>
        </w:rPr>
      </w:pPr>
      <w:r>
        <w:rPr>
          <w:b/>
          <w:color w:val="231F20"/>
          <w:sz w:val="20"/>
        </w:rPr>
        <w:t>DAVID W. BIEGLER</w:t>
      </w:r>
    </w:p>
    <w:p>
      <w:pPr>
        <w:spacing w:line="249" w:lineRule="auto" w:before="129"/>
        <w:ind w:left="119" w:right="52" w:firstLine="0"/>
        <w:jc w:val="left"/>
        <w:rPr>
          <w:sz w:val="20"/>
        </w:rPr>
      </w:pPr>
      <w:r>
        <w:rPr>
          <w:color w:val="231F20"/>
          <w:sz w:val="20"/>
        </w:rPr>
        <w:t>Former Chairman of the Board, President, and Chief Executive Officer</w:t>
      </w:r>
    </w:p>
    <w:p>
      <w:pPr>
        <w:spacing w:line="249" w:lineRule="auto" w:before="0"/>
        <w:ind w:left="119" w:right="302" w:firstLine="0"/>
        <w:jc w:val="left"/>
        <w:rPr>
          <w:sz w:val="20"/>
        </w:rPr>
      </w:pPr>
      <w:r>
        <w:rPr>
          <w:color w:val="231F20"/>
          <w:sz w:val="20"/>
        </w:rPr>
        <w:t>Southcross Energy Partners GP, LLC (midstream natural gas company)</w:t>
      </w:r>
    </w:p>
    <w:p>
      <w:pPr>
        <w:spacing w:before="0"/>
        <w:ind w:left="119" w:right="0" w:firstLine="0"/>
        <w:jc w:val="left"/>
        <w:rPr>
          <w:sz w:val="20"/>
        </w:rPr>
      </w:pPr>
      <w:r>
        <w:rPr>
          <w:color w:val="231F20"/>
          <w:sz w:val="20"/>
        </w:rPr>
        <w:t>Retired Vice Chairman of TXU Corp.</w:t>
      </w:r>
    </w:p>
    <w:p>
      <w:pPr>
        <w:spacing w:line="249" w:lineRule="auto" w:before="9"/>
        <w:ind w:left="119" w:right="35" w:firstLine="0"/>
        <w:jc w:val="left"/>
        <w:rPr>
          <w:i/>
          <w:sz w:val="20"/>
        </w:rPr>
      </w:pPr>
      <w:r>
        <w:rPr>
          <w:i/>
          <w:color w:val="231F20"/>
          <w:sz w:val="20"/>
        </w:rPr>
        <w:t>Audit Committee, Compensation Committee (Chair), </w:t>
      </w:r>
      <w:r>
        <w:rPr>
          <w:i/>
          <w:color w:val="231F20"/>
          <w:sz w:val="20"/>
        </w:rPr>
        <w:t>and Safety and Compliance Oversight Committee</w:t>
      </w:r>
    </w:p>
    <w:p>
      <w:pPr>
        <w:pStyle w:val="BodyText"/>
        <w:spacing w:before="10"/>
        <w:rPr>
          <w:i/>
          <w:sz w:val="20"/>
        </w:rPr>
      </w:pPr>
    </w:p>
    <w:p>
      <w:pPr>
        <w:spacing w:before="1"/>
        <w:ind w:left="119" w:right="0" w:firstLine="0"/>
        <w:jc w:val="left"/>
        <w:rPr>
          <w:b/>
          <w:sz w:val="20"/>
        </w:rPr>
      </w:pPr>
      <w:r>
        <w:rPr>
          <w:b/>
          <w:color w:val="231F20"/>
          <w:sz w:val="20"/>
        </w:rPr>
        <w:t>J. VERONICA BIGGINS</w:t>
      </w:r>
    </w:p>
    <w:p>
      <w:pPr>
        <w:spacing w:before="130"/>
        <w:ind w:left="119" w:right="0" w:firstLine="0"/>
        <w:jc w:val="left"/>
        <w:rPr>
          <w:sz w:val="20"/>
        </w:rPr>
      </w:pPr>
      <w:r>
        <w:rPr>
          <w:color w:val="231F20"/>
          <w:sz w:val="20"/>
        </w:rPr>
        <w:t>Managing Partner</w:t>
      </w:r>
    </w:p>
    <w:p>
      <w:pPr>
        <w:spacing w:line="249" w:lineRule="auto" w:before="10"/>
        <w:ind w:left="119" w:right="47" w:firstLine="0"/>
        <w:jc w:val="left"/>
        <w:rPr>
          <w:sz w:val="20"/>
        </w:rPr>
      </w:pPr>
      <w:r>
        <w:rPr>
          <w:color w:val="231F20"/>
          <w:sz w:val="20"/>
        </w:rPr>
        <w:t>Diversified Search LLC (executive and board search firm)</w:t>
      </w:r>
    </w:p>
    <w:p>
      <w:pPr>
        <w:spacing w:line="249" w:lineRule="auto" w:before="1"/>
        <w:ind w:left="119" w:right="490" w:firstLine="0"/>
        <w:jc w:val="left"/>
        <w:rPr>
          <w:i/>
          <w:sz w:val="20"/>
        </w:rPr>
      </w:pP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1"/>
        <w:ind w:left="119" w:right="0" w:firstLine="0"/>
        <w:jc w:val="left"/>
        <w:rPr>
          <w:b/>
          <w:sz w:val="20"/>
        </w:rPr>
      </w:pPr>
      <w:r>
        <w:rPr>
          <w:b/>
          <w:color w:val="231F20"/>
          <w:sz w:val="20"/>
        </w:rPr>
        <w:t>DOUGLAS H. BROOKS</w:t>
      </w:r>
    </w:p>
    <w:p>
      <w:pPr>
        <w:spacing w:line="249" w:lineRule="auto" w:before="130"/>
        <w:ind w:left="119" w:right="52" w:firstLine="0"/>
        <w:jc w:val="left"/>
        <w:rPr>
          <w:sz w:val="20"/>
        </w:rPr>
      </w:pPr>
      <w:r>
        <w:rPr>
          <w:color w:val="231F20"/>
          <w:sz w:val="20"/>
        </w:rPr>
        <w:t>Former Chairman of the Board, President, and Chief Executive Officer</w:t>
      </w:r>
    </w:p>
    <w:p>
      <w:pPr>
        <w:spacing w:line="249" w:lineRule="auto" w:before="1"/>
        <w:ind w:left="119" w:right="153" w:firstLine="0"/>
        <w:jc w:val="left"/>
        <w:rPr>
          <w:sz w:val="20"/>
        </w:rPr>
      </w:pPr>
      <w:r>
        <w:rPr>
          <w:color w:val="231F20"/>
          <w:sz w:val="20"/>
        </w:rPr>
        <w:t>Brinker International, Inc. (casual dining restaurant company)</w:t>
      </w:r>
    </w:p>
    <w:p>
      <w:pPr>
        <w:spacing w:line="249" w:lineRule="auto" w:before="1"/>
        <w:ind w:left="119" w:right="135" w:firstLine="0"/>
        <w:jc w:val="left"/>
        <w:rPr>
          <w:i/>
          <w:sz w:val="20"/>
        </w:rPr>
      </w:pPr>
      <w:r>
        <w:rPr>
          <w:i/>
          <w:color w:val="231F20"/>
          <w:sz w:val="20"/>
        </w:rPr>
        <w:t>Nominating and Corporate Governance Committee </w:t>
      </w:r>
      <w:r>
        <w:rPr>
          <w:i/>
          <w:color w:val="231F20"/>
          <w:sz w:val="20"/>
        </w:rPr>
        <w:t>and Safety and Compliance Oversight Committee</w:t>
      </w:r>
    </w:p>
    <w:p>
      <w:pPr>
        <w:pStyle w:val="BodyText"/>
        <w:spacing w:before="11"/>
        <w:rPr>
          <w:i/>
          <w:sz w:val="20"/>
        </w:rPr>
      </w:pPr>
    </w:p>
    <w:p>
      <w:pPr>
        <w:spacing w:before="0"/>
        <w:ind w:left="119" w:right="0" w:firstLine="0"/>
        <w:jc w:val="left"/>
        <w:rPr>
          <w:b/>
          <w:sz w:val="20"/>
        </w:rPr>
      </w:pPr>
      <w:r>
        <w:rPr>
          <w:b/>
          <w:color w:val="231F20"/>
          <w:sz w:val="20"/>
        </w:rPr>
        <w:t>WILLIAM H. CUNNINGHAM, PHD</w:t>
      </w:r>
    </w:p>
    <w:p>
      <w:pPr>
        <w:spacing w:before="10"/>
        <w:ind w:left="119" w:right="0" w:firstLine="0"/>
        <w:jc w:val="left"/>
        <w:rPr>
          <w:b/>
          <w:sz w:val="20"/>
        </w:rPr>
      </w:pPr>
      <w:r>
        <w:rPr>
          <w:b/>
          <w:color w:val="231F20"/>
          <w:sz w:val="20"/>
        </w:rPr>
        <w:t>(Presiding Director)</w:t>
      </w:r>
    </w:p>
    <w:p>
      <w:pPr>
        <w:spacing w:before="130"/>
        <w:ind w:left="119" w:right="0" w:firstLine="0"/>
        <w:jc w:val="left"/>
        <w:rPr>
          <w:sz w:val="20"/>
        </w:rPr>
      </w:pPr>
      <w:r>
        <w:rPr>
          <w:color w:val="231F20"/>
          <w:sz w:val="20"/>
        </w:rPr>
        <w:t>James L. Bayless Chair for Free Enterprise</w:t>
      </w:r>
    </w:p>
    <w:p>
      <w:pPr>
        <w:spacing w:line="249" w:lineRule="auto" w:before="10"/>
        <w:ind w:left="119" w:right="365" w:firstLine="0"/>
        <w:jc w:val="left"/>
        <w:rPr>
          <w:sz w:val="20"/>
        </w:rPr>
      </w:pPr>
      <w:r>
        <w:rPr>
          <w:color w:val="231F20"/>
          <w:sz w:val="20"/>
        </w:rPr>
        <w:t>The</w:t>
      </w:r>
      <w:r>
        <w:rPr>
          <w:color w:val="231F20"/>
          <w:spacing w:val="-13"/>
          <w:sz w:val="20"/>
        </w:rPr>
        <w:t> </w:t>
      </w:r>
      <w:r>
        <w:rPr>
          <w:color w:val="231F20"/>
          <w:sz w:val="20"/>
        </w:rPr>
        <w:t>University</w:t>
      </w:r>
      <w:r>
        <w:rPr>
          <w:color w:val="231F20"/>
          <w:spacing w:val="-13"/>
          <w:sz w:val="20"/>
        </w:rPr>
        <w:t> </w:t>
      </w:r>
      <w:r>
        <w:rPr>
          <w:color w:val="231F20"/>
          <w:sz w:val="20"/>
        </w:rPr>
        <w:t>of</w:t>
      </w:r>
      <w:r>
        <w:rPr>
          <w:color w:val="231F20"/>
          <w:spacing w:val="-13"/>
          <w:sz w:val="20"/>
        </w:rPr>
        <w:t> </w:t>
      </w:r>
      <w:r>
        <w:rPr>
          <w:color w:val="231F20"/>
          <w:sz w:val="20"/>
        </w:rPr>
        <w:t>Texas</w:t>
      </w:r>
      <w:r>
        <w:rPr>
          <w:color w:val="231F20"/>
          <w:spacing w:val="-13"/>
          <w:sz w:val="20"/>
        </w:rPr>
        <w:t> </w:t>
      </w:r>
      <w:r>
        <w:rPr>
          <w:color w:val="231F20"/>
          <w:sz w:val="20"/>
        </w:rPr>
        <w:t>at</w:t>
      </w:r>
      <w:r>
        <w:rPr>
          <w:color w:val="231F20"/>
          <w:spacing w:val="-13"/>
          <w:sz w:val="20"/>
        </w:rPr>
        <w:t> </w:t>
      </w:r>
      <w:r>
        <w:rPr>
          <w:color w:val="231F20"/>
          <w:sz w:val="20"/>
        </w:rPr>
        <w:t>Austin</w:t>
      </w:r>
      <w:r>
        <w:rPr>
          <w:color w:val="231F20"/>
          <w:spacing w:val="-13"/>
          <w:sz w:val="20"/>
        </w:rPr>
        <w:t> </w:t>
      </w:r>
      <w:r>
        <w:rPr>
          <w:color w:val="231F20"/>
          <w:sz w:val="20"/>
        </w:rPr>
        <w:t>Red</w:t>
      </w:r>
      <w:r>
        <w:rPr>
          <w:color w:val="231F20"/>
          <w:spacing w:val="-13"/>
          <w:sz w:val="20"/>
        </w:rPr>
        <w:t> </w:t>
      </w:r>
      <w:r>
        <w:rPr>
          <w:color w:val="231F20"/>
          <w:sz w:val="20"/>
        </w:rPr>
        <w:t>McCombs School of</w:t>
      </w:r>
      <w:r>
        <w:rPr>
          <w:color w:val="231F20"/>
          <w:spacing w:val="-36"/>
          <w:sz w:val="20"/>
        </w:rPr>
        <w:t> </w:t>
      </w:r>
      <w:r>
        <w:rPr>
          <w:color w:val="231F20"/>
          <w:sz w:val="20"/>
        </w:rPr>
        <w:t>Business</w:t>
      </w:r>
    </w:p>
    <w:p>
      <w:pPr>
        <w:spacing w:line="249" w:lineRule="auto" w:before="1"/>
        <w:ind w:left="119" w:right="-6" w:firstLine="0"/>
        <w:jc w:val="left"/>
        <w:rPr>
          <w:i/>
          <w:sz w:val="20"/>
        </w:rPr>
      </w:pPr>
      <w:r>
        <w:rPr>
          <w:color w:val="231F20"/>
          <w:sz w:val="20"/>
        </w:rPr>
        <w:t>Former</w:t>
      </w:r>
      <w:r>
        <w:rPr>
          <w:color w:val="231F20"/>
          <w:spacing w:val="-13"/>
          <w:sz w:val="20"/>
        </w:rPr>
        <w:t> </w:t>
      </w:r>
      <w:r>
        <w:rPr>
          <w:color w:val="231F20"/>
          <w:sz w:val="20"/>
        </w:rPr>
        <w:t>Chancellor</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University</w:t>
      </w:r>
      <w:r>
        <w:rPr>
          <w:color w:val="231F20"/>
          <w:spacing w:val="-13"/>
          <w:sz w:val="20"/>
        </w:rPr>
        <w:t> </w:t>
      </w:r>
      <w:r>
        <w:rPr>
          <w:color w:val="231F20"/>
          <w:sz w:val="20"/>
        </w:rPr>
        <w:t>of</w:t>
      </w:r>
      <w:r>
        <w:rPr>
          <w:color w:val="231F20"/>
          <w:spacing w:val="-13"/>
          <w:sz w:val="20"/>
        </w:rPr>
        <w:t> </w:t>
      </w:r>
      <w:r>
        <w:rPr>
          <w:color w:val="231F20"/>
          <w:sz w:val="20"/>
        </w:rPr>
        <w:t>Texas</w:t>
      </w:r>
      <w:r>
        <w:rPr>
          <w:color w:val="231F20"/>
          <w:spacing w:val="-13"/>
          <w:sz w:val="20"/>
        </w:rPr>
        <w:t> </w:t>
      </w:r>
      <w:r>
        <w:rPr>
          <w:color w:val="231F20"/>
          <w:spacing w:val="-3"/>
          <w:sz w:val="20"/>
        </w:rPr>
        <w:t>System </w:t>
      </w:r>
      <w:r>
        <w:rPr>
          <w:i/>
          <w:color w:val="231F20"/>
          <w:sz w:val="20"/>
        </w:rPr>
        <w:t>Audit Committee, Nominating and Corporate </w:t>
      </w:r>
      <w:r>
        <w:rPr>
          <w:i/>
          <w:color w:val="231F20"/>
          <w:sz w:val="20"/>
        </w:rPr>
        <w:t>Governance Committee (Chair), and Executive Committee</w:t>
      </w:r>
    </w:p>
    <w:p>
      <w:pPr>
        <w:pStyle w:val="BodyText"/>
        <w:spacing w:before="10"/>
        <w:rPr>
          <w:i/>
          <w:sz w:val="20"/>
        </w:rPr>
      </w:pPr>
    </w:p>
    <w:p>
      <w:pPr>
        <w:spacing w:before="1"/>
        <w:ind w:left="119" w:right="0" w:firstLine="0"/>
        <w:jc w:val="left"/>
        <w:rPr>
          <w:b/>
          <w:sz w:val="20"/>
        </w:rPr>
      </w:pPr>
      <w:r>
        <w:rPr>
          <w:b/>
          <w:color w:val="231F20"/>
          <w:sz w:val="20"/>
        </w:rPr>
        <w:t>JOHN G. DENISON</w:t>
      </w:r>
    </w:p>
    <w:p>
      <w:pPr>
        <w:spacing w:before="130"/>
        <w:ind w:left="119" w:right="0" w:firstLine="0"/>
        <w:jc w:val="left"/>
        <w:rPr>
          <w:sz w:val="20"/>
        </w:rPr>
      </w:pPr>
      <w:r>
        <w:rPr>
          <w:color w:val="231F20"/>
          <w:sz w:val="20"/>
        </w:rPr>
        <w:t>Former Chairman of the Board</w:t>
      </w:r>
    </w:p>
    <w:p>
      <w:pPr>
        <w:spacing w:line="249" w:lineRule="auto" w:before="10"/>
        <w:ind w:left="119" w:right="413" w:firstLine="0"/>
        <w:jc w:val="left"/>
        <w:rPr>
          <w:sz w:val="20"/>
        </w:rPr>
      </w:pPr>
      <w:r>
        <w:rPr>
          <w:color w:val="231F20"/>
          <w:sz w:val="20"/>
        </w:rPr>
        <w:t>Global</w:t>
      </w:r>
      <w:r>
        <w:rPr>
          <w:color w:val="231F20"/>
          <w:spacing w:val="-20"/>
          <w:sz w:val="20"/>
        </w:rPr>
        <w:t> </w:t>
      </w:r>
      <w:r>
        <w:rPr>
          <w:color w:val="231F20"/>
          <w:sz w:val="20"/>
        </w:rPr>
        <w:t>Aero</w:t>
      </w:r>
      <w:r>
        <w:rPr>
          <w:color w:val="231F20"/>
          <w:spacing w:val="-20"/>
          <w:sz w:val="20"/>
        </w:rPr>
        <w:t> </w:t>
      </w:r>
      <w:r>
        <w:rPr>
          <w:color w:val="231F20"/>
          <w:sz w:val="20"/>
        </w:rPr>
        <w:t>Logistics</w:t>
      </w:r>
      <w:r>
        <w:rPr>
          <w:color w:val="231F20"/>
          <w:spacing w:val="-20"/>
          <w:sz w:val="20"/>
        </w:rPr>
        <w:t> </w:t>
      </w:r>
      <w:r>
        <w:rPr>
          <w:color w:val="231F20"/>
          <w:sz w:val="20"/>
        </w:rPr>
        <w:t>Inc.</w:t>
      </w:r>
      <w:r>
        <w:rPr>
          <w:color w:val="231F20"/>
          <w:spacing w:val="-20"/>
          <w:sz w:val="20"/>
        </w:rPr>
        <w:t> </w:t>
      </w:r>
      <w:r>
        <w:rPr>
          <w:color w:val="231F20"/>
          <w:sz w:val="20"/>
        </w:rPr>
        <w:t>(diversified</w:t>
      </w:r>
      <w:r>
        <w:rPr>
          <w:color w:val="231F20"/>
          <w:spacing w:val="-20"/>
          <w:sz w:val="20"/>
        </w:rPr>
        <w:t> </w:t>
      </w:r>
      <w:r>
        <w:rPr>
          <w:color w:val="231F20"/>
          <w:sz w:val="20"/>
        </w:rPr>
        <w:t>passenger airline)</w:t>
      </w:r>
    </w:p>
    <w:p>
      <w:pPr>
        <w:spacing w:line="249" w:lineRule="auto" w:before="1"/>
        <w:ind w:left="119" w:right="113" w:firstLine="0"/>
        <w:jc w:val="left"/>
        <w:rPr>
          <w:i/>
          <w:sz w:val="20"/>
        </w:rPr>
      </w:pPr>
      <w:r>
        <w:rPr>
          <w:i/>
          <w:color w:val="231F20"/>
          <w:sz w:val="20"/>
        </w:rPr>
        <w:t>Audit Committee, Safety and Compliance Oversight </w:t>
      </w:r>
      <w:r>
        <w:rPr>
          <w:i/>
          <w:color w:val="231F20"/>
          <w:sz w:val="20"/>
        </w:rPr>
        <w:t>Committee (Chair), and Executive Committee</w:t>
      </w:r>
    </w:p>
    <w:p>
      <w:pPr>
        <w:pStyle w:val="BodyText"/>
        <w:spacing w:before="11"/>
        <w:rPr>
          <w:i/>
          <w:sz w:val="20"/>
        </w:rPr>
      </w:pPr>
    </w:p>
    <w:p>
      <w:pPr>
        <w:spacing w:before="0"/>
        <w:ind w:left="119" w:right="0" w:firstLine="0"/>
        <w:jc w:val="left"/>
        <w:rPr>
          <w:b/>
          <w:sz w:val="20"/>
        </w:rPr>
      </w:pPr>
      <w:r>
        <w:rPr>
          <w:b/>
          <w:color w:val="231F20"/>
          <w:sz w:val="20"/>
        </w:rPr>
        <w:t>THOMAS W. GILLIGAN, PHD</w:t>
      </w:r>
    </w:p>
    <w:p>
      <w:pPr>
        <w:spacing w:line="249" w:lineRule="auto" w:before="130"/>
        <w:ind w:left="119" w:right="653" w:firstLine="0"/>
        <w:jc w:val="left"/>
        <w:rPr>
          <w:sz w:val="20"/>
        </w:rPr>
      </w:pPr>
      <w:r>
        <w:rPr>
          <w:color w:val="231F20"/>
          <w:sz w:val="20"/>
        </w:rPr>
        <w:t>Tad and Diane Taube Director of the Hoover Institution at Stanford University</w:t>
      </w:r>
    </w:p>
    <w:p>
      <w:pPr>
        <w:spacing w:line="249" w:lineRule="auto" w:before="1"/>
        <w:ind w:left="119" w:right="652" w:firstLine="0"/>
        <w:jc w:val="left"/>
        <w:rPr>
          <w:i/>
          <w:sz w:val="20"/>
        </w:rPr>
      </w:pPr>
      <w:r>
        <w:rPr>
          <w:i/>
          <w:color w:val="231F20"/>
          <w:sz w:val="20"/>
        </w:rPr>
        <w:t>Audit Committee and Safety and Compliance </w:t>
      </w:r>
      <w:r>
        <w:rPr>
          <w:i/>
          <w:color w:val="231F20"/>
          <w:sz w:val="20"/>
        </w:rPr>
        <w:t>Oversight Committee</w:t>
      </w:r>
    </w:p>
    <w:p>
      <w:pPr>
        <w:pStyle w:val="BodyText"/>
        <w:spacing w:before="5"/>
        <w:rPr>
          <w:i/>
          <w:sz w:val="23"/>
        </w:rPr>
      </w:pPr>
      <w:r>
        <w:rPr/>
        <w:br w:type="column"/>
      </w:r>
      <w:r>
        <w:rPr>
          <w:i/>
          <w:sz w:val="23"/>
        </w:rPr>
      </w:r>
    </w:p>
    <w:p>
      <w:pPr>
        <w:spacing w:before="0"/>
        <w:ind w:left="120" w:right="0" w:firstLine="0"/>
        <w:jc w:val="left"/>
        <w:rPr>
          <w:b/>
          <w:sz w:val="20"/>
        </w:rPr>
      </w:pPr>
      <w:r>
        <w:rPr>
          <w:b/>
          <w:color w:val="231F20"/>
          <w:sz w:val="20"/>
        </w:rPr>
        <w:t>GARY C. KELLY</w:t>
      </w:r>
    </w:p>
    <w:p>
      <w:pPr>
        <w:spacing w:line="249" w:lineRule="auto" w:before="129"/>
        <w:ind w:left="120" w:right="192" w:firstLine="0"/>
        <w:jc w:val="left"/>
        <w:rPr>
          <w:sz w:val="20"/>
        </w:rPr>
      </w:pPr>
      <w:r>
        <w:rPr>
          <w:color w:val="231F20"/>
          <w:sz w:val="20"/>
        </w:rPr>
        <w:t>Chairman of the Board and Chief Executive </w:t>
      </w:r>
      <w:r>
        <w:rPr>
          <w:color w:val="231F20"/>
          <w:spacing w:val="-3"/>
          <w:sz w:val="20"/>
        </w:rPr>
        <w:t>Officer </w:t>
      </w:r>
      <w:r>
        <w:rPr>
          <w:color w:val="231F20"/>
          <w:sz w:val="20"/>
        </w:rPr>
        <w:t>Southwest Airlines </w:t>
      </w:r>
      <w:r>
        <w:rPr>
          <w:color w:val="231F20"/>
          <w:spacing w:val="-2"/>
          <w:sz w:val="20"/>
        </w:rPr>
        <w:t>Co.</w:t>
      </w:r>
    </w:p>
    <w:p>
      <w:pPr>
        <w:spacing w:before="0"/>
        <w:ind w:left="120" w:right="0" w:firstLine="0"/>
        <w:jc w:val="left"/>
        <w:rPr>
          <w:i/>
          <w:sz w:val="20"/>
        </w:rPr>
      </w:pPr>
      <w:r>
        <w:rPr>
          <w:i/>
          <w:color w:val="231F20"/>
          <w:sz w:val="20"/>
        </w:rPr>
        <w:t>Executive Committee (Chair)</w:t>
      </w:r>
    </w:p>
    <w:p>
      <w:pPr>
        <w:pStyle w:val="BodyText"/>
        <w:spacing w:before="8"/>
        <w:rPr>
          <w:i/>
          <w:sz w:val="21"/>
        </w:rPr>
      </w:pPr>
    </w:p>
    <w:p>
      <w:pPr>
        <w:spacing w:before="0"/>
        <w:ind w:left="120" w:right="0" w:firstLine="0"/>
        <w:jc w:val="left"/>
        <w:rPr>
          <w:b/>
          <w:sz w:val="20"/>
        </w:rPr>
      </w:pPr>
      <w:r>
        <w:rPr>
          <w:b/>
          <w:color w:val="231F20"/>
          <w:sz w:val="20"/>
        </w:rPr>
        <w:t>GRACE D. LIEBLEIN</w:t>
      </w:r>
    </w:p>
    <w:p>
      <w:pPr>
        <w:spacing w:before="130"/>
        <w:ind w:left="120" w:right="0" w:firstLine="0"/>
        <w:jc w:val="left"/>
        <w:rPr>
          <w:sz w:val="20"/>
        </w:rPr>
      </w:pPr>
      <w:r>
        <w:rPr>
          <w:color w:val="231F20"/>
          <w:sz w:val="20"/>
        </w:rPr>
        <w:t>Former Vice President, Global Quality</w:t>
      </w:r>
    </w:p>
    <w:p>
      <w:pPr>
        <w:spacing w:before="10"/>
        <w:ind w:left="120" w:right="0" w:firstLine="0"/>
        <w:jc w:val="left"/>
        <w:rPr>
          <w:sz w:val="20"/>
        </w:rPr>
      </w:pPr>
      <w:r>
        <w:rPr>
          <w:color w:val="231F20"/>
          <w:sz w:val="20"/>
        </w:rPr>
        <w:t>General Motors Corporation (automobile company)</w:t>
      </w:r>
    </w:p>
    <w:p>
      <w:pPr>
        <w:spacing w:line="249" w:lineRule="auto" w:before="10"/>
        <w:ind w:left="120" w:right="1248" w:firstLine="0"/>
        <w:jc w:val="left"/>
        <w:rPr>
          <w:i/>
          <w:sz w:val="20"/>
        </w:rPr>
      </w:pPr>
      <w:r>
        <w:rPr>
          <w:i/>
          <w:color w:val="231F20"/>
          <w:sz w:val="20"/>
        </w:rPr>
        <w:t>Compensation Committee and Safety </w:t>
      </w:r>
      <w:r>
        <w:rPr>
          <w:i/>
          <w:color w:val="231F20"/>
          <w:sz w:val="20"/>
        </w:rPr>
        <w:t>and Compliance Oversight Committee</w:t>
      </w:r>
    </w:p>
    <w:p>
      <w:pPr>
        <w:pStyle w:val="BodyText"/>
        <w:spacing w:before="11"/>
        <w:rPr>
          <w:i/>
          <w:sz w:val="20"/>
        </w:rPr>
      </w:pPr>
    </w:p>
    <w:p>
      <w:pPr>
        <w:spacing w:before="0"/>
        <w:ind w:left="120" w:right="0" w:firstLine="0"/>
        <w:jc w:val="left"/>
        <w:rPr>
          <w:b/>
          <w:sz w:val="20"/>
        </w:rPr>
      </w:pPr>
      <w:r>
        <w:rPr>
          <w:b/>
          <w:color w:val="231F20"/>
          <w:sz w:val="20"/>
        </w:rPr>
        <w:t>NANCY B. LOEFFLER</w:t>
      </w:r>
    </w:p>
    <w:p>
      <w:pPr>
        <w:spacing w:line="249" w:lineRule="auto" w:before="129"/>
        <w:ind w:left="120" w:right="324" w:firstLine="0"/>
        <w:jc w:val="left"/>
        <w:rPr>
          <w:sz w:val="20"/>
        </w:rPr>
      </w:pPr>
      <w:r>
        <w:rPr>
          <w:color w:val="231F20"/>
          <w:sz w:val="20"/>
        </w:rPr>
        <w:t>Consultant</w:t>
      </w:r>
      <w:r>
        <w:rPr>
          <w:color w:val="231F20"/>
          <w:spacing w:val="-13"/>
          <w:sz w:val="20"/>
        </w:rPr>
        <w:t> </w:t>
      </w:r>
      <w:r>
        <w:rPr>
          <w:color w:val="231F20"/>
          <w:sz w:val="20"/>
        </w:rPr>
        <w:t>for</w:t>
      </w:r>
      <w:r>
        <w:rPr>
          <w:color w:val="231F20"/>
          <w:spacing w:val="-13"/>
          <w:sz w:val="20"/>
        </w:rPr>
        <w:t> </w:t>
      </w:r>
      <w:r>
        <w:rPr>
          <w:color w:val="231F20"/>
          <w:sz w:val="20"/>
        </w:rPr>
        <w:t>Frost</w:t>
      </w:r>
      <w:r>
        <w:rPr>
          <w:color w:val="231F20"/>
          <w:spacing w:val="-13"/>
          <w:sz w:val="20"/>
        </w:rPr>
        <w:t> </w:t>
      </w:r>
      <w:r>
        <w:rPr>
          <w:color w:val="231F20"/>
          <w:sz w:val="20"/>
        </w:rPr>
        <w:t>Bank</w:t>
      </w:r>
      <w:r>
        <w:rPr>
          <w:color w:val="231F20"/>
          <w:spacing w:val="-13"/>
          <w:sz w:val="20"/>
        </w:rPr>
        <w:t> </w:t>
      </w:r>
      <w:r>
        <w:rPr>
          <w:color w:val="231F20"/>
          <w:sz w:val="20"/>
        </w:rPr>
        <w:t>and</w:t>
      </w:r>
      <w:r>
        <w:rPr>
          <w:color w:val="231F20"/>
          <w:spacing w:val="-13"/>
          <w:sz w:val="20"/>
        </w:rPr>
        <w:t> </w:t>
      </w:r>
      <w:r>
        <w:rPr>
          <w:color w:val="231F20"/>
          <w:sz w:val="20"/>
        </w:rPr>
        <w:t>member</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Frost Bank Advisory</w:t>
      </w:r>
      <w:r>
        <w:rPr>
          <w:color w:val="231F20"/>
          <w:spacing w:val="-38"/>
          <w:sz w:val="20"/>
        </w:rPr>
        <w:t> </w:t>
      </w:r>
      <w:r>
        <w:rPr>
          <w:color w:val="231F20"/>
          <w:sz w:val="20"/>
        </w:rPr>
        <w:t>Board</w:t>
      </w:r>
    </w:p>
    <w:p>
      <w:pPr>
        <w:spacing w:line="249" w:lineRule="auto" w:before="0"/>
        <w:ind w:left="120" w:right="553" w:firstLine="0"/>
        <w:jc w:val="left"/>
        <w:rPr>
          <w:i/>
          <w:sz w:val="20"/>
        </w:rPr>
      </w:pPr>
      <w:r>
        <w:rPr>
          <w:color w:val="231F20"/>
          <w:sz w:val="20"/>
        </w:rPr>
        <w:t>Long-time advocate of volunteerism </w:t>
      </w:r>
      <w:r>
        <w:rPr>
          <w:i/>
          <w:color w:val="231F20"/>
          <w:sz w:val="20"/>
        </w:rPr>
        <w:t>Compensation Committee and Nominating and </w:t>
      </w:r>
      <w:r>
        <w:rPr>
          <w:i/>
          <w:color w:val="231F20"/>
          <w:sz w:val="20"/>
        </w:rPr>
        <w:t>Corporate Governance Committee</w:t>
      </w:r>
    </w:p>
    <w:p>
      <w:pPr>
        <w:pStyle w:val="BodyText"/>
        <w:spacing w:before="10"/>
        <w:rPr>
          <w:i/>
          <w:sz w:val="20"/>
        </w:rPr>
      </w:pPr>
    </w:p>
    <w:p>
      <w:pPr>
        <w:spacing w:before="0"/>
        <w:ind w:left="120" w:right="0" w:firstLine="0"/>
        <w:jc w:val="left"/>
        <w:rPr>
          <w:b/>
          <w:sz w:val="20"/>
        </w:rPr>
      </w:pPr>
      <w:r>
        <w:rPr>
          <w:b/>
          <w:color w:val="231F20"/>
          <w:sz w:val="20"/>
        </w:rPr>
        <w:t>JOHN T. MONTFORD, JD</w:t>
      </w:r>
    </w:p>
    <w:p>
      <w:pPr>
        <w:spacing w:line="249" w:lineRule="auto" w:before="129"/>
        <w:ind w:left="120" w:right="1265" w:firstLine="0"/>
        <w:jc w:val="left"/>
        <w:rPr>
          <w:sz w:val="20"/>
        </w:rPr>
      </w:pPr>
      <w:r>
        <w:rPr>
          <w:color w:val="231F20"/>
          <w:sz w:val="20"/>
        </w:rPr>
        <w:t>President and Chief Executive Officer JTM Consulting, LLC</w:t>
      </w:r>
    </w:p>
    <w:p>
      <w:pPr>
        <w:spacing w:line="249" w:lineRule="auto" w:before="1"/>
        <w:ind w:left="120" w:right="98" w:firstLine="0"/>
        <w:jc w:val="left"/>
        <w:rPr>
          <w:i/>
          <w:sz w:val="20"/>
        </w:rPr>
      </w:pPr>
      <w:r>
        <w:rPr>
          <w:i/>
          <w:color w:val="231F20"/>
          <w:sz w:val="20"/>
        </w:rPr>
        <w:t>Audit Committee (Chair), Compensation Committee, </w:t>
      </w:r>
      <w:r>
        <w:rPr>
          <w:i/>
          <w:color w:val="231F20"/>
          <w:sz w:val="20"/>
        </w:rPr>
        <w:t>and Nominating and Corporate Governance Committee</w:t>
      </w:r>
    </w:p>
    <w:p>
      <w:pPr>
        <w:pStyle w:val="BodyText"/>
        <w:spacing w:before="11"/>
        <w:rPr>
          <w:i/>
          <w:sz w:val="20"/>
        </w:rPr>
      </w:pPr>
    </w:p>
    <w:p>
      <w:pPr>
        <w:spacing w:before="0"/>
        <w:ind w:left="120" w:right="0" w:firstLine="0"/>
        <w:jc w:val="left"/>
        <w:rPr>
          <w:b/>
          <w:sz w:val="20"/>
        </w:rPr>
      </w:pPr>
      <w:r>
        <w:rPr>
          <w:b/>
          <w:color w:val="231F20"/>
          <w:sz w:val="20"/>
        </w:rPr>
        <w:t>RON RICKS</w:t>
      </w:r>
    </w:p>
    <w:p>
      <w:pPr>
        <w:spacing w:line="249" w:lineRule="auto" w:before="129"/>
        <w:ind w:left="120" w:right="2054" w:firstLine="0"/>
        <w:jc w:val="left"/>
        <w:rPr>
          <w:sz w:val="20"/>
        </w:rPr>
      </w:pPr>
      <w:r>
        <w:rPr>
          <w:color w:val="231F20"/>
          <w:sz w:val="20"/>
        </w:rPr>
        <w:t>Vice Chairman of the Board Southwest Airlines Co.</w:t>
      </w:r>
    </w:p>
    <w:p>
      <w:pPr>
        <w:spacing w:before="0"/>
        <w:ind w:left="120" w:right="0" w:firstLine="0"/>
        <w:jc w:val="left"/>
        <w:rPr>
          <w:i/>
          <w:sz w:val="20"/>
        </w:rPr>
      </w:pPr>
      <w:r>
        <w:rPr>
          <w:i/>
          <w:color w:val="231F20"/>
          <w:sz w:val="20"/>
        </w:rPr>
        <w:t>Executive Committee and Safety</w:t>
      </w:r>
    </w:p>
    <w:p>
      <w:pPr>
        <w:spacing w:before="9"/>
        <w:ind w:left="120" w:right="0" w:firstLine="0"/>
        <w:jc w:val="left"/>
        <w:rPr>
          <w:i/>
          <w:sz w:val="20"/>
        </w:rPr>
      </w:pPr>
      <w:r>
        <w:rPr>
          <w:i/>
          <w:color w:val="231F20"/>
          <w:sz w:val="20"/>
        </w:rPr>
        <w:t>and Compliance Oversight Committee</w:t>
      </w:r>
    </w:p>
    <w:p>
      <w:pPr>
        <w:pStyle w:val="BodyText"/>
        <w:rPr>
          <w:i/>
        </w:rPr>
      </w:pPr>
    </w:p>
    <w:p>
      <w:pPr>
        <w:pStyle w:val="BodyText"/>
        <w:rPr>
          <w:i/>
        </w:rPr>
      </w:pPr>
    </w:p>
    <w:p>
      <w:pPr>
        <w:pStyle w:val="BodyText"/>
        <w:rPr>
          <w:i/>
        </w:rPr>
      </w:pPr>
    </w:p>
    <w:p>
      <w:pPr>
        <w:pStyle w:val="BodyText"/>
        <w:rPr>
          <w:i/>
        </w:rPr>
      </w:pPr>
    </w:p>
    <w:p>
      <w:pPr>
        <w:spacing w:before="197"/>
        <w:ind w:left="120" w:right="0" w:firstLine="0"/>
        <w:jc w:val="left"/>
        <w:rPr>
          <w:b/>
          <w:i/>
          <w:sz w:val="20"/>
        </w:rPr>
      </w:pPr>
      <w:r>
        <w:rPr>
          <w:b/>
          <w:i/>
          <w:color w:val="231F20"/>
          <w:sz w:val="20"/>
        </w:rPr>
        <w:t>HONORARY DESIGNATIONS</w:t>
      </w:r>
    </w:p>
    <w:p>
      <w:pPr>
        <w:spacing w:before="129"/>
        <w:ind w:left="120" w:right="0" w:firstLine="0"/>
        <w:jc w:val="left"/>
        <w:rPr>
          <w:b/>
          <w:sz w:val="20"/>
        </w:rPr>
      </w:pPr>
      <w:r>
        <w:rPr>
          <w:b/>
          <w:color w:val="231F20"/>
          <w:sz w:val="20"/>
        </w:rPr>
        <w:t>HERBERT D. KELLEHER</w:t>
      </w:r>
    </w:p>
    <w:p>
      <w:pPr>
        <w:spacing w:line="249" w:lineRule="auto" w:before="9"/>
        <w:ind w:left="120" w:right="2054" w:firstLine="0"/>
        <w:jc w:val="left"/>
        <w:rPr>
          <w:b/>
          <w:sz w:val="20"/>
        </w:rPr>
      </w:pPr>
      <w:r>
        <w:rPr>
          <w:color w:val="231F20"/>
          <w:sz w:val="20"/>
        </w:rPr>
        <w:t>Chairman Emeritus Southwest Airlines Co. </w:t>
      </w:r>
      <w:r>
        <w:rPr>
          <w:b/>
          <w:color w:val="231F20"/>
          <w:sz w:val="20"/>
        </w:rPr>
        <w:t>COLLEEN C. BARRETT</w:t>
      </w:r>
    </w:p>
    <w:p>
      <w:pPr>
        <w:spacing w:line="249" w:lineRule="auto" w:before="0"/>
        <w:ind w:left="120" w:right="2458" w:firstLine="0"/>
        <w:jc w:val="left"/>
        <w:rPr>
          <w:sz w:val="20"/>
        </w:rPr>
      </w:pPr>
      <w:r>
        <w:rPr>
          <w:color w:val="231F20"/>
          <w:sz w:val="20"/>
        </w:rPr>
        <w:t>President Emeritus Southwest Airlines Co.</w:t>
      </w:r>
    </w:p>
    <w:p>
      <w:pPr>
        <w:spacing w:after="0" w:line="249" w:lineRule="auto"/>
        <w:jc w:val="left"/>
        <w:rPr>
          <w:sz w:val="20"/>
        </w:rPr>
        <w:sectPr>
          <w:type w:val="continuous"/>
          <w:pgSz w:w="11880" w:h="15480"/>
          <w:pgMar w:top="1260" w:bottom="280" w:left="1260" w:right="1360"/>
          <w:cols w:num="2" w:equalWidth="0">
            <w:col w:w="4396" w:space="404"/>
            <w:col w:w="4460"/>
          </w:cols>
        </w:sectPr>
      </w:pPr>
    </w:p>
    <w:p>
      <w:pPr>
        <w:spacing w:before="73"/>
        <w:ind w:left="1264" w:right="1244" w:firstLine="0"/>
        <w:jc w:val="center"/>
        <w:rPr>
          <w:b/>
          <w:sz w:val="20"/>
        </w:rPr>
      </w:pPr>
      <w:bookmarkStart w:name="CORPORATE INFORMATION" w:id="54"/>
      <w:bookmarkEnd w:id="54"/>
      <w:r>
        <w:rPr/>
      </w:r>
      <w:bookmarkStart w:name="FINAL PAGE" w:id="55"/>
      <w:bookmarkEnd w:id="55"/>
      <w:r>
        <w:rPr/>
      </w:r>
      <w:r>
        <w:rPr>
          <w:b/>
          <w:color w:val="231F20"/>
          <w:sz w:val="20"/>
        </w:rPr>
        <w:t>CORPORATE INFORMATION</w:t>
      </w:r>
    </w:p>
    <w:p>
      <w:pPr>
        <w:pStyle w:val="BodyText"/>
        <w:spacing w:before="8"/>
        <w:rPr>
          <w:b/>
          <w:sz w:val="11"/>
        </w:rPr>
      </w:pPr>
    </w:p>
    <w:p>
      <w:pPr>
        <w:spacing w:after="0"/>
        <w:rPr>
          <w:sz w:val="11"/>
        </w:rPr>
        <w:sectPr>
          <w:footerReference w:type="default" r:id="rId31"/>
          <w:pgSz w:w="11880" w:h="15480"/>
          <w:pgMar w:footer="0" w:header="0" w:top="1240" w:bottom="280" w:left="1260" w:right="1280"/>
        </w:sectPr>
      </w:pPr>
    </w:p>
    <w:p>
      <w:pPr>
        <w:spacing w:line="191" w:lineRule="exact" w:before="100"/>
        <w:ind w:left="120" w:right="0" w:firstLine="0"/>
        <w:jc w:val="left"/>
        <w:rPr>
          <w:b/>
          <w:sz w:val="18"/>
        </w:rPr>
      </w:pPr>
      <w:r>
        <w:rPr>
          <w:b/>
          <w:color w:val="231F20"/>
          <w:sz w:val="18"/>
        </w:rPr>
        <w:t>SOUTHWEST AIRLINES CO. GENERAL OFFICES</w:t>
      </w:r>
    </w:p>
    <w:p>
      <w:pPr>
        <w:spacing w:line="176" w:lineRule="exact" w:before="0"/>
        <w:ind w:left="120" w:right="0" w:firstLine="0"/>
        <w:jc w:val="left"/>
        <w:rPr>
          <w:sz w:val="18"/>
        </w:rPr>
      </w:pPr>
      <w:r>
        <w:rPr>
          <w:color w:val="231F20"/>
          <w:sz w:val="18"/>
        </w:rPr>
        <w:t>P.O. Box 36611</w:t>
      </w:r>
    </w:p>
    <w:p>
      <w:pPr>
        <w:spacing w:line="176" w:lineRule="exact" w:before="11"/>
        <w:ind w:left="120" w:right="2720" w:firstLine="0"/>
        <w:jc w:val="left"/>
        <w:rPr>
          <w:sz w:val="18"/>
        </w:rPr>
      </w:pPr>
      <w:r>
        <w:rPr>
          <w:color w:val="231F20"/>
          <w:sz w:val="18"/>
        </w:rPr>
        <w:t>2702 Love Field Drive Dallas, TX 75235</w:t>
      </w:r>
    </w:p>
    <w:p>
      <w:pPr>
        <w:spacing w:line="180" w:lineRule="exact" w:before="0"/>
        <w:ind w:left="120" w:right="0" w:firstLine="0"/>
        <w:jc w:val="left"/>
        <w:rPr>
          <w:sz w:val="18"/>
        </w:rPr>
      </w:pPr>
      <w:r>
        <w:rPr>
          <w:color w:val="231F20"/>
          <w:sz w:val="18"/>
        </w:rPr>
        <w:t>Telephone: 214-792-4000</w:t>
      </w:r>
    </w:p>
    <w:p>
      <w:pPr>
        <w:spacing w:line="191" w:lineRule="exact" w:before="104"/>
        <w:ind w:left="120" w:right="0" w:firstLine="0"/>
        <w:jc w:val="left"/>
        <w:rPr>
          <w:b/>
          <w:sz w:val="18"/>
        </w:rPr>
      </w:pPr>
      <w:r>
        <w:rPr>
          <w:b/>
          <w:color w:val="231F20"/>
          <w:sz w:val="18"/>
        </w:rPr>
        <w:t>FINANCIAL INFORMATION</w:t>
      </w:r>
    </w:p>
    <w:p>
      <w:pPr>
        <w:spacing w:line="176" w:lineRule="exact" w:before="11"/>
        <w:ind w:left="120" w:right="-19" w:firstLine="0"/>
        <w:jc w:val="left"/>
        <w:rPr>
          <w:sz w:val="18"/>
        </w:rPr>
      </w:pPr>
      <w:r>
        <w:rPr>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spacing w:line="176" w:lineRule="exact" w:before="135"/>
        <w:ind w:left="120" w:right="2240" w:firstLine="0"/>
        <w:jc w:val="left"/>
        <w:rPr>
          <w:sz w:val="18"/>
        </w:rPr>
      </w:pPr>
      <w:r>
        <w:rPr>
          <w:color w:val="231F20"/>
          <w:sz w:val="18"/>
        </w:rPr>
        <w:t>Southwest Airlines Co. Investor Relations, HDQ-6IR</w:t>
      </w:r>
    </w:p>
    <w:p>
      <w:pPr>
        <w:spacing w:line="164" w:lineRule="exact" w:before="0"/>
        <w:ind w:left="120" w:right="0" w:firstLine="0"/>
        <w:jc w:val="left"/>
        <w:rPr>
          <w:sz w:val="18"/>
        </w:rPr>
      </w:pPr>
      <w:r>
        <w:rPr>
          <w:color w:val="231F20"/>
          <w:sz w:val="18"/>
        </w:rPr>
        <w:t>P.O. Box 36611</w:t>
      </w:r>
    </w:p>
    <w:p>
      <w:pPr>
        <w:spacing w:line="176" w:lineRule="exact" w:before="11"/>
        <w:ind w:left="120" w:right="2720" w:firstLine="0"/>
        <w:jc w:val="left"/>
        <w:rPr>
          <w:sz w:val="18"/>
        </w:rPr>
      </w:pPr>
      <w:r>
        <w:rPr>
          <w:color w:val="231F20"/>
          <w:sz w:val="18"/>
        </w:rPr>
        <w:t>2702 Love Field Drive Dallas, Texas 75235</w:t>
      </w:r>
    </w:p>
    <w:p>
      <w:pPr>
        <w:spacing w:line="180" w:lineRule="exact" w:before="0"/>
        <w:ind w:left="120" w:right="0" w:firstLine="0"/>
        <w:jc w:val="left"/>
        <w:rPr>
          <w:sz w:val="18"/>
        </w:rPr>
      </w:pPr>
      <w:r>
        <w:rPr>
          <w:color w:val="231F20"/>
          <w:sz w:val="18"/>
        </w:rPr>
        <w:t>Telephone: 214-792-4908</w:t>
      </w:r>
    </w:p>
    <w:p>
      <w:pPr>
        <w:spacing w:line="191" w:lineRule="exact" w:before="104"/>
        <w:ind w:left="120" w:right="0" w:firstLine="0"/>
        <w:jc w:val="left"/>
        <w:rPr>
          <w:b/>
          <w:sz w:val="18"/>
        </w:rPr>
      </w:pPr>
      <w:r>
        <w:rPr>
          <w:b/>
          <w:color w:val="231F20"/>
          <w:sz w:val="18"/>
        </w:rPr>
        <w:t>ANNUAL MEETING</w:t>
      </w:r>
    </w:p>
    <w:p>
      <w:pPr>
        <w:spacing w:line="176" w:lineRule="exact" w:before="11"/>
        <w:ind w:left="120" w:right="66" w:firstLine="0"/>
        <w:jc w:val="left"/>
        <w:rPr>
          <w:sz w:val="18"/>
        </w:rPr>
      </w:pPr>
      <w:r>
        <w:rPr>
          <w:color w:val="231F20"/>
          <w:sz w:val="18"/>
        </w:rPr>
        <w:t>The Annual Meeting of Shareholders of Southwest Airlines Co. will be held at 10:00 a.m. on May 17, 2017, at the Kimpton Hotel Palomar Phoenix located at 2 East Jefferson Street, Phoenix, Arizona 85004.</w:t>
      </w:r>
    </w:p>
    <w:p>
      <w:pPr>
        <w:spacing w:line="191" w:lineRule="exact" w:before="100"/>
        <w:ind w:left="120" w:right="0" w:firstLine="0"/>
        <w:jc w:val="left"/>
        <w:rPr>
          <w:b/>
          <w:sz w:val="18"/>
        </w:rPr>
      </w:pPr>
      <w:r>
        <w:rPr/>
        <w:br w:type="column"/>
      </w:r>
      <w:r>
        <w:rPr>
          <w:b/>
          <w:color w:val="231F20"/>
          <w:sz w:val="18"/>
        </w:rPr>
        <w:t>STOCK EXCHANGE LISTING</w:t>
      </w:r>
    </w:p>
    <w:p>
      <w:pPr>
        <w:spacing w:line="191" w:lineRule="exact" w:before="0"/>
        <w:ind w:left="120" w:right="0" w:firstLine="0"/>
        <w:jc w:val="left"/>
        <w:rPr>
          <w:sz w:val="18"/>
        </w:rPr>
      </w:pPr>
      <w:r>
        <w:rPr>
          <w:color w:val="231F20"/>
          <w:sz w:val="18"/>
        </w:rPr>
        <w:t>New York Stock Exchange Ticker Symbol: LUV</w:t>
      </w:r>
    </w:p>
    <w:p>
      <w:pPr>
        <w:spacing w:line="191" w:lineRule="exact" w:before="104"/>
        <w:ind w:left="120" w:right="0" w:firstLine="0"/>
        <w:jc w:val="left"/>
        <w:rPr>
          <w:b/>
          <w:sz w:val="18"/>
        </w:rPr>
      </w:pPr>
      <w:r>
        <w:rPr>
          <w:b/>
          <w:color w:val="231F20"/>
          <w:sz w:val="18"/>
        </w:rPr>
        <w:t>TRANSFER AGENT AND REGISTRAR</w:t>
      </w:r>
    </w:p>
    <w:p>
      <w:pPr>
        <w:spacing w:line="176" w:lineRule="exact" w:before="11"/>
        <w:ind w:left="120" w:right="171" w:firstLine="0"/>
        <w:jc w:val="left"/>
        <w:rPr>
          <w:sz w:val="18"/>
        </w:rPr>
      </w:pPr>
      <w:r>
        <w:rPr>
          <w:color w:val="231F20"/>
          <w:sz w:val="18"/>
        </w:rPr>
        <w:t>Registered shareholder inquiries regarding stock transfers, address changes, lost stock certificates, dividend payments and reinvestments, direct stock purchases, or account consolidation should be directed to:</w:t>
      </w:r>
    </w:p>
    <w:p>
      <w:pPr>
        <w:spacing w:line="176" w:lineRule="exact" w:before="134"/>
        <w:ind w:left="480" w:right="1408" w:firstLine="0"/>
        <w:jc w:val="left"/>
        <w:rPr>
          <w:sz w:val="18"/>
        </w:rPr>
      </w:pPr>
      <w:r>
        <w:rPr>
          <w:color w:val="231F20"/>
          <w:sz w:val="18"/>
        </w:rPr>
        <w:t>Wells Fargo Shareowner Services 1110 Centre Pointe Curve, Suite 101 Mendota Heights, MN 55120-4100 866-877-6206</w:t>
      </w:r>
    </w:p>
    <w:p>
      <w:pPr>
        <w:spacing w:line="164" w:lineRule="exact" w:before="0"/>
        <w:ind w:left="480" w:right="0" w:firstLine="0"/>
        <w:jc w:val="left"/>
        <w:rPr>
          <w:sz w:val="18"/>
        </w:rPr>
      </w:pPr>
      <w:r>
        <w:rPr>
          <w:color w:val="231F20"/>
          <w:sz w:val="18"/>
        </w:rPr>
        <w:t>651-450-4064</w:t>
      </w:r>
    </w:p>
    <w:p>
      <w:pPr>
        <w:spacing w:line="191" w:lineRule="exact" w:before="0"/>
        <w:ind w:left="480" w:right="0" w:firstLine="0"/>
        <w:jc w:val="left"/>
        <w:rPr>
          <w:i/>
          <w:sz w:val="18"/>
        </w:rPr>
      </w:pPr>
      <w:hyperlink r:id="rId32">
        <w:r>
          <w:rPr>
            <w:i/>
            <w:color w:val="231F20"/>
            <w:sz w:val="18"/>
          </w:rPr>
          <w:t>www.shareowneronline.com</w:t>
        </w:r>
      </w:hyperlink>
    </w:p>
    <w:p>
      <w:pPr>
        <w:spacing w:line="176" w:lineRule="exact" w:before="131"/>
        <w:ind w:left="120" w:right="1139" w:firstLine="0"/>
        <w:jc w:val="left"/>
        <w:rPr>
          <w:b/>
          <w:sz w:val="18"/>
        </w:rPr>
      </w:pPr>
      <w:r>
        <w:rPr>
          <w:b/>
          <w:color w:val="231F20"/>
          <w:sz w:val="18"/>
        </w:rPr>
        <w:t>INDEPENDENT REGISTERED PUBLIC ACCOUNTING FIRM</w:t>
      </w:r>
    </w:p>
    <w:p>
      <w:pPr>
        <w:spacing w:line="176" w:lineRule="exact" w:before="0"/>
        <w:ind w:left="120" w:right="2935" w:firstLine="0"/>
        <w:jc w:val="left"/>
        <w:rPr>
          <w:sz w:val="18"/>
        </w:rPr>
      </w:pPr>
      <w:r>
        <w:rPr>
          <w:color w:val="231F20"/>
          <w:sz w:val="18"/>
        </w:rPr>
        <w:t>Ernst &amp; Young LLP Dallas, Texas</w:t>
      </w:r>
    </w:p>
    <w:p>
      <w:pPr>
        <w:spacing w:after="0" w:line="176" w:lineRule="exact"/>
        <w:jc w:val="left"/>
        <w:rPr>
          <w:sz w:val="18"/>
        </w:rPr>
        <w:sectPr>
          <w:type w:val="continuous"/>
          <w:pgSz w:w="11880" w:h="15480"/>
          <w:pgMar w:top="1260" w:bottom="280" w:left="1260" w:right="1280"/>
          <w:cols w:num="2" w:equalWidth="0">
            <w:col w:w="4505" w:space="295"/>
            <w:col w:w="4540"/>
          </w:cols>
        </w:sectPr>
      </w:pPr>
    </w:p>
    <w:p>
      <w:pPr>
        <w:spacing w:before="131"/>
        <w:ind w:left="1264" w:right="1244" w:firstLine="0"/>
        <w:jc w:val="center"/>
        <w:rPr>
          <w:b/>
          <w:sz w:val="18"/>
        </w:rPr>
      </w:pPr>
      <w:r>
        <w:rPr>
          <w:b/>
          <w:color w:val="231F20"/>
          <w:sz w:val="18"/>
        </w:rPr>
        <w:t>2016 SOUTHWEST AIRLINES ONE REPORT</w:t>
      </w:r>
    </w:p>
    <w:p>
      <w:pPr>
        <w:spacing w:line="200" w:lineRule="exact" w:before="135"/>
        <w:ind w:left="119" w:right="218"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eighth annual Southwest Airlines One Report. Our award-winning integrated One Report combines financial, corporate responsibility, and environmental reporting into one comprehensive report, using the Global Reporting Initiative as a guide, an internationally recognized standard for sustainability reporting. You can read the 2016 Southwest Airlines One Report at </w:t>
      </w:r>
      <w:hyperlink r:id="rId33">
        <w:r>
          <w:rPr>
            <w:i/>
            <w:color w:val="231F20"/>
            <w:sz w:val="18"/>
          </w:rPr>
          <w:t>http://www.southwest.com/citizenship</w:t>
        </w:r>
      </w:hyperlink>
      <w:r>
        <w:rPr>
          <w:i/>
          <w:color w:val="231F20"/>
          <w:sz w:val="18"/>
        </w:rPr>
        <w:t> </w:t>
      </w:r>
      <w:r>
        <w:rPr>
          <w:color w:val="231F20"/>
          <w:sz w:val="18"/>
        </w:rPr>
        <w:t>or </w:t>
      </w:r>
      <w:hyperlink r:id="rId34">
        <w:r>
          <w:rPr>
            <w:i/>
            <w:color w:val="231F20"/>
            <w:sz w:val="18"/>
          </w:rPr>
          <w:t>http://www.southwestairlinesinvestorrelations.com/financials.</w:t>
        </w:r>
      </w:hyperlink>
    </w:p>
    <w:p>
      <w:pPr>
        <w:spacing w:before="126"/>
        <w:ind w:left="1264" w:right="1244" w:firstLine="0"/>
        <w:jc w:val="center"/>
        <w:rPr>
          <w:b/>
          <w:sz w:val="18"/>
        </w:rPr>
      </w:pPr>
      <w:r>
        <w:rPr>
          <w:b/>
          <w:color w:val="231F20"/>
          <w:sz w:val="18"/>
        </w:rPr>
        <w:t>CAUTIONARY STATEMENT REGARDING FORWARD-LOOKING STATEMENTS</w:t>
      </w:r>
    </w:p>
    <w:p>
      <w:pPr>
        <w:spacing w:line="200" w:lineRule="exact" w:before="135"/>
        <w:ind w:left="120" w:right="122"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fleet plans, strategies, and expectations, including its fleet modernization initiatives, and the Company’s related financial and operational expectations; (ii) the Company’s financial position, outlook, goals, strategies, and projected results of operations, including specific factors expected to impact the Company’s results of operations; (iii) the Company’s plans and expectations with respect to its new reservation system, and the Company’s related multi-faceted financial and operational expectations and opportunities; (iv) the Company’s construction initiatives and related operational expectations; (v) the Company’s growth plans, strategies, and opportunities, including the Company’s network and capacity plans, opportunities, and expectations; (vi) the Company’s expectations and goals with respect to returning value to Shareholders; and (vii) the Company’s Vision. These statements involve risks, uncertainties, assumptions, and other factors that are difficult to predict and that could cause actual results to vary materially from those expressed in or indicated by them. Factors include, among others, (i) changes in demand for the Company’s services and other changes in consumer behavior; (ii) the impact of economic conditions, fuel prices, actions of competitors (including without limitation pricing, scheduling, and capacity and network decisions and consolidation and alliance activities), and other factors beyond the Company’s control, on the Company’s business decisions, plans, and strategies;</w:t>
      </w:r>
    </w:p>
    <w:p>
      <w:pPr>
        <w:pStyle w:val="ListParagraph"/>
        <w:numPr>
          <w:ilvl w:val="0"/>
          <w:numId w:val="30"/>
        </w:numPr>
        <w:tabs>
          <w:tab w:pos="435" w:val="left" w:leader="none"/>
        </w:tabs>
        <w:spacing w:line="195" w:lineRule="exact" w:before="0" w:after="0"/>
        <w:ind w:left="120" w:right="0" w:firstLine="0"/>
        <w:jc w:val="left"/>
        <w:rPr>
          <w:sz w:val="18"/>
        </w:rPr>
      </w:pPr>
      <w:r>
        <w:rPr>
          <w:color w:val="231F20"/>
          <w:sz w:val="18"/>
        </w:rPr>
        <w:t>the Company’s dependence on third parties, in particular with respect to its fleet, technology, and construction</w:t>
      </w:r>
      <w:r>
        <w:rPr>
          <w:color w:val="231F20"/>
          <w:spacing w:val="-3"/>
          <w:sz w:val="18"/>
        </w:rPr>
        <w:t> </w:t>
      </w:r>
      <w:r>
        <w:rPr>
          <w:color w:val="231F20"/>
          <w:sz w:val="18"/>
        </w:rPr>
        <w:t>plans;</w:t>
      </w:r>
    </w:p>
    <w:p>
      <w:pPr>
        <w:pStyle w:val="ListParagraph"/>
        <w:numPr>
          <w:ilvl w:val="0"/>
          <w:numId w:val="30"/>
        </w:numPr>
        <w:tabs>
          <w:tab w:pos="425" w:val="left" w:leader="none"/>
        </w:tabs>
        <w:spacing w:line="200" w:lineRule="exact" w:before="5" w:after="0"/>
        <w:ind w:left="120" w:right="143" w:firstLine="0"/>
        <w:jc w:val="left"/>
        <w:rPr>
          <w:sz w:val="18"/>
        </w:rPr>
      </w:pPr>
      <w:r>
        <w:rPr>
          <w:color w:val="231F20"/>
          <w:sz w:val="18"/>
        </w:rPr>
        <w:t>the Company’s ability to timely and effectively implement, transition, and maintain the necessary information technology systems and infrastructure to support its operations and initiatives; (v) the impact of governmental regulations and other governmental actions related to the Company’s operations; (vi) the Company’s ability to timely and effectively prioritize its initiatives and related expenditures; (vii) the impact of labor matters on the Company’s business decisions, plans, strategies, and costs; and (viii) other factors, as described in the Company’s filings with the Securities and Exchange Commission, including the detailed factors discussed under the heading “Risk Factors” in the Company’s Annual Report on Form 10-K for the fiscal year ended December 31, 2016.</w:t>
      </w:r>
    </w:p>
    <w:p>
      <w:pPr>
        <w:pStyle w:val="BodyText"/>
        <w:spacing w:before="1"/>
        <w:rPr>
          <w:sz w:val="16"/>
        </w:rPr>
      </w:pPr>
      <w:r>
        <w:rPr/>
        <w:pict>
          <v:group style="position:absolute;margin-left:397.599487pt;margin-top:11.24805pt;width:127.4pt;height:58.25pt;mso-position-horizontal-relative:page;mso-position-vertical-relative:paragraph;z-index:7696;mso-wrap-distance-left:0;mso-wrap-distance-right:0" coordorigin="7952,225" coordsize="2548,1165">
            <v:shape style="position:absolute;left:7952;top:225;width:2548;height:1165" type="#_x0000_t75" stroked="false">
              <v:imagedata r:id="rId35" o:title=""/>
            </v:shape>
            <v:shape style="position:absolute;left:8199;top:971;width:556;height:171" type="#_x0000_t75" stroked="false">
              <v:imagedata r:id="rId36" o:title=""/>
            </v:shape>
            <v:shape style="position:absolute;left:8680;top:326;width:84;height:83" coordorigin="8680,326" coordsize="84,83" path="m8733,326l8711,326,8701,330,8693,338,8684,347,8680,356,8680,379,8684,389,8695,399,8701,405,8711,409,8733,409,8743,405,8746,402,8712,402,8704,399,8691,385,8687,377,8687,358,8691,350,8704,336,8712,333,8746,333,8743,330,8733,326xm8746,333l8731,333,8740,337,8753,350,8757,358,8757,377,8753,385,8740,399,8731,402,8746,402,8759,389,8764,379,8764,356,8760,347,8759,346,8746,333xm8724,346l8704,346,8704,391,8711,391,8711,372,8728,372,8728,371,8726,371,8726,371,8730,370,8733,369,8736,366,8711,366,8711,352,8737,352,8734,349,8732,348,8730,347,8727,346,8724,346xm8728,372l8718,372,8720,372,8722,374,8723,375,8727,381,8733,391,8741,391,8732,375,8728,372xm8737,352l8724,352,8727,353,8730,355,8730,356,8730,361,8730,363,8728,364,8727,365,8724,366,8736,366,8737,364,8738,361,8738,356,8738,353,8737,352xe" filled="true" fillcolor="#231f20" stroked="false">
              <v:path arrowok="t"/>
              <v:fill type="solid"/>
            </v:shape>
            <v:shape style="position:absolute;left:8711;top:352;width:20;height:14" coordorigin="8711,352" coordsize="20,14" path="m8711,366l8720,366,8724,366,8727,365,8728,364,8730,363,8731,361,8731,359,8731,357,8730,355,8728,354,8727,353,8724,352,8719,352,8711,352,8711,366xe" filled="false" stroked="true" strokeweight=".22pt" strokecolor="#231f20">
              <v:path arrowok="t"/>
              <v:stroke dashstyle="solid"/>
            </v:shape>
            <v:shape style="position:absolute;left:8704;top:346;width:38;height:45" coordorigin="8704,346" coordsize="38,45" path="m8741,391l8733,391,8727,381,8723,375,8722,374,8720,372,8718,372,8715,372,8711,372,8711,391,8704,391,8704,346,8719,346,8724,346,8727,346,8730,347,8732,348,8734,349,8736,351,8738,353,8738,356,8738,358,8738,361,8737,364,8735,366,8733,369,8730,370,8726,371,8728,371,8732,375,8736,382,8741,391xe" filled="false" stroked="true" strokeweight=".22pt" strokecolor="#231f20">
              <v:path arrowok="t"/>
              <v:stroke dashstyle="solid"/>
            </v:shape>
            <v:shape style="position:absolute;left:8687;top:333;width:70;height:70" coordorigin="8687,333" coordsize="70,70" path="m8722,402l8731,402,8740,399,8746,392,8753,385,8757,377,8757,368,8757,358,8753,350,8746,343,8740,337,8731,333,8722,333,8712,333,8704,336,8697,343,8691,350,8687,358,8687,368,8687,377,8691,385,8697,392,8704,399,8712,402,8722,402xe" filled="false" stroked="true" strokeweight=".22pt" strokecolor="#231f20">
              <v:path arrowok="t"/>
              <v:stroke dashstyle="solid"/>
            </v:shape>
            <v:shape style="position:absolute;left:8680;top:326;width:84;height:83" coordorigin="8680,326" coordsize="84,83" path="m8722,326l8733,326,8743,330,8751,338,8759,346,8764,356,8764,368,8764,379,8759,389,8751,397,8743,405,8733,409,8722,409,8711,409,8701,405,8693,397,8684,389,8680,379,8680,368,8680,356,8684,347,8693,338,8701,330,8711,326,8722,326xe" filled="false" stroked="true" strokeweight=".22pt" strokecolor="#231f20">
              <v:path arrowok="t"/>
              <v:stroke dashstyle="solid"/>
            </v:shape>
            <v:shape style="position:absolute;left:9510;top:447;width:139;height:146" type="#_x0000_t75" stroked="false">
              <v:imagedata r:id="rId37" o:title=""/>
            </v:shape>
            <v:shape style="position:absolute;left:9682;top:434;width:179;height:171" type="#_x0000_t75" stroked="false">
              <v:imagedata r:id="rId38" o:title=""/>
            </v:shape>
            <v:shape style="position:absolute;left:9302;top:714;width:406;height:138" type="#_x0000_t75" stroked="false">
              <v:imagedata r:id="rId39" o:title=""/>
            </v:shape>
            <v:shape style="position:absolute;left:9754;top:712;width:303;height:113" type="#_x0000_t75" stroked="false">
              <v:imagedata r:id="rId40" o:title=""/>
            </v:shape>
            <v:shape style="position:absolute;left:8988;top:859;width:1384;height:147" type="#_x0000_t75" stroked="false">
              <v:imagedata r:id="rId41" o:title=""/>
            </v:shape>
            <v:shape style="position:absolute;left:9007;top:1123;width:464;height:150" type="#_x0000_t75" stroked="false">
              <v:imagedata r:id="rId42" o:title=""/>
            </v:shape>
            <v:shape style="position:absolute;left:9537;top:1123;width:220;height:152" type="#_x0000_t75" stroked="false">
              <v:imagedata r:id="rId43" o:title=""/>
            </v:shape>
            <v:shape style="position:absolute;left:9800;top:1125;width:215;height:150" type="#_x0000_t75" stroked="false">
              <v:imagedata r:id="rId44" o:title=""/>
            </v:shape>
            <v:shape style="position:absolute;left:10047;top:1125;width:60;height:148" coordorigin="10047,1125" coordsize="60,148" path="m10106,1168l10081,1168,10081,1272,10106,1272,10106,1168xm10106,1125l10089,1125,10088,1127,10081,1136,10073,1145,10062,1153,10049,1160,10047,1161,10047,1186,10063,1179,10073,1174,10081,1168,10106,1168,10106,1125xe" filled="true" fillcolor="#231f20" stroked="false">
              <v:path arrowok="t"/>
              <v:fill type="solid"/>
            </v:shape>
            <v:shape style="position:absolute;left:10150;top:1125;width:215;height:150" type="#_x0000_t75" stroked="false">
              <v:imagedata r:id="rId45" o:title=""/>
            </v:shape>
            <w10:wrap type="topAndBottom"/>
          </v:group>
        </w:pict>
      </w:r>
    </w:p>
    <w:sectPr>
      <w:type w:val="continuous"/>
      <w:pgSz w:w="11880" w:h="15480"/>
      <w:pgMar w:top="1260" w:bottom="280" w:left="12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39251">
    <w:altName w:val="39251"/>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pt;margin-top:701.009888pt;width:14pt;height:13.2pt;mso-position-horizontal-relative:page;mso-position-vertical-relative:page;z-index:-378064"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78040" type="#_x0000_t202" filled="false" stroked="false">
          <v:textbox inset="0,0,0,0">
            <w:txbxContent>
              <w:p>
                <w:pPr>
                  <w:spacing w:before="13"/>
                  <w:ind w:left="20" w:right="0" w:firstLine="0"/>
                  <w:jc w:val="left"/>
                  <w:rPr>
                    <w:sz w:val="20"/>
                  </w:rPr>
                </w:pPr>
                <w:r>
                  <w:rPr>
                    <w:color w:val="231F20"/>
                    <w:sz w:val="20"/>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09888pt;width:19pt;height:13.2pt;mso-position-horizontal-relative:page;mso-position-vertical-relative:page;z-index:-378016"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pt;margin-top:675.861084pt;width:237pt;height:14.3pt;mso-position-horizontal-relative:page;mso-position-vertical-relative:page;z-index:-377992" type="#_x0000_t202" filled="false" stroked="false">
          <v:textbox inset="0,0,0,0">
            <w:txbxContent>
              <w:p>
                <w:pPr>
                  <w:pStyle w:val="BodyText"/>
                  <w:spacing w:before="12"/>
                  <w:ind w:left="20"/>
                </w:pPr>
                <w:r>
                  <w:rPr>
                    <w:color w:val="231F20"/>
                  </w:rPr>
                  <w:t>Shareholders and is incorporated herein by reference.</w:t>
                </w:r>
              </w:p>
            </w:txbxContent>
          </v:textbox>
          <w10:wrap type="none"/>
        </v:shape>
      </w:pict>
    </w:r>
    <w:r>
      <w:rPr/>
      <w:pict>
        <v:shape style="position:absolute;margin-left:288.5pt;margin-top:701.01001pt;width:17pt;height:13.2pt;mso-position-horizontal-relative:page;mso-position-vertical-relative:page;z-index:-377968" type="#_x0000_t202" filled="false" stroked="false">
          <v:textbox inset="0,0,0,0">
            <w:txbxContent>
              <w:p>
                <w:pPr>
                  <w:spacing w:before="13"/>
                  <w:ind w:left="20" w:right="0" w:firstLine="0"/>
                  <w:jc w:val="left"/>
                  <w:rPr>
                    <w:sz w:val="20"/>
                  </w:rPr>
                </w:pPr>
                <w:r>
                  <w:rPr>
                    <w:color w:val="231F20"/>
                    <w:sz w:val="20"/>
                  </w:rPr>
                  <w:t>127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5pt;margin-top:701.01001pt;width:17pt;height:13.2pt;mso-position-horizontal-relative:page;mso-position-vertical-relative:page;z-index:-377944" type="#_x0000_t202" filled="false" stroked="false">
          <v:textbox inset="0,0,0,0">
            <w:txbxContent>
              <w:p>
                <w:pPr>
                  <w:spacing w:before="13"/>
                  <w:ind w:left="20" w:right="0" w:firstLine="0"/>
                  <w:jc w:val="left"/>
                  <w:rPr>
                    <w:sz w:val="20"/>
                  </w:rPr>
                </w:pPr>
                <w:r>
                  <w:rPr>
                    <w:color w:val="231F20"/>
                    <w:sz w:val="20"/>
                  </w:rPr>
                  <w:t>128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5pt;margin-top:701.01001pt;width:19pt;height:13.2pt;mso-position-horizontal-relative:page;mso-position-vertical-relative:page;z-index:-377920" type="#_x0000_t202" filled="false" stroked="false">
          <v:textbox inset="0,0,0,0">
            <w:txbxContent>
              <w:p>
                <w:pPr>
                  <w:spacing w:before="13"/>
                  <w:ind w:left="40" w:right="0" w:firstLine="0"/>
                  <w:jc w:val="left"/>
                  <w:rPr>
                    <w:sz w:val="20"/>
                  </w:rPr>
                </w:pPr>
                <w:r>
                  <w:rPr/>
                  <w:fldChar w:fldCharType="begin"/>
                </w:r>
                <w:r>
                  <w:rPr>
                    <w:color w:val="231F20"/>
                    <w:sz w:val="20"/>
                  </w:rPr>
                  <w:instrText> PAGE </w:instrText>
                </w:r>
                <w:r>
                  <w:rPr/>
                  <w:fldChar w:fldCharType="separate"/>
                </w:r>
                <w:r>
                  <w:rPr/>
                  <w:t>130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3"/>
      <w:numFmt w:val="lowerRoman"/>
      <w:lvlText w:val="(%1)"/>
      <w:lvlJc w:val="left"/>
      <w:pPr>
        <w:ind w:left="120" w:hanging="315"/>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042" w:hanging="315"/>
      </w:pPr>
      <w:rPr>
        <w:rFonts w:hint="default"/>
      </w:rPr>
    </w:lvl>
    <w:lvl w:ilvl="2">
      <w:start w:val="0"/>
      <w:numFmt w:val="bullet"/>
      <w:lvlText w:val="•"/>
      <w:lvlJc w:val="left"/>
      <w:pPr>
        <w:ind w:left="1964" w:hanging="315"/>
      </w:pPr>
      <w:rPr>
        <w:rFonts w:hint="default"/>
      </w:rPr>
    </w:lvl>
    <w:lvl w:ilvl="3">
      <w:start w:val="0"/>
      <w:numFmt w:val="bullet"/>
      <w:lvlText w:val="•"/>
      <w:lvlJc w:val="left"/>
      <w:pPr>
        <w:ind w:left="2886" w:hanging="315"/>
      </w:pPr>
      <w:rPr>
        <w:rFonts w:hint="default"/>
      </w:rPr>
    </w:lvl>
    <w:lvl w:ilvl="4">
      <w:start w:val="0"/>
      <w:numFmt w:val="bullet"/>
      <w:lvlText w:val="•"/>
      <w:lvlJc w:val="left"/>
      <w:pPr>
        <w:ind w:left="3808" w:hanging="315"/>
      </w:pPr>
      <w:rPr>
        <w:rFonts w:hint="default"/>
      </w:rPr>
    </w:lvl>
    <w:lvl w:ilvl="5">
      <w:start w:val="0"/>
      <w:numFmt w:val="bullet"/>
      <w:lvlText w:val="•"/>
      <w:lvlJc w:val="left"/>
      <w:pPr>
        <w:ind w:left="4730" w:hanging="315"/>
      </w:pPr>
      <w:rPr>
        <w:rFonts w:hint="default"/>
      </w:rPr>
    </w:lvl>
    <w:lvl w:ilvl="6">
      <w:start w:val="0"/>
      <w:numFmt w:val="bullet"/>
      <w:lvlText w:val="•"/>
      <w:lvlJc w:val="left"/>
      <w:pPr>
        <w:ind w:left="5652" w:hanging="315"/>
      </w:pPr>
      <w:rPr>
        <w:rFonts w:hint="default"/>
      </w:rPr>
    </w:lvl>
    <w:lvl w:ilvl="7">
      <w:start w:val="0"/>
      <w:numFmt w:val="bullet"/>
      <w:lvlText w:val="•"/>
      <w:lvlJc w:val="left"/>
      <w:pPr>
        <w:ind w:left="6574" w:hanging="315"/>
      </w:pPr>
      <w:rPr>
        <w:rFonts w:hint="default"/>
      </w:rPr>
    </w:lvl>
    <w:lvl w:ilvl="8">
      <w:start w:val="0"/>
      <w:numFmt w:val="bullet"/>
      <w:lvlText w:val="•"/>
      <w:lvlJc w:val="left"/>
      <w:pPr>
        <w:ind w:left="7496" w:hanging="315"/>
      </w:pPr>
      <w:rPr>
        <w:rFonts w:hint="default"/>
      </w:rPr>
    </w:lvl>
  </w:abstractNum>
  <w:abstractNum w:abstractNumId="28">
    <w:multiLevelType w:val="hybridMultilevel"/>
    <w:lvl w:ilvl="0">
      <w:start w:val="101"/>
      <w:numFmt w:val="decimal"/>
      <w:lvlText w:val="%1."/>
      <w:lvlJc w:val="left"/>
      <w:pPr>
        <w:ind w:left="451" w:hanging="351"/>
        <w:jc w:val="left"/>
      </w:pPr>
      <w:rPr>
        <w:rFonts w:hint="default" w:ascii="Times New Roman" w:hAnsi="Times New Roman" w:eastAsia="Times New Roman" w:cs="Times New Roman"/>
        <w:color w:val="231F20"/>
        <w:spacing w:val="-2"/>
        <w:w w:val="100"/>
        <w:sz w:val="20"/>
        <w:szCs w:val="20"/>
      </w:rPr>
    </w:lvl>
    <w:lvl w:ilvl="1">
      <w:start w:val="1"/>
      <w:numFmt w:val="decimal"/>
      <w:lvlText w:val="(%2)"/>
      <w:lvlJc w:val="left"/>
      <w:pPr>
        <w:ind w:left="90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520" w:hanging="400"/>
      </w:pPr>
      <w:rPr>
        <w:rFonts w:hint="default"/>
      </w:rPr>
    </w:lvl>
    <w:lvl w:ilvl="3">
      <w:start w:val="0"/>
      <w:numFmt w:val="bullet"/>
      <w:lvlText w:val="•"/>
      <w:lvlJc w:val="left"/>
      <w:pPr>
        <w:ind w:left="1852" w:hanging="400"/>
      </w:pPr>
      <w:rPr>
        <w:rFonts w:hint="default"/>
      </w:rPr>
    </w:lvl>
    <w:lvl w:ilvl="4">
      <w:start w:val="0"/>
      <w:numFmt w:val="bullet"/>
      <w:lvlText w:val="•"/>
      <w:lvlJc w:val="left"/>
      <w:pPr>
        <w:ind w:left="2185" w:hanging="400"/>
      </w:pPr>
      <w:rPr>
        <w:rFonts w:hint="default"/>
      </w:rPr>
    </w:lvl>
    <w:lvl w:ilvl="5">
      <w:start w:val="0"/>
      <w:numFmt w:val="bullet"/>
      <w:lvlText w:val="•"/>
      <w:lvlJc w:val="left"/>
      <w:pPr>
        <w:ind w:left="2517" w:hanging="400"/>
      </w:pPr>
      <w:rPr>
        <w:rFonts w:hint="default"/>
      </w:rPr>
    </w:lvl>
    <w:lvl w:ilvl="6">
      <w:start w:val="0"/>
      <w:numFmt w:val="bullet"/>
      <w:lvlText w:val="•"/>
      <w:lvlJc w:val="left"/>
      <w:pPr>
        <w:ind w:left="2850" w:hanging="400"/>
      </w:pPr>
      <w:rPr>
        <w:rFonts w:hint="default"/>
      </w:rPr>
    </w:lvl>
    <w:lvl w:ilvl="7">
      <w:start w:val="0"/>
      <w:numFmt w:val="bullet"/>
      <w:lvlText w:val="•"/>
      <w:lvlJc w:val="left"/>
      <w:pPr>
        <w:ind w:left="3182" w:hanging="400"/>
      </w:pPr>
      <w:rPr>
        <w:rFonts w:hint="default"/>
      </w:rPr>
    </w:lvl>
    <w:lvl w:ilvl="8">
      <w:start w:val="0"/>
      <w:numFmt w:val="bullet"/>
      <w:lvlText w:val="•"/>
      <w:lvlJc w:val="left"/>
      <w:pPr>
        <w:ind w:left="3515" w:hanging="400"/>
      </w:pPr>
      <w:rPr>
        <w:rFonts w:hint="default"/>
      </w:rPr>
    </w:lvl>
  </w:abstractNum>
  <w:abstractNum w:abstractNumId="27">
    <w:multiLevelType w:val="hybridMultilevel"/>
    <w:lvl w:ilvl="0">
      <w:start w:val="31"/>
      <w:numFmt w:val="decimal"/>
      <w:lvlText w:val="%1"/>
      <w:lvlJc w:val="left"/>
      <w:pPr>
        <w:ind w:left="2320" w:hanging="2220"/>
        <w:jc w:val="left"/>
      </w:pPr>
      <w:rPr>
        <w:rFonts w:hint="default"/>
      </w:rPr>
    </w:lvl>
    <w:lvl w:ilvl="1">
      <w:start w:val="1"/>
      <w:numFmt w:val="decimal"/>
      <w:lvlText w:val="%1.%2"/>
      <w:lvlJc w:val="left"/>
      <w:pPr>
        <w:ind w:left="2320" w:hanging="222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3720" w:hanging="2220"/>
      </w:pPr>
      <w:rPr>
        <w:rFonts w:hint="default"/>
      </w:rPr>
    </w:lvl>
    <w:lvl w:ilvl="3">
      <w:start w:val="0"/>
      <w:numFmt w:val="bullet"/>
      <w:lvlText w:val="•"/>
      <w:lvlJc w:val="left"/>
      <w:pPr>
        <w:ind w:left="4420" w:hanging="2220"/>
      </w:pPr>
      <w:rPr>
        <w:rFonts w:hint="default"/>
      </w:rPr>
    </w:lvl>
    <w:lvl w:ilvl="4">
      <w:start w:val="0"/>
      <w:numFmt w:val="bullet"/>
      <w:lvlText w:val="•"/>
      <w:lvlJc w:val="left"/>
      <w:pPr>
        <w:ind w:left="5120" w:hanging="2220"/>
      </w:pPr>
      <w:rPr>
        <w:rFonts w:hint="default"/>
      </w:rPr>
    </w:lvl>
    <w:lvl w:ilvl="5">
      <w:start w:val="0"/>
      <w:numFmt w:val="bullet"/>
      <w:lvlText w:val="•"/>
      <w:lvlJc w:val="left"/>
      <w:pPr>
        <w:ind w:left="5820" w:hanging="2220"/>
      </w:pPr>
      <w:rPr>
        <w:rFonts w:hint="default"/>
      </w:rPr>
    </w:lvl>
    <w:lvl w:ilvl="6">
      <w:start w:val="0"/>
      <w:numFmt w:val="bullet"/>
      <w:lvlText w:val="•"/>
      <w:lvlJc w:val="left"/>
      <w:pPr>
        <w:ind w:left="6520" w:hanging="2220"/>
      </w:pPr>
      <w:rPr>
        <w:rFonts w:hint="default"/>
      </w:rPr>
    </w:lvl>
    <w:lvl w:ilvl="7">
      <w:start w:val="0"/>
      <w:numFmt w:val="bullet"/>
      <w:lvlText w:val="•"/>
      <w:lvlJc w:val="left"/>
      <w:pPr>
        <w:ind w:left="7220" w:hanging="2220"/>
      </w:pPr>
      <w:rPr>
        <w:rFonts w:hint="default"/>
      </w:rPr>
    </w:lvl>
    <w:lvl w:ilvl="8">
      <w:start w:val="0"/>
      <w:numFmt w:val="bullet"/>
      <w:lvlText w:val="•"/>
      <w:lvlJc w:val="left"/>
      <w:pPr>
        <w:ind w:left="7920" w:hanging="2220"/>
      </w:pPr>
      <w:rPr>
        <w:rFonts w:hint="default"/>
      </w:rPr>
    </w:lvl>
  </w:abstractNum>
  <w:abstractNum w:abstractNumId="26">
    <w:multiLevelType w:val="hybridMultilevel"/>
    <w:lvl w:ilvl="0">
      <w:start w:val="10"/>
      <w:numFmt w:val="decimal"/>
      <w:lvlText w:val="%1"/>
      <w:lvlJc w:val="left"/>
      <w:pPr>
        <w:ind w:left="2150" w:hanging="2050"/>
        <w:jc w:val="left"/>
      </w:pPr>
      <w:rPr>
        <w:rFonts w:hint="default"/>
      </w:rPr>
    </w:lvl>
    <w:lvl w:ilvl="1">
      <w:start w:val="1"/>
      <w:numFmt w:val="decimal"/>
      <w:lvlText w:val="%1.%2"/>
      <w:lvlJc w:val="left"/>
      <w:pPr>
        <w:ind w:left="2150" w:hanging="20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2050"/>
      </w:pPr>
      <w:rPr>
        <w:rFonts w:hint="default"/>
      </w:rPr>
    </w:lvl>
    <w:lvl w:ilvl="3">
      <w:start w:val="0"/>
      <w:numFmt w:val="bullet"/>
      <w:lvlText w:val="•"/>
      <w:lvlJc w:val="left"/>
      <w:pPr>
        <w:ind w:left="4314" w:hanging="2050"/>
      </w:pPr>
      <w:rPr>
        <w:rFonts w:hint="default"/>
      </w:rPr>
    </w:lvl>
    <w:lvl w:ilvl="4">
      <w:start w:val="0"/>
      <w:numFmt w:val="bullet"/>
      <w:lvlText w:val="•"/>
      <w:lvlJc w:val="left"/>
      <w:pPr>
        <w:ind w:left="5032" w:hanging="2050"/>
      </w:pPr>
      <w:rPr>
        <w:rFonts w:hint="default"/>
      </w:rPr>
    </w:lvl>
    <w:lvl w:ilvl="5">
      <w:start w:val="0"/>
      <w:numFmt w:val="bullet"/>
      <w:lvlText w:val="•"/>
      <w:lvlJc w:val="left"/>
      <w:pPr>
        <w:ind w:left="5750" w:hanging="2050"/>
      </w:pPr>
      <w:rPr>
        <w:rFonts w:hint="default"/>
      </w:rPr>
    </w:lvl>
    <w:lvl w:ilvl="6">
      <w:start w:val="0"/>
      <w:numFmt w:val="bullet"/>
      <w:lvlText w:val="•"/>
      <w:lvlJc w:val="left"/>
      <w:pPr>
        <w:ind w:left="6468" w:hanging="2050"/>
      </w:pPr>
      <w:rPr>
        <w:rFonts w:hint="default"/>
      </w:rPr>
    </w:lvl>
    <w:lvl w:ilvl="7">
      <w:start w:val="0"/>
      <w:numFmt w:val="bullet"/>
      <w:lvlText w:val="•"/>
      <w:lvlJc w:val="left"/>
      <w:pPr>
        <w:ind w:left="7186" w:hanging="2050"/>
      </w:pPr>
      <w:rPr>
        <w:rFonts w:hint="default"/>
      </w:rPr>
    </w:lvl>
    <w:lvl w:ilvl="8">
      <w:start w:val="0"/>
      <w:numFmt w:val="bullet"/>
      <w:lvlText w:val="•"/>
      <w:lvlJc w:val="left"/>
      <w:pPr>
        <w:ind w:left="7904" w:hanging="2050"/>
      </w:pPr>
      <w:rPr>
        <w:rFonts w:hint="default"/>
      </w:rPr>
    </w:lvl>
  </w:abstractNum>
  <w:abstractNum w:abstractNumId="25">
    <w:multiLevelType w:val="hybridMultilevel"/>
    <w:lvl w:ilvl="0">
      <w:start w:val="4"/>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4">
    <w:multiLevelType w:val="hybridMultilevel"/>
    <w:lvl w:ilvl="0">
      <w:start w:val="3"/>
      <w:numFmt w:val="decimal"/>
      <w:lvlText w:val="%1"/>
      <w:lvlJc w:val="left"/>
      <w:pPr>
        <w:ind w:left="2150" w:hanging="1950"/>
        <w:jc w:val="left"/>
      </w:pPr>
      <w:rPr>
        <w:rFonts w:hint="default"/>
      </w:rPr>
    </w:lvl>
    <w:lvl w:ilvl="1">
      <w:start w:val="1"/>
      <w:numFmt w:val="decimal"/>
      <w:lvlText w:val="%1.%2"/>
      <w:lvlJc w:val="left"/>
      <w:pPr>
        <w:ind w:left="2150" w:hanging="19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3596" w:hanging="1950"/>
      </w:pPr>
      <w:rPr>
        <w:rFonts w:hint="default"/>
      </w:rPr>
    </w:lvl>
    <w:lvl w:ilvl="3">
      <w:start w:val="0"/>
      <w:numFmt w:val="bullet"/>
      <w:lvlText w:val="•"/>
      <w:lvlJc w:val="left"/>
      <w:pPr>
        <w:ind w:left="4314" w:hanging="1950"/>
      </w:pPr>
      <w:rPr>
        <w:rFonts w:hint="default"/>
      </w:rPr>
    </w:lvl>
    <w:lvl w:ilvl="4">
      <w:start w:val="0"/>
      <w:numFmt w:val="bullet"/>
      <w:lvlText w:val="•"/>
      <w:lvlJc w:val="left"/>
      <w:pPr>
        <w:ind w:left="5032" w:hanging="1950"/>
      </w:pPr>
      <w:rPr>
        <w:rFonts w:hint="default"/>
      </w:rPr>
    </w:lvl>
    <w:lvl w:ilvl="5">
      <w:start w:val="0"/>
      <w:numFmt w:val="bullet"/>
      <w:lvlText w:val="•"/>
      <w:lvlJc w:val="left"/>
      <w:pPr>
        <w:ind w:left="5750" w:hanging="1950"/>
      </w:pPr>
      <w:rPr>
        <w:rFonts w:hint="default"/>
      </w:rPr>
    </w:lvl>
    <w:lvl w:ilvl="6">
      <w:start w:val="0"/>
      <w:numFmt w:val="bullet"/>
      <w:lvlText w:val="•"/>
      <w:lvlJc w:val="left"/>
      <w:pPr>
        <w:ind w:left="6468" w:hanging="1950"/>
      </w:pPr>
      <w:rPr>
        <w:rFonts w:hint="default"/>
      </w:rPr>
    </w:lvl>
    <w:lvl w:ilvl="7">
      <w:start w:val="0"/>
      <w:numFmt w:val="bullet"/>
      <w:lvlText w:val="•"/>
      <w:lvlJc w:val="left"/>
      <w:pPr>
        <w:ind w:left="7186" w:hanging="1950"/>
      </w:pPr>
      <w:rPr>
        <w:rFonts w:hint="default"/>
      </w:rPr>
    </w:lvl>
    <w:lvl w:ilvl="8">
      <w:start w:val="0"/>
      <w:numFmt w:val="bullet"/>
      <w:lvlText w:val="•"/>
      <w:lvlJc w:val="left"/>
      <w:pPr>
        <w:ind w:left="7904" w:hanging="1950"/>
      </w:pPr>
      <w:rPr>
        <w:rFonts w:hint="default"/>
      </w:rPr>
    </w:lvl>
  </w:abstractNum>
  <w:abstractNum w:abstractNumId="23">
    <w:multiLevelType w:val="hybridMultilevel"/>
    <w:lvl w:ilvl="0">
      <w:start w:val="2"/>
      <w:numFmt w:val="decimal"/>
      <w:lvlText w:val="%1."/>
      <w:lvlJc w:val="left"/>
      <w:pPr>
        <w:ind w:left="1040" w:hanging="220"/>
        <w:jc w:val="left"/>
      </w:pPr>
      <w:rPr>
        <w:rFonts w:hint="default" w:ascii="Times New Roman" w:hAnsi="Times New Roman" w:eastAsia="Times New Roman" w:cs="Times New Roman"/>
        <w:color w:val="231F20"/>
        <w:spacing w:val="-1"/>
        <w:w w:val="100"/>
        <w:sz w:val="22"/>
        <w:szCs w:val="22"/>
      </w:rPr>
    </w:lvl>
    <w:lvl w:ilvl="1">
      <w:start w:val="0"/>
      <w:numFmt w:val="bullet"/>
      <w:lvlText w:val="•"/>
      <w:lvlJc w:val="left"/>
      <w:pPr>
        <w:ind w:left="1870" w:hanging="220"/>
      </w:pPr>
      <w:rPr>
        <w:rFonts w:hint="default"/>
      </w:rPr>
    </w:lvl>
    <w:lvl w:ilvl="2">
      <w:start w:val="0"/>
      <w:numFmt w:val="bullet"/>
      <w:lvlText w:val="•"/>
      <w:lvlJc w:val="left"/>
      <w:pPr>
        <w:ind w:left="2700" w:hanging="220"/>
      </w:pPr>
      <w:rPr>
        <w:rFonts w:hint="default"/>
      </w:rPr>
    </w:lvl>
    <w:lvl w:ilvl="3">
      <w:start w:val="0"/>
      <w:numFmt w:val="bullet"/>
      <w:lvlText w:val="•"/>
      <w:lvlJc w:val="left"/>
      <w:pPr>
        <w:ind w:left="3530" w:hanging="220"/>
      </w:pPr>
      <w:rPr>
        <w:rFonts w:hint="default"/>
      </w:rPr>
    </w:lvl>
    <w:lvl w:ilvl="4">
      <w:start w:val="0"/>
      <w:numFmt w:val="bullet"/>
      <w:lvlText w:val="•"/>
      <w:lvlJc w:val="left"/>
      <w:pPr>
        <w:ind w:left="4360" w:hanging="220"/>
      </w:pPr>
      <w:rPr>
        <w:rFonts w:hint="default"/>
      </w:rPr>
    </w:lvl>
    <w:lvl w:ilvl="5">
      <w:start w:val="0"/>
      <w:numFmt w:val="bullet"/>
      <w:lvlText w:val="•"/>
      <w:lvlJc w:val="left"/>
      <w:pPr>
        <w:ind w:left="5190" w:hanging="220"/>
      </w:pPr>
      <w:rPr>
        <w:rFonts w:hint="default"/>
      </w:rPr>
    </w:lvl>
    <w:lvl w:ilvl="6">
      <w:start w:val="0"/>
      <w:numFmt w:val="bullet"/>
      <w:lvlText w:val="•"/>
      <w:lvlJc w:val="left"/>
      <w:pPr>
        <w:ind w:left="6020" w:hanging="220"/>
      </w:pPr>
      <w:rPr>
        <w:rFonts w:hint="default"/>
      </w:rPr>
    </w:lvl>
    <w:lvl w:ilvl="7">
      <w:start w:val="0"/>
      <w:numFmt w:val="bullet"/>
      <w:lvlText w:val="•"/>
      <w:lvlJc w:val="left"/>
      <w:pPr>
        <w:ind w:left="6850" w:hanging="220"/>
      </w:pPr>
      <w:rPr>
        <w:rFonts w:hint="default"/>
      </w:rPr>
    </w:lvl>
    <w:lvl w:ilvl="8">
      <w:start w:val="0"/>
      <w:numFmt w:val="bullet"/>
      <w:lvlText w:val="•"/>
      <w:lvlJc w:val="left"/>
      <w:pPr>
        <w:ind w:left="7680" w:hanging="220"/>
      </w:pPr>
      <w:rPr>
        <w:rFonts w:hint="default"/>
      </w:rPr>
    </w:lvl>
  </w:abstractNum>
  <w:abstractNum w:abstractNumId="22">
    <w:multiLevelType w:val="hybridMultilevel"/>
    <w:lvl w:ilvl="0">
      <w:start w:val="1"/>
      <w:numFmt w:val="lowerLetter"/>
      <w:lvlText w:val="(%1)"/>
      <w:lvlJc w:val="left"/>
      <w:pPr>
        <w:ind w:left="120" w:hanging="342"/>
        <w:jc w:val="left"/>
      </w:pPr>
      <w:rPr>
        <w:rFonts w:hint="default" w:ascii="Times New Roman" w:hAnsi="Times New Roman" w:eastAsia="Times New Roman" w:cs="Times New Roman"/>
        <w:color w:val="231F20"/>
        <w:w w:val="100"/>
        <w:sz w:val="20"/>
        <w:szCs w:val="20"/>
      </w:rPr>
    </w:lvl>
    <w:lvl w:ilvl="1">
      <w:start w:val="1"/>
      <w:numFmt w:val="decimal"/>
      <w:lvlText w:val="(%2)"/>
      <w:lvlJc w:val="left"/>
      <w:pPr>
        <w:ind w:left="920" w:hanging="400"/>
        <w:jc w:val="left"/>
      </w:pPr>
      <w:rPr>
        <w:rFonts w:hint="default" w:ascii="Times New Roman" w:hAnsi="Times New Roman" w:eastAsia="Times New Roman" w:cs="Times New Roman"/>
        <w:color w:val="231F20"/>
        <w:spacing w:val="-16"/>
        <w:w w:val="99"/>
        <w:sz w:val="20"/>
        <w:szCs w:val="20"/>
      </w:rPr>
    </w:lvl>
    <w:lvl w:ilvl="2">
      <w:start w:val="1"/>
      <w:numFmt w:val="lowerLetter"/>
      <w:lvlText w:val="(%3)"/>
      <w:lvlJc w:val="left"/>
      <w:pPr>
        <w:ind w:left="1119" w:hanging="299"/>
        <w:jc w:val="left"/>
      </w:pPr>
      <w:rPr>
        <w:rFonts w:hint="default" w:ascii="Times New Roman" w:hAnsi="Times New Roman" w:eastAsia="Times New Roman" w:cs="Times New Roman"/>
        <w:color w:val="231F20"/>
        <w:w w:val="100"/>
        <w:sz w:val="22"/>
        <w:szCs w:val="22"/>
      </w:rPr>
    </w:lvl>
    <w:lvl w:ilvl="3">
      <w:start w:val="0"/>
      <w:numFmt w:val="bullet"/>
      <w:lvlText w:val="•"/>
      <w:lvlJc w:val="left"/>
      <w:pPr>
        <w:ind w:left="2147" w:hanging="299"/>
      </w:pPr>
      <w:rPr>
        <w:rFonts w:hint="default"/>
      </w:rPr>
    </w:lvl>
    <w:lvl w:ilvl="4">
      <w:start w:val="0"/>
      <w:numFmt w:val="bullet"/>
      <w:lvlText w:val="•"/>
      <w:lvlJc w:val="left"/>
      <w:pPr>
        <w:ind w:left="3175" w:hanging="299"/>
      </w:pPr>
      <w:rPr>
        <w:rFonts w:hint="default"/>
      </w:rPr>
    </w:lvl>
    <w:lvl w:ilvl="5">
      <w:start w:val="0"/>
      <w:numFmt w:val="bullet"/>
      <w:lvlText w:val="•"/>
      <w:lvlJc w:val="left"/>
      <w:pPr>
        <w:ind w:left="4202" w:hanging="299"/>
      </w:pPr>
      <w:rPr>
        <w:rFonts w:hint="default"/>
      </w:rPr>
    </w:lvl>
    <w:lvl w:ilvl="6">
      <w:start w:val="0"/>
      <w:numFmt w:val="bullet"/>
      <w:lvlText w:val="•"/>
      <w:lvlJc w:val="left"/>
      <w:pPr>
        <w:ind w:left="5230" w:hanging="299"/>
      </w:pPr>
      <w:rPr>
        <w:rFonts w:hint="default"/>
      </w:rPr>
    </w:lvl>
    <w:lvl w:ilvl="7">
      <w:start w:val="0"/>
      <w:numFmt w:val="bullet"/>
      <w:lvlText w:val="•"/>
      <w:lvlJc w:val="left"/>
      <w:pPr>
        <w:ind w:left="6257" w:hanging="299"/>
      </w:pPr>
      <w:rPr>
        <w:rFonts w:hint="default"/>
      </w:rPr>
    </w:lvl>
    <w:lvl w:ilvl="8">
      <w:start w:val="0"/>
      <w:numFmt w:val="bullet"/>
      <w:lvlText w:val="•"/>
      <w:lvlJc w:val="left"/>
      <w:pPr>
        <w:ind w:left="7285" w:hanging="299"/>
      </w:pPr>
      <w:rPr>
        <w:rFonts w:hint="default"/>
      </w:rPr>
    </w:lvl>
  </w:abstractNum>
  <w:abstractNum w:abstractNumId="21">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20">
    <w:multiLevelType w:val="hybridMultilevel"/>
    <w:lvl w:ilvl="0">
      <w:start w:val="1"/>
      <w:numFmt w:val="lowerLetter"/>
      <w:lvlText w:val="(%1)"/>
      <w:lvlJc w:val="left"/>
      <w:pPr>
        <w:ind w:left="39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296" w:hanging="273"/>
      </w:pPr>
      <w:rPr>
        <w:rFonts w:hint="default"/>
      </w:rPr>
    </w:lvl>
    <w:lvl w:ilvl="2">
      <w:start w:val="0"/>
      <w:numFmt w:val="bullet"/>
      <w:lvlText w:val="•"/>
      <w:lvlJc w:val="left"/>
      <w:pPr>
        <w:ind w:left="2192" w:hanging="273"/>
      </w:pPr>
      <w:rPr>
        <w:rFonts w:hint="default"/>
      </w:rPr>
    </w:lvl>
    <w:lvl w:ilvl="3">
      <w:start w:val="0"/>
      <w:numFmt w:val="bullet"/>
      <w:lvlText w:val="•"/>
      <w:lvlJc w:val="left"/>
      <w:pPr>
        <w:ind w:left="3088" w:hanging="273"/>
      </w:pPr>
      <w:rPr>
        <w:rFonts w:hint="default"/>
      </w:rPr>
    </w:lvl>
    <w:lvl w:ilvl="4">
      <w:start w:val="0"/>
      <w:numFmt w:val="bullet"/>
      <w:lvlText w:val="•"/>
      <w:lvlJc w:val="left"/>
      <w:pPr>
        <w:ind w:left="3984" w:hanging="273"/>
      </w:pPr>
      <w:rPr>
        <w:rFonts w:hint="default"/>
      </w:rPr>
    </w:lvl>
    <w:lvl w:ilvl="5">
      <w:start w:val="0"/>
      <w:numFmt w:val="bullet"/>
      <w:lvlText w:val="•"/>
      <w:lvlJc w:val="left"/>
      <w:pPr>
        <w:ind w:left="4880" w:hanging="273"/>
      </w:pPr>
      <w:rPr>
        <w:rFonts w:hint="default"/>
      </w:rPr>
    </w:lvl>
    <w:lvl w:ilvl="6">
      <w:start w:val="0"/>
      <w:numFmt w:val="bullet"/>
      <w:lvlText w:val="•"/>
      <w:lvlJc w:val="left"/>
      <w:pPr>
        <w:ind w:left="5776" w:hanging="273"/>
      </w:pPr>
      <w:rPr>
        <w:rFonts w:hint="default"/>
      </w:rPr>
    </w:lvl>
    <w:lvl w:ilvl="7">
      <w:start w:val="0"/>
      <w:numFmt w:val="bullet"/>
      <w:lvlText w:val="•"/>
      <w:lvlJc w:val="left"/>
      <w:pPr>
        <w:ind w:left="6672" w:hanging="273"/>
      </w:pPr>
      <w:rPr>
        <w:rFonts w:hint="default"/>
      </w:rPr>
    </w:lvl>
    <w:lvl w:ilvl="8">
      <w:start w:val="0"/>
      <w:numFmt w:val="bullet"/>
      <w:lvlText w:val="•"/>
      <w:lvlJc w:val="left"/>
      <w:pPr>
        <w:ind w:left="7568" w:hanging="273"/>
      </w:pPr>
      <w:rPr>
        <w:rFonts w:hint="default"/>
      </w:rPr>
    </w:lvl>
  </w:abstractNum>
  <w:abstractNum w:abstractNumId="19">
    <w:multiLevelType w:val="hybridMultilevel"/>
    <w:lvl w:ilvl="0">
      <w:start w:val="1"/>
      <w:numFmt w:val="lowerLetter"/>
      <w:lvlText w:val="(%1)"/>
      <w:lvlJc w:val="left"/>
      <w:pPr>
        <w:ind w:left="360" w:hanging="260"/>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260" w:hanging="260"/>
      </w:pPr>
      <w:rPr>
        <w:rFonts w:hint="default"/>
      </w:rPr>
    </w:lvl>
    <w:lvl w:ilvl="2">
      <w:start w:val="0"/>
      <w:numFmt w:val="bullet"/>
      <w:lvlText w:val="•"/>
      <w:lvlJc w:val="left"/>
      <w:pPr>
        <w:ind w:left="2160" w:hanging="260"/>
      </w:pPr>
      <w:rPr>
        <w:rFonts w:hint="default"/>
      </w:rPr>
    </w:lvl>
    <w:lvl w:ilvl="3">
      <w:start w:val="0"/>
      <w:numFmt w:val="bullet"/>
      <w:lvlText w:val="•"/>
      <w:lvlJc w:val="left"/>
      <w:pPr>
        <w:ind w:left="3060" w:hanging="260"/>
      </w:pPr>
      <w:rPr>
        <w:rFonts w:hint="default"/>
      </w:rPr>
    </w:lvl>
    <w:lvl w:ilvl="4">
      <w:start w:val="0"/>
      <w:numFmt w:val="bullet"/>
      <w:lvlText w:val="•"/>
      <w:lvlJc w:val="left"/>
      <w:pPr>
        <w:ind w:left="3960" w:hanging="260"/>
      </w:pPr>
      <w:rPr>
        <w:rFonts w:hint="default"/>
      </w:rPr>
    </w:lvl>
    <w:lvl w:ilvl="5">
      <w:start w:val="0"/>
      <w:numFmt w:val="bullet"/>
      <w:lvlText w:val="•"/>
      <w:lvlJc w:val="left"/>
      <w:pPr>
        <w:ind w:left="4860" w:hanging="260"/>
      </w:pPr>
      <w:rPr>
        <w:rFonts w:hint="default"/>
      </w:rPr>
    </w:lvl>
    <w:lvl w:ilvl="6">
      <w:start w:val="0"/>
      <w:numFmt w:val="bullet"/>
      <w:lvlText w:val="•"/>
      <w:lvlJc w:val="left"/>
      <w:pPr>
        <w:ind w:left="5760" w:hanging="260"/>
      </w:pPr>
      <w:rPr>
        <w:rFonts w:hint="default"/>
      </w:rPr>
    </w:lvl>
    <w:lvl w:ilvl="7">
      <w:start w:val="0"/>
      <w:numFmt w:val="bullet"/>
      <w:lvlText w:val="•"/>
      <w:lvlJc w:val="left"/>
      <w:pPr>
        <w:ind w:left="6660" w:hanging="260"/>
      </w:pPr>
      <w:rPr>
        <w:rFonts w:hint="default"/>
      </w:rPr>
    </w:lvl>
    <w:lvl w:ilvl="8">
      <w:start w:val="0"/>
      <w:numFmt w:val="bullet"/>
      <w:lvlText w:val="•"/>
      <w:lvlJc w:val="left"/>
      <w:pPr>
        <w:ind w:left="7560" w:hanging="260"/>
      </w:pPr>
      <w:rPr>
        <w:rFonts w:hint="default"/>
      </w:rPr>
    </w:lvl>
  </w:abstractNum>
  <w:abstractNum w:abstractNumId="18">
    <w:multiLevelType w:val="hybridMultilevel"/>
    <w:lvl w:ilvl="0">
      <w:start w:val="1"/>
      <w:numFmt w:val="lowerLetter"/>
      <w:lvlText w:val="(%1)"/>
      <w:lvlJc w:val="left"/>
      <w:pPr>
        <w:ind w:left="120"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44" w:hanging="273"/>
      </w:pPr>
      <w:rPr>
        <w:rFonts w:hint="default"/>
      </w:rPr>
    </w:lvl>
    <w:lvl w:ilvl="2">
      <w:start w:val="0"/>
      <w:numFmt w:val="bullet"/>
      <w:lvlText w:val="•"/>
      <w:lvlJc w:val="left"/>
      <w:pPr>
        <w:ind w:left="1968" w:hanging="273"/>
      </w:pPr>
      <w:rPr>
        <w:rFonts w:hint="default"/>
      </w:rPr>
    </w:lvl>
    <w:lvl w:ilvl="3">
      <w:start w:val="0"/>
      <w:numFmt w:val="bullet"/>
      <w:lvlText w:val="•"/>
      <w:lvlJc w:val="left"/>
      <w:pPr>
        <w:ind w:left="2892" w:hanging="273"/>
      </w:pPr>
      <w:rPr>
        <w:rFonts w:hint="default"/>
      </w:rPr>
    </w:lvl>
    <w:lvl w:ilvl="4">
      <w:start w:val="0"/>
      <w:numFmt w:val="bullet"/>
      <w:lvlText w:val="•"/>
      <w:lvlJc w:val="left"/>
      <w:pPr>
        <w:ind w:left="3816" w:hanging="273"/>
      </w:pPr>
      <w:rPr>
        <w:rFonts w:hint="default"/>
      </w:rPr>
    </w:lvl>
    <w:lvl w:ilvl="5">
      <w:start w:val="0"/>
      <w:numFmt w:val="bullet"/>
      <w:lvlText w:val="•"/>
      <w:lvlJc w:val="left"/>
      <w:pPr>
        <w:ind w:left="4740" w:hanging="273"/>
      </w:pPr>
      <w:rPr>
        <w:rFonts w:hint="default"/>
      </w:rPr>
    </w:lvl>
    <w:lvl w:ilvl="6">
      <w:start w:val="0"/>
      <w:numFmt w:val="bullet"/>
      <w:lvlText w:val="•"/>
      <w:lvlJc w:val="left"/>
      <w:pPr>
        <w:ind w:left="5664" w:hanging="273"/>
      </w:pPr>
      <w:rPr>
        <w:rFonts w:hint="default"/>
      </w:rPr>
    </w:lvl>
    <w:lvl w:ilvl="7">
      <w:start w:val="0"/>
      <w:numFmt w:val="bullet"/>
      <w:lvlText w:val="•"/>
      <w:lvlJc w:val="left"/>
      <w:pPr>
        <w:ind w:left="6588" w:hanging="273"/>
      </w:pPr>
      <w:rPr>
        <w:rFonts w:hint="default"/>
      </w:rPr>
    </w:lvl>
    <w:lvl w:ilvl="8">
      <w:start w:val="0"/>
      <w:numFmt w:val="bullet"/>
      <w:lvlText w:val="•"/>
      <w:lvlJc w:val="left"/>
      <w:pPr>
        <w:ind w:left="7512" w:hanging="273"/>
      </w:pPr>
      <w:rPr>
        <w:rFonts w:hint="default"/>
      </w:rPr>
    </w:lvl>
  </w:abstractNum>
  <w:abstractNum w:abstractNumId="17">
    <w:multiLevelType w:val="hybridMultilevel"/>
    <w:lvl w:ilvl="0">
      <w:start w:val="1"/>
      <w:numFmt w:val="lowerLetter"/>
      <w:lvlText w:val="(%1)"/>
      <w:lvlJc w:val="left"/>
      <w:pPr>
        <w:ind w:left="27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816" w:hanging="273"/>
      </w:pPr>
      <w:rPr>
        <w:rFonts w:hint="default"/>
      </w:rPr>
    </w:lvl>
    <w:lvl w:ilvl="2">
      <w:start w:val="0"/>
      <w:numFmt w:val="bullet"/>
      <w:lvlText w:val="•"/>
      <w:lvlJc w:val="left"/>
      <w:pPr>
        <w:ind w:left="1352" w:hanging="273"/>
      </w:pPr>
      <w:rPr>
        <w:rFonts w:hint="default"/>
      </w:rPr>
    </w:lvl>
    <w:lvl w:ilvl="3">
      <w:start w:val="0"/>
      <w:numFmt w:val="bullet"/>
      <w:lvlText w:val="•"/>
      <w:lvlJc w:val="left"/>
      <w:pPr>
        <w:ind w:left="1888" w:hanging="273"/>
      </w:pPr>
      <w:rPr>
        <w:rFonts w:hint="default"/>
      </w:rPr>
    </w:lvl>
    <w:lvl w:ilvl="4">
      <w:start w:val="0"/>
      <w:numFmt w:val="bullet"/>
      <w:lvlText w:val="•"/>
      <w:lvlJc w:val="left"/>
      <w:pPr>
        <w:ind w:left="2424" w:hanging="273"/>
      </w:pPr>
      <w:rPr>
        <w:rFonts w:hint="default"/>
      </w:rPr>
    </w:lvl>
    <w:lvl w:ilvl="5">
      <w:start w:val="0"/>
      <w:numFmt w:val="bullet"/>
      <w:lvlText w:val="•"/>
      <w:lvlJc w:val="left"/>
      <w:pPr>
        <w:ind w:left="2960" w:hanging="273"/>
      </w:pPr>
      <w:rPr>
        <w:rFonts w:hint="default"/>
      </w:rPr>
    </w:lvl>
    <w:lvl w:ilvl="6">
      <w:start w:val="0"/>
      <w:numFmt w:val="bullet"/>
      <w:lvlText w:val="•"/>
      <w:lvlJc w:val="left"/>
      <w:pPr>
        <w:ind w:left="3496" w:hanging="273"/>
      </w:pPr>
      <w:rPr>
        <w:rFonts w:hint="default"/>
      </w:rPr>
    </w:lvl>
    <w:lvl w:ilvl="7">
      <w:start w:val="0"/>
      <w:numFmt w:val="bullet"/>
      <w:lvlText w:val="•"/>
      <w:lvlJc w:val="left"/>
      <w:pPr>
        <w:ind w:left="4032" w:hanging="273"/>
      </w:pPr>
      <w:rPr>
        <w:rFonts w:hint="default"/>
      </w:rPr>
    </w:lvl>
    <w:lvl w:ilvl="8">
      <w:start w:val="0"/>
      <w:numFmt w:val="bullet"/>
      <w:lvlText w:val="•"/>
      <w:lvlJc w:val="left"/>
      <w:pPr>
        <w:ind w:left="4568" w:hanging="273"/>
      </w:pPr>
      <w:rPr>
        <w:rFonts w:hint="default"/>
      </w:rPr>
    </w:lvl>
  </w:abstractNum>
  <w:abstractNum w:abstractNumId="16">
    <w:multiLevelType w:val="hybridMultilevel"/>
    <w:lvl w:ilvl="0">
      <w:start w:val="1"/>
      <w:numFmt w:val="lowerLetter"/>
      <w:lvlText w:val="(%1)"/>
      <w:lvlJc w:val="left"/>
      <w:pPr>
        <w:ind w:left="120" w:hanging="299"/>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46" w:hanging="299"/>
      </w:pPr>
      <w:rPr>
        <w:rFonts w:hint="default"/>
      </w:rPr>
    </w:lvl>
    <w:lvl w:ilvl="2">
      <w:start w:val="0"/>
      <w:numFmt w:val="bullet"/>
      <w:lvlText w:val="•"/>
      <w:lvlJc w:val="left"/>
      <w:pPr>
        <w:ind w:left="1972" w:hanging="299"/>
      </w:pPr>
      <w:rPr>
        <w:rFonts w:hint="default"/>
      </w:rPr>
    </w:lvl>
    <w:lvl w:ilvl="3">
      <w:start w:val="0"/>
      <w:numFmt w:val="bullet"/>
      <w:lvlText w:val="•"/>
      <w:lvlJc w:val="left"/>
      <w:pPr>
        <w:ind w:left="2898" w:hanging="299"/>
      </w:pPr>
      <w:rPr>
        <w:rFonts w:hint="default"/>
      </w:rPr>
    </w:lvl>
    <w:lvl w:ilvl="4">
      <w:start w:val="0"/>
      <w:numFmt w:val="bullet"/>
      <w:lvlText w:val="•"/>
      <w:lvlJc w:val="left"/>
      <w:pPr>
        <w:ind w:left="3824" w:hanging="299"/>
      </w:pPr>
      <w:rPr>
        <w:rFonts w:hint="default"/>
      </w:rPr>
    </w:lvl>
    <w:lvl w:ilvl="5">
      <w:start w:val="0"/>
      <w:numFmt w:val="bullet"/>
      <w:lvlText w:val="•"/>
      <w:lvlJc w:val="left"/>
      <w:pPr>
        <w:ind w:left="4750" w:hanging="299"/>
      </w:pPr>
      <w:rPr>
        <w:rFonts w:hint="default"/>
      </w:rPr>
    </w:lvl>
    <w:lvl w:ilvl="6">
      <w:start w:val="0"/>
      <w:numFmt w:val="bullet"/>
      <w:lvlText w:val="•"/>
      <w:lvlJc w:val="left"/>
      <w:pPr>
        <w:ind w:left="5676" w:hanging="299"/>
      </w:pPr>
      <w:rPr>
        <w:rFonts w:hint="default"/>
      </w:rPr>
    </w:lvl>
    <w:lvl w:ilvl="7">
      <w:start w:val="0"/>
      <w:numFmt w:val="bullet"/>
      <w:lvlText w:val="•"/>
      <w:lvlJc w:val="left"/>
      <w:pPr>
        <w:ind w:left="6602" w:hanging="299"/>
      </w:pPr>
      <w:rPr>
        <w:rFonts w:hint="default"/>
      </w:rPr>
    </w:lvl>
    <w:lvl w:ilvl="8">
      <w:start w:val="0"/>
      <w:numFmt w:val="bullet"/>
      <w:lvlText w:val="•"/>
      <w:lvlJc w:val="left"/>
      <w:pPr>
        <w:ind w:left="7528" w:hanging="299"/>
      </w:pPr>
      <w:rPr>
        <w:rFonts w:hint="default"/>
      </w:rPr>
    </w:lvl>
  </w:abstractNum>
  <w:abstractNum w:abstractNumId="15">
    <w:multiLevelType w:val="hybridMultilevel"/>
    <w:lvl w:ilvl="0">
      <w:start w:val="7"/>
      <w:numFmt w:val="decimal"/>
      <w:lvlText w:val="%1."/>
      <w:lvlJc w:val="left"/>
      <w:pPr>
        <w:ind w:left="340" w:hanging="220"/>
        <w:jc w:val="left"/>
      </w:pPr>
      <w:rPr>
        <w:rFonts w:hint="default" w:ascii="Times New Roman" w:hAnsi="Times New Roman" w:eastAsia="Times New Roman" w:cs="Times New Roman"/>
        <w:b/>
        <w:bCs/>
        <w:color w:val="231F20"/>
        <w:w w:val="99"/>
        <w:sz w:val="22"/>
        <w:szCs w:val="22"/>
      </w:rPr>
    </w:lvl>
    <w:lvl w:ilvl="1">
      <w:start w:val="1"/>
      <w:numFmt w:val="decimal"/>
      <w:lvlText w:val="(%2)"/>
      <w:lvlJc w:val="left"/>
      <w:pPr>
        <w:ind w:left="920" w:hanging="40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1857" w:hanging="400"/>
      </w:pPr>
      <w:rPr>
        <w:rFonts w:hint="default"/>
      </w:rPr>
    </w:lvl>
    <w:lvl w:ilvl="3">
      <w:start w:val="0"/>
      <w:numFmt w:val="bullet"/>
      <w:lvlText w:val="•"/>
      <w:lvlJc w:val="left"/>
      <w:pPr>
        <w:ind w:left="2795" w:hanging="400"/>
      </w:pPr>
      <w:rPr>
        <w:rFonts w:hint="default"/>
      </w:rPr>
    </w:lvl>
    <w:lvl w:ilvl="4">
      <w:start w:val="0"/>
      <w:numFmt w:val="bullet"/>
      <w:lvlText w:val="•"/>
      <w:lvlJc w:val="left"/>
      <w:pPr>
        <w:ind w:left="3733" w:hanging="400"/>
      </w:pPr>
      <w:rPr>
        <w:rFonts w:hint="default"/>
      </w:rPr>
    </w:lvl>
    <w:lvl w:ilvl="5">
      <w:start w:val="0"/>
      <w:numFmt w:val="bullet"/>
      <w:lvlText w:val="•"/>
      <w:lvlJc w:val="left"/>
      <w:pPr>
        <w:ind w:left="4671" w:hanging="400"/>
      </w:pPr>
      <w:rPr>
        <w:rFonts w:hint="default"/>
      </w:rPr>
    </w:lvl>
    <w:lvl w:ilvl="6">
      <w:start w:val="0"/>
      <w:numFmt w:val="bullet"/>
      <w:lvlText w:val="•"/>
      <w:lvlJc w:val="left"/>
      <w:pPr>
        <w:ind w:left="5608" w:hanging="400"/>
      </w:pPr>
      <w:rPr>
        <w:rFonts w:hint="default"/>
      </w:rPr>
    </w:lvl>
    <w:lvl w:ilvl="7">
      <w:start w:val="0"/>
      <w:numFmt w:val="bullet"/>
      <w:lvlText w:val="•"/>
      <w:lvlJc w:val="left"/>
      <w:pPr>
        <w:ind w:left="6546" w:hanging="400"/>
      </w:pPr>
      <w:rPr>
        <w:rFonts w:hint="default"/>
      </w:rPr>
    </w:lvl>
    <w:lvl w:ilvl="8">
      <w:start w:val="0"/>
      <w:numFmt w:val="bullet"/>
      <w:lvlText w:val="•"/>
      <w:lvlJc w:val="left"/>
      <w:pPr>
        <w:ind w:left="7484" w:hanging="400"/>
      </w:pPr>
      <w:rPr>
        <w:rFonts w:hint="default"/>
      </w:rPr>
    </w:lvl>
  </w:abstractNum>
  <w:abstractNum w:abstractNumId="14">
    <w:multiLevelType w:val="hybridMultilevel"/>
    <w:lvl w:ilvl="0">
      <w:start w:val="1"/>
      <w:numFmt w:val="lowerLetter"/>
      <w:lvlText w:val="(%1)"/>
      <w:lvlJc w:val="left"/>
      <w:pPr>
        <w:ind w:left="399" w:hanging="299"/>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294" w:hanging="299"/>
      </w:pPr>
      <w:rPr>
        <w:rFonts w:hint="default"/>
      </w:rPr>
    </w:lvl>
    <w:lvl w:ilvl="2">
      <w:start w:val="0"/>
      <w:numFmt w:val="bullet"/>
      <w:lvlText w:val="•"/>
      <w:lvlJc w:val="left"/>
      <w:pPr>
        <w:ind w:left="2188" w:hanging="299"/>
      </w:pPr>
      <w:rPr>
        <w:rFonts w:hint="default"/>
      </w:rPr>
    </w:lvl>
    <w:lvl w:ilvl="3">
      <w:start w:val="0"/>
      <w:numFmt w:val="bullet"/>
      <w:lvlText w:val="•"/>
      <w:lvlJc w:val="left"/>
      <w:pPr>
        <w:ind w:left="3082" w:hanging="299"/>
      </w:pPr>
      <w:rPr>
        <w:rFonts w:hint="default"/>
      </w:rPr>
    </w:lvl>
    <w:lvl w:ilvl="4">
      <w:start w:val="0"/>
      <w:numFmt w:val="bullet"/>
      <w:lvlText w:val="•"/>
      <w:lvlJc w:val="left"/>
      <w:pPr>
        <w:ind w:left="3976" w:hanging="299"/>
      </w:pPr>
      <w:rPr>
        <w:rFonts w:hint="default"/>
      </w:rPr>
    </w:lvl>
    <w:lvl w:ilvl="5">
      <w:start w:val="0"/>
      <w:numFmt w:val="bullet"/>
      <w:lvlText w:val="•"/>
      <w:lvlJc w:val="left"/>
      <w:pPr>
        <w:ind w:left="4870" w:hanging="299"/>
      </w:pPr>
      <w:rPr>
        <w:rFonts w:hint="default"/>
      </w:rPr>
    </w:lvl>
    <w:lvl w:ilvl="6">
      <w:start w:val="0"/>
      <w:numFmt w:val="bullet"/>
      <w:lvlText w:val="•"/>
      <w:lvlJc w:val="left"/>
      <w:pPr>
        <w:ind w:left="5764" w:hanging="299"/>
      </w:pPr>
      <w:rPr>
        <w:rFonts w:hint="default"/>
      </w:rPr>
    </w:lvl>
    <w:lvl w:ilvl="7">
      <w:start w:val="0"/>
      <w:numFmt w:val="bullet"/>
      <w:lvlText w:val="•"/>
      <w:lvlJc w:val="left"/>
      <w:pPr>
        <w:ind w:left="6658" w:hanging="299"/>
      </w:pPr>
      <w:rPr>
        <w:rFonts w:hint="default"/>
      </w:rPr>
    </w:lvl>
    <w:lvl w:ilvl="8">
      <w:start w:val="0"/>
      <w:numFmt w:val="bullet"/>
      <w:lvlText w:val="•"/>
      <w:lvlJc w:val="left"/>
      <w:pPr>
        <w:ind w:left="7552" w:hanging="299"/>
      </w:pPr>
      <w:rPr>
        <w:rFonts w:hint="default"/>
      </w:rPr>
    </w:lvl>
  </w:abstractNum>
  <w:abstractNum w:abstractNumId="13">
    <w:multiLevelType w:val="hybridMultilevel"/>
    <w:lvl w:ilvl="0">
      <w:start w:val="1"/>
      <w:numFmt w:val="lowerLetter"/>
      <w:lvlText w:val="(%1)"/>
      <w:lvlJc w:val="left"/>
      <w:pPr>
        <w:ind w:left="100" w:hanging="353"/>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24" w:hanging="353"/>
      </w:pPr>
      <w:rPr>
        <w:rFonts w:hint="default"/>
      </w:rPr>
    </w:lvl>
    <w:lvl w:ilvl="2">
      <w:start w:val="0"/>
      <w:numFmt w:val="bullet"/>
      <w:lvlText w:val="•"/>
      <w:lvlJc w:val="left"/>
      <w:pPr>
        <w:ind w:left="1948" w:hanging="353"/>
      </w:pPr>
      <w:rPr>
        <w:rFonts w:hint="default"/>
      </w:rPr>
    </w:lvl>
    <w:lvl w:ilvl="3">
      <w:start w:val="0"/>
      <w:numFmt w:val="bullet"/>
      <w:lvlText w:val="•"/>
      <w:lvlJc w:val="left"/>
      <w:pPr>
        <w:ind w:left="2872" w:hanging="353"/>
      </w:pPr>
      <w:rPr>
        <w:rFonts w:hint="default"/>
      </w:rPr>
    </w:lvl>
    <w:lvl w:ilvl="4">
      <w:start w:val="0"/>
      <w:numFmt w:val="bullet"/>
      <w:lvlText w:val="•"/>
      <w:lvlJc w:val="left"/>
      <w:pPr>
        <w:ind w:left="3796" w:hanging="353"/>
      </w:pPr>
      <w:rPr>
        <w:rFonts w:hint="default"/>
      </w:rPr>
    </w:lvl>
    <w:lvl w:ilvl="5">
      <w:start w:val="0"/>
      <w:numFmt w:val="bullet"/>
      <w:lvlText w:val="•"/>
      <w:lvlJc w:val="left"/>
      <w:pPr>
        <w:ind w:left="4720" w:hanging="353"/>
      </w:pPr>
      <w:rPr>
        <w:rFonts w:hint="default"/>
      </w:rPr>
    </w:lvl>
    <w:lvl w:ilvl="6">
      <w:start w:val="0"/>
      <w:numFmt w:val="bullet"/>
      <w:lvlText w:val="•"/>
      <w:lvlJc w:val="left"/>
      <w:pPr>
        <w:ind w:left="5644" w:hanging="353"/>
      </w:pPr>
      <w:rPr>
        <w:rFonts w:hint="default"/>
      </w:rPr>
    </w:lvl>
    <w:lvl w:ilvl="7">
      <w:start w:val="0"/>
      <w:numFmt w:val="bullet"/>
      <w:lvlText w:val="•"/>
      <w:lvlJc w:val="left"/>
      <w:pPr>
        <w:ind w:left="6568" w:hanging="353"/>
      </w:pPr>
      <w:rPr>
        <w:rFonts w:hint="default"/>
      </w:rPr>
    </w:lvl>
    <w:lvl w:ilvl="8">
      <w:start w:val="0"/>
      <w:numFmt w:val="bullet"/>
      <w:lvlText w:val="•"/>
      <w:lvlJc w:val="left"/>
      <w:pPr>
        <w:ind w:left="7492" w:hanging="353"/>
      </w:pPr>
      <w:rPr>
        <w:rFonts w:hint="default"/>
      </w:rPr>
    </w:lvl>
  </w:abstractNum>
  <w:abstractNum w:abstractNumId="12">
    <w:multiLevelType w:val="hybridMultilevel"/>
    <w:lvl w:ilvl="0">
      <w:start w:val="1"/>
      <w:numFmt w:val="decimal"/>
      <w:lvlText w:val="%1."/>
      <w:lvlJc w:val="left"/>
      <w:pPr>
        <w:ind w:left="340" w:hanging="220"/>
        <w:jc w:val="left"/>
      </w:pPr>
      <w:rPr>
        <w:rFonts w:hint="default" w:ascii="Times New Roman" w:hAnsi="Times New Roman" w:eastAsia="Times New Roman" w:cs="Times New Roman"/>
        <w:b/>
        <w:bCs/>
        <w:color w:val="231F20"/>
        <w:spacing w:val="-1"/>
        <w:w w:val="99"/>
        <w:sz w:val="22"/>
        <w:szCs w:val="22"/>
      </w:rPr>
    </w:lvl>
    <w:lvl w:ilvl="1">
      <w:start w:val="0"/>
      <w:numFmt w:val="bullet"/>
      <w:lvlText w:val="•"/>
      <w:lvlJc w:val="left"/>
      <w:pPr>
        <w:ind w:left="1242" w:hanging="220"/>
      </w:pPr>
      <w:rPr>
        <w:rFonts w:hint="default"/>
      </w:rPr>
    </w:lvl>
    <w:lvl w:ilvl="2">
      <w:start w:val="0"/>
      <w:numFmt w:val="bullet"/>
      <w:lvlText w:val="•"/>
      <w:lvlJc w:val="left"/>
      <w:pPr>
        <w:ind w:left="2144" w:hanging="220"/>
      </w:pPr>
      <w:rPr>
        <w:rFonts w:hint="default"/>
      </w:rPr>
    </w:lvl>
    <w:lvl w:ilvl="3">
      <w:start w:val="0"/>
      <w:numFmt w:val="bullet"/>
      <w:lvlText w:val="•"/>
      <w:lvlJc w:val="left"/>
      <w:pPr>
        <w:ind w:left="3046" w:hanging="220"/>
      </w:pPr>
      <w:rPr>
        <w:rFonts w:hint="default"/>
      </w:rPr>
    </w:lvl>
    <w:lvl w:ilvl="4">
      <w:start w:val="0"/>
      <w:numFmt w:val="bullet"/>
      <w:lvlText w:val="•"/>
      <w:lvlJc w:val="left"/>
      <w:pPr>
        <w:ind w:left="3948" w:hanging="220"/>
      </w:pPr>
      <w:rPr>
        <w:rFonts w:hint="default"/>
      </w:rPr>
    </w:lvl>
    <w:lvl w:ilvl="5">
      <w:start w:val="0"/>
      <w:numFmt w:val="bullet"/>
      <w:lvlText w:val="•"/>
      <w:lvlJc w:val="left"/>
      <w:pPr>
        <w:ind w:left="4850" w:hanging="220"/>
      </w:pPr>
      <w:rPr>
        <w:rFonts w:hint="default"/>
      </w:rPr>
    </w:lvl>
    <w:lvl w:ilvl="6">
      <w:start w:val="0"/>
      <w:numFmt w:val="bullet"/>
      <w:lvlText w:val="•"/>
      <w:lvlJc w:val="left"/>
      <w:pPr>
        <w:ind w:left="5752" w:hanging="220"/>
      </w:pPr>
      <w:rPr>
        <w:rFonts w:hint="default"/>
      </w:rPr>
    </w:lvl>
    <w:lvl w:ilvl="7">
      <w:start w:val="0"/>
      <w:numFmt w:val="bullet"/>
      <w:lvlText w:val="•"/>
      <w:lvlJc w:val="left"/>
      <w:pPr>
        <w:ind w:left="6654" w:hanging="220"/>
      </w:pPr>
      <w:rPr>
        <w:rFonts w:hint="default"/>
      </w:rPr>
    </w:lvl>
    <w:lvl w:ilvl="8">
      <w:start w:val="0"/>
      <w:numFmt w:val="bullet"/>
      <w:lvlText w:val="•"/>
      <w:lvlJc w:val="left"/>
      <w:pPr>
        <w:ind w:left="7556" w:hanging="220"/>
      </w:pPr>
      <w:rPr>
        <w:rFonts w:hint="default"/>
      </w:rPr>
    </w:lvl>
  </w:abstractNum>
  <w:abstractNum w:abstractNumId="11">
    <w:multiLevelType w:val="hybridMultilevel"/>
    <w:lvl w:ilvl="0">
      <w:start w:val="1"/>
      <w:numFmt w:val="decimal"/>
      <w:lvlText w:val="(%1)"/>
      <w:lvlJc w:val="left"/>
      <w:pPr>
        <w:ind w:left="52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10">
    <w:multiLevelType w:val="hybridMultilevel"/>
    <w:lvl w:ilvl="0">
      <w:start w:val="1"/>
      <w:numFmt w:val="decimal"/>
      <w:lvlText w:val="(%1)"/>
      <w:lvlJc w:val="left"/>
      <w:pPr>
        <w:ind w:left="100" w:hanging="284"/>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980" w:hanging="440"/>
        <w:jc w:val="left"/>
      </w:pPr>
      <w:rPr>
        <w:rFonts w:hint="default" w:ascii="Times New Roman" w:hAnsi="Times New Roman" w:eastAsia="Times New Roman" w:cs="Times New Roman"/>
        <w:color w:val="231F20"/>
        <w:spacing w:val="-1"/>
        <w:w w:val="99"/>
        <w:sz w:val="22"/>
        <w:szCs w:val="22"/>
      </w:rPr>
    </w:lvl>
    <w:lvl w:ilvl="2">
      <w:start w:val="0"/>
      <w:numFmt w:val="bullet"/>
      <w:lvlText w:val="•"/>
      <w:lvlJc w:val="left"/>
      <w:pPr>
        <w:ind w:left="1908" w:hanging="440"/>
      </w:pPr>
      <w:rPr>
        <w:rFonts w:hint="default"/>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9">
    <w:multiLevelType w:val="hybridMultilevel"/>
    <w:lvl w:ilvl="0">
      <w:start w:val="1"/>
      <w:numFmt w:val="decimal"/>
      <w:lvlText w:val="(%1)"/>
      <w:lvlJc w:val="left"/>
      <w:pPr>
        <w:ind w:left="100" w:hanging="291"/>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028" w:hanging="291"/>
      </w:pPr>
      <w:rPr>
        <w:rFonts w:hint="default"/>
      </w:rPr>
    </w:lvl>
    <w:lvl w:ilvl="2">
      <w:start w:val="0"/>
      <w:numFmt w:val="bullet"/>
      <w:lvlText w:val="•"/>
      <w:lvlJc w:val="left"/>
      <w:pPr>
        <w:ind w:left="1956" w:hanging="291"/>
      </w:pPr>
      <w:rPr>
        <w:rFonts w:hint="default"/>
      </w:rPr>
    </w:lvl>
    <w:lvl w:ilvl="3">
      <w:start w:val="0"/>
      <w:numFmt w:val="bullet"/>
      <w:lvlText w:val="•"/>
      <w:lvlJc w:val="left"/>
      <w:pPr>
        <w:ind w:left="2884" w:hanging="291"/>
      </w:pPr>
      <w:rPr>
        <w:rFonts w:hint="default"/>
      </w:rPr>
    </w:lvl>
    <w:lvl w:ilvl="4">
      <w:start w:val="0"/>
      <w:numFmt w:val="bullet"/>
      <w:lvlText w:val="•"/>
      <w:lvlJc w:val="left"/>
      <w:pPr>
        <w:ind w:left="3812" w:hanging="291"/>
      </w:pPr>
      <w:rPr>
        <w:rFonts w:hint="default"/>
      </w:rPr>
    </w:lvl>
    <w:lvl w:ilvl="5">
      <w:start w:val="0"/>
      <w:numFmt w:val="bullet"/>
      <w:lvlText w:val="•"/>
      <w:lvlJc w:val="left"/>
      <w:pPr>
        <w:ind w:left="4740" w:hanging="291"/>
      </w:pPr>
      <w:rPr>
        <w:rFonts w:hint="default"/>
      </w:rPr>
    </w:lvl>
    <w:lvl w:ilvl="6">
      <w:start w:val="0"/>
      <w:numFmt w:val="bullet"/>
      <w:lvlText w:val="•"/>
      <w:lvlJc w:val="left"/>
      <w:pPr>
        <w:ind w:left="5668" w:hanging="291"/>
      </w:pPr>
      <w:rPr>
        <w:rFonts w:hint="default"/>
      </w:rPr>
    </w:lvl>
    <w:lvl w:ilvl="7">
      <w:start w:val="0"/>
      <w:numFmt w:val="bullet"/>
      <w:lvlText w:val="•"/>
      <w:lvlJc w:val="left"/>
      <w:pPr>
        <w:ind w:left="6596" w:hanging="291"/>
      </w:pPr>
      <w:rPr>
        <w:rFonts w:hint="default"/>
      </w:rPr>
    </w:lvl>
    <w:lvl w:ilvl="8">
      <w:start w:val="0"/>
      <w:numFmt w:val="bullet"/>
      <w:lvlText w:val="•"/>
      <w:lvlJc w:val="left"/>
      <w:pPr>
        <w:ind w:left="7524" w:hanging="291"/>
      </w:pPr>
      <w:rPr>
        <w:rFonts w:hint="default"/>
      </w:rPr>
    </w:lvl>
  </w:abstractNum>
  <w:abstractNum w:abstractNumId="8">
    <w:multiLevelType w:val="hybridMultilevel"/>
    <w:lvl w:ilvl="0">
      <w:start w:val="41"/>
      <w:numFmt w:val="decimal"/>
      <w:lvlText w:val="%1"/>
      <w:lvlJc w:val="left"/>
      <w:pPr>
        <w:ind w:left="120" w:hanging="487"/>
        <w:jc w:val="left"/>
      </w:pPr>
      <w:rPr>
        <w:rFonts w:hint="default"/>
      </w:rPr>
    </w:lvl>
    <w:lvl w:ilvl="1">
      <w:start w:val="9"/>
      <w:numFmt w:val="decimal"/>
      <w:lvlText w:val="%1.%2"/>
      <w:lvlJc w:val="left"/>
      <w:pPr>
        <w:ind w:left="120" w:hanging="487"/>
        <w:jc w:val="left"/>
      </w:pPr>
      <w:rPr>
        <w:rFonts w:hint="default" w:ascii="Times New Roman" w:hAnsi="Times New Roman" w:eastAsia="Times New Roman" w:cs="Times New Roman"/>
        <w:color w:val="231F20"/>
        <w:spacing w:val="-28"/>
        <w:w w:val="99"/>
        <w:sz w:val="22"/>
        <w:szCs w:val="22"/>
      </w:rPr>
    </w:lvl>
    <w:lvl w:ilvl="2">
      <w:start w:val="0"/>
      <w:numFmt w:val="bullet"/>
      <w:lvlText w:val="•"/>
      <w:lvlJc w:val="left"/>
      <w:pPr>
        <w:ind w:left="900" w:hanging="400"/>
      </w:pPr>
      <w:rPr>
        <w:rFonts w:hint="default" w:ascii="Times New Roman" w:hAnsi="Times New Roman" w:eastAsia="Times New Roman" w:cs="Times New Roman"/>
        <w:color w:val="231F20"/>
        <w:w w:val="99"/>
        <w:sz w:val="20"/>
        <w:szCs w:val="20"/>
      </w:rPr>
    </w:lvl>
    <w:lvl w:ilvl="3">
      <w:start w:val="0"/>
      <w:numFmt w:val="bullet"/>
      <w:lvlText w:val="•"/>
      <w:lvlJc w:val="left"/>
      <w:pPr>
        <w:ind w:left="2775" w:hanging="400"/>
      </w:pPr>
      <w:rPr>
        <w:rFonts w:hint="default"/>
      </w:rPr>
    </w:lvl>
    <w:lvl w:ilvl="4">
      <w:start w:val="0"/>
      <w:numFmt w:val="bullet"/>
      <w:lvlText w:val="•"/>
      <w:lvlJc w:val="left"/>
      <w:pPr>
        <w:ind w:left="3713" w:hanging="400"/>
      </w:pPr>
      <w:rPr>
        <w:rFonts w:hint="default"/>
      </w:rPr>
    </w:lvl>
    <w:lvl w:ilvl="5">
      <w:start w:val="0"/>
      <w:numFmt w:val="bullet"/>
      <w:lvlText w:val="•"/>
      <w:lvlJc w:val="left"/>
      <w:pPr>
        <w:ind w:left="4651" w:hanging="400"/>
      </w:pPr>
      <w:rPr>
        <w:rFonts w:hint="default"/>
      </w:rPr>
    </w:lvl>
    <w:lvl w:ilvl="6">
      <w:start w:val="0"/>
      <w:numFmt w:val="bullet"/>
      <w:lvlText w:val="•"/>
      <w:lvlJc w:val="left"/>
      <w:pPr>
        <w:ind w:left="5588" w:hanging="400"/>
      </w:pPr>
      <w:rPr>
        <w:rFonts w:hint="default"/>
      </w:rPr>
    </w:lvl>
    <w:lvl w:ilvl="7">
      <w:start w:val="0"/>
      <w:numFmt w:val="bullet"/>
      <w:lvlText w:val="•"/>
      <w:lvlJc w:val="left"/>
      <w:pPr>
        <w:ind w:left="6526" w:hanging="400"/>
      </w:pPr>
      <w:rPr>
        <w:rFonts w:hint="default"/>
      </w:rPr>
    </w:lvl>
    <w:lvl w:ilvl="8">
      <w:start w:val="0"/>
      <w:numFmt w:val="bullet"/>
      <w:lvlText w:val="•"/>
      <w:lvlJc w:val="left"/>
      <w:pPr>
        <w:ind w:left="7464" w:hanging="400"/>
      </w:pPr>
      <w:rPr>
        <w:rFonts w:hint="default"/>
      </w:rPr>
    </w:lvl>
  </w:abstractNum>
  <w:abstractNum w:abstractNumId="7">
    <w:multiLevelType w:val="hybridMultilevel"/>
    <w:lvl w:ilvl="0">
      <w:start w:val="1"/>
      <w:numFmt w:val="decimal"/>
      <w:lvlText w:val="(%1)"/>
      <w:lvlJc w:val="left"/>
      <w:pPr>
        <w:ind w:left="420" w:hanging="320"/>
        <w:jc w:val="left"/>
      </w:pPr>
      <w:rPr>
        <w:rFonts w:hint="default" w:ascii="Times New Roman" w:hAnsi="Times New Roman" w:eastAsia="Times New Roman" w:cs="Times New Roman"/>
        <w:color w:val="231F20"/>
        <w:spacing w:val="-3"/>
        <w:w w:val="99"/>
        <w:sz w:val="16"/>
        <w:szCs w:val="16"/>
      </w:rPr>
    </w:lvl>
    <w:lvl w:ilvl="1">
      <w:start w:val="0"/>
      <w:numFmt w:val="bullet"/>
      <w:lvlText w:val="•"/>
      <w:lvlJc w:val="left"/>
      <w:pPr>
        <w:ind w:left="1304" w:hanging="320"/>
      </w:pPr>
      <w:rPr>
        <w:rFonts w:hint="default"/>
      </w:rPr>
    </w:lvl>
    <w:lvl w:ilvl="2">
      <w:start w:val="0"/>
      <w:numFmt w:val="bullet"/>
      <w:lvlText w:val="•"/>
      <w:lvlJc w:val="left"/>
      <w:pPr>
        <w:ind w:left="2188" w:hanging="320"/>
      </w:pPr>
      <w:rPr>
        <w:rFonts w:hint="default"/>
      </w:rPr>
    </w:lvl>
    <w:lvl w:ilvl="3">
      <w:start w:val="0"/>
      <w:numFmt w:val="bullet"/>
      <w:lvlText w:val="•"/>
      <w:lvlJc w:val="left"/>
      <w:pPr>
        <w:ind w:left="3072" w:hanging="320"/>
      </w:pPr>
      <w:rPr>
        <w:rFonts w:hint="default"/>
      </w:rPr>
    </w:lvl>
    <w:lvl w:ilvl="4">
      <w:start w:val="0"/>
      <w:numFmt w:val="bullet"/>
      <w:lvlText w:val="•"/>
      <w:lvlJc w:val="left"/>
      <w:pPr>
        <w:ind w:left="3956" w:hanging="320"/>
      </w:pPr>
      <w:rPr>
        <w:rFonts w:hint="default"/>
      </w:rPr>
    </w:lvl>
    <w:lvl w:ilvl="5">
      <w:start w:val="0"/>
      <w:numFmt w:val="bullet"/>
      <w:lvlText w:val="•"/>
      <w:lvlJc w:val="left"/>
      <w:pPr>
        <w:ind w:left="4840" w:hanging="320"/>
      </w:pPr>
      <w:rPr>
        <w:rFonts w:hint="default"/>
      </w:rPr>
    </w:lvl>
    <w:lvl w:ilvl="6">
      <w:start w:val="0"/>
      <w:numFmt w:val="bullet"/>
      <w:lvlText w:val="•"/>
      <w:lvlJc w:val="left"/>
      <w:pPr>
        <w:ind w:left="5724" w:hanging="320"/>
      </w:pPr>
      <w:rPr>
        <w:rFonts w:hint="default"/>
      </w:rPr>
    </w:lvl>
    <w:lvl w:ilvl="7">
      <w:start w:val="0"/>
      <w:numFmt w:val="bullet"/>
      <w:lvlText w:val="•"/>
      <w:lvlJc w:val="left"/>
      <w:pPr>
        <w:ind w:left="6608" w:hanging="320"/>
      </w:pPr>
      <w:rPr>
        <w:rFonts w:hint="default"/>
      </w:rPr>
    </w:lvl>
    <w:lvl w:ilvl="8">
      <w:start w:val="0"/>
      <w:numFmt w:val="bullet"/>
      <w:lvlText w:val="•"/>
      <w:lvlJc w:val="left"/>
      <w:pPr>
        <w:ind w:left="7492" w:hanging="320"/>
      </w:pPr>
      <w:rPr>
        <w:rFonts w:hint="default"/>
      </w:rPr>
    </w:lvl>
  </w:abstractNum>
  <w:abstractNum w:abstractNumId="6">
    <w:multiLevelType w:val="hybridMultilevel"/>
    <w:lvl w:ilvl="0">
      <w:start w:val="1"/>
      <w:numFmt w:val="decimal"/>
      <w:lvlText w:val="(%1)"/>
      <w:lvlJc w:val="left"/>
      <w:pPr>
        <w:ind w:left="700" w:hanging="600"/>
        <w:jc w:val="left"/>
      </w:pPr>
      <w:rPr>
        <w:rFonts w:hint="default" w:ascii="Times New Roman" w:hAnsi="Times New Roman" w:eastAsia="Times New Roman" w:cs="Times New Roman"/>
        <w:color w:val="231F20"/>
        <w:spacing w:val="-25"/>
        <w:w w:val="99"/>
        <w:sz w:val="20"/>
        <w:szCs w:val="20"/>
      </w:rPr>
    </w:lvl>
    <w:lvl w:ilvl="1">
      <w:start w:val="0"/>
      <w:numFmt w:val="bullet"/>
      <w:lvlText w:val="•"/>
      <w:lvlJc w:val="left"/>
      <w:pPr>
        <w:ind w:left="1576" w:hanging="600"/>
      </w:pPr>
      <w:rPr>
        <w:rFonts w:hint="default"/>
      </w:rPr>
    </w:lvl>
    <w:lvl w:ilvl="2">
      <w:start w:val="0"/>
      <w:numFmt w:val="bullet"/>
      <w:lvlText w:val="•"/>
      <w:lvlJc w:val="left"/>
      <w:pPr>
        <w:ind w:left="2452" w:hanging="600"/>
      </w:pPr>
      <w:rPr>
        <w:rFonts w:hint="default"/>
      </w:rPr>
    </w:lvl>
    <w:lvl w:ilvl="3">
      <w:start w:val="0"/>
      <w:numFmt w:val="bullet"/>
      <w:lvlText w:val="•"/>
      <w:lvlJc w:val="left"/>
      <w:pPr>
        <w:ind w:left="3328" w:hanging="600"/>
      </w:pPr>
      <w:rPr>
        <w:rFonts w:hint="default"/>
      </w:rPr>
    </w:lvl>
    <w:lvl w:ilvl="4">
      <w:start w:val="0"/>
      <w:numFmt w:val="bullet"/>
      <w:lvlText w:val="•"/>
      <w:lvlJc w:val="left"/>
      <w:pPr>
        <w:ind w:left="4204" w:hanging="600"/>
      </w:pPr>
      <w:rPr>
        <w:rFonts w:hint="default"/>
      </w:rPr>
    </w:lvl>
    <w:lvl w:ilvl="5">
      <w:start w:val="0"/>
      <w:numFmt w:val="bullet"/>
      <w:lvlText w:val="•"/>
      <w:lvlJc w:val="left"/>
      <w:pPr>
        <w:ind w:left="5080" w:hanging="600"/>
      </w:pPr>
      <w:rPr>
        <w:rFonts w:hint="default"/>
      </w:rPr>
    </w:lvl>
    <w:lvl w:ilvl="6">
      <w:start w:val="0"/>
      <w:numFmt w:val="bullet"/>
      <w:lvlText w:val="•"/>
      <w:lvlJc w:val="left"/>
      <w:pPr>
        <w:ind w:left="5956" w:hanging="600"/>
      </w:pPr>
      <w:rPr>
        <w:rFonts w:hint="default"/>
      </w:rPr>
    </w:lvl>
    <w:lvl w:ilvl="7">
      <w:start w:val="0"/>
      <w:numFmt w:val="bullet"/>
      <w:lvlText w:val="•"/>
      <w:lvlJc w:val="left"/>
      <w:pPr>
        <w:ind w:left="6832" w:hanging="600"/>
      </w:pPr>
      <w:rPr>
        <w:rFonts w:hint="default"/>
      </w:rPr>
    </w:lvl>
    <w:lvl w:ilvl="8">
      <w:start w:val="0"/>
      <w:numFmt w:val="bullet"/>
      <w:lvlText w:val="•"/>
      <w:lvlJc w:val="left"/>
      <w:pPr>
        <w:ind w:left="7708" w:hanging="600"/>
      </w:pPr>
      <w:rPr>
        <w:rFonts w:hint="default"/>
      </w:rPr>
    </w:lvl>
  </w:abstractNum>
  <w:abstractNum w:abstractNumId="5">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4">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3">
    <w:multiLevelType w:val="hybridMultilevel"/>
    <w:lvl w:ilvl="0">
      <w:start w:val="21"/>
      <w:numFmt w:val="upperLetter"/>
      <w:lvlText w:val="%1"/>
      <w:lvlJc w:val="left"/>
      <w:pPr>
        <w:ind w:left="100" w:hanging="459"/>
        <w:jc w:val="left"/>
      </w:pPr>
      <w:rPr>
        <w:rFonts w:hint="default"/>
      </w:rPr>
    </w:lvl>
    <w:lvl w:ilvl="1">
      <w:start w:val="19"/>
      <w:numFmt w:val="upperLetter"/>
      <w:lvlText w:val="%1.%2."/>
      <w:lvlJc w:val="left"/>
      <w:pPr>
        <w:ind w:left="100" w:hanging="459"/>
        <w:jc w:val="left"/>
      </w:pPr>
      <w:rPr>
        <w:rFonts w:hint="default" w:ascii="Times New Roman" w:hAnsi="Times New Roman" w:eastAsia="Times New Roman" w:cs="Times New Roman"/>
        <w:color w:val="231F20"/>
        <w:w w:val="99"/>
        <w:sz w:val="22"/>
        <w:szCs w:val="22"/>
      </w:rPr>
    </w:lvl>
    <w:lvl w:ilvl="2">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2">
    <w:multiLevelType w:val="hybridMultilevel"/>
    <w:lvl w:ilvl="0">
      <w:start w:val="8"/>
      <w:numFmt w:val="lowerRoman"/>
      <w:lvlText w:val="(%1)"/>
      <w:lvlJc w:val="left"/>
      <w:pPr>
        <w:ind w:left="120" w:hanging="556"/>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980" w:hanging="440"/>
      </w:pPr>
      <w:rPr>
        <w:rFonts w:hint="default" w:ascii="Times New Roman" w:hAnsi="Times New Roman" w:eastAsia="Times New Roman" w:cs="Times New Roman"/>
        <w:color w:val="231F20"/>
        <w:w w:val="99"/>
        <w:sz w:val="22"/>
        <w:szCs w:val="22"/>
      </w:rPr>
    </w:lvl>
    <w:lvl w:ilvl="2">
      <w:start w:val="0"/>
      <w:numFmt w:val="bullet"/>
      <w:lvlText w:val="•"/>
      <w:lvlJc w:val="left"/>
      <w:pPr>
        <w:ind w:left="1908" w:hanging="440"/>
      </w:pPr>
      <w:rPr>
        <w:rFonts w:hint="default"/>
      </w:rPr>
    </w:lvl>
    <w:lvl w:ilvl="3">
      <w:start w:val="0"/>
      <w:numFmt w:val="bullet"/>
      <w:lvlText w:val="•"/>
      <w:lvlJc w:val="left"/>
      <w:pPr>
        <w:ind w:left="2837" w:hanging="440"/>
      </w:pPr>
      <w:rPr>
        <w:rFonts w:hint="default"/>
      </w:rPr>
    </w:lvl>
    <w:lvl w:ilvl="4">
      <w:start w:val="0"/>
      <w:numFmt w:val="bullet"/>
      <w:lvlText w:val="•"/>
      <w:lvlJc w:val="left"/>
      <w:pPr>
        <w:ind w:left="3766" w:hanging="440"/>
      </w:pPr>
      <w:rPr>
        <w:rFonts w:hint="default"/>
      </w:rPr>
    </w:lvl>
    <w:lvl w:ilvl="5">
      <w:start w:val="0"/>
      <w:numFmt w:val="bullet"/>
      <w:lvlText w:val="•"/>
      <w:lvlJc w:val="left"/>
      <w:pPr>
        <w:ind w:left="4695" w:hanging="440"/>
      </w:pPr>
      <w:rPr>
        <w:rFonts w:hint="default"/>
      </w:rPr>
    </w:lvl>
    <w:lvl w:ilvl="6">
      <w:start w:val="0"/>
      <w:numFmt w:val="bullet"/>
      <w:lvlText w:val="•"/>
      <w:lvlJc w:val="left"/>
      <w:pPr>
        <w:ind w:left="5624" w:hanging="440"/>
      </w:pPr>
      <w:rPr>
        <w:rFonts w:hint="default"/>
      </w:rPr>
    </w:lvl>
    <w:lvl w:ilvl="7">
      <w:start w:val="0"/>
      <w:numFmt w:val="bullet"/>
      <w:lvlText w:val="•"/>
      <w:lvlJc w:val="left"/>
      <w:pPr>
        <w:ind w:left="6553" w:hanging="440"/>
      </w:pPr>
      <w:rPr>
        <w:rFonts w:hint="default"/>
      </w:rPr>
    </w:lvl>
    <w:lvl w:ilvl="8">
      <w:start w:val="0"/>
      <w:numFmt w:val="bullet"/>
      <w:lvlText w:val="•"/>
      <w:lvlJc w:val="left"/>
      <w:pPr>
        <w:ind w:left="7482" w:hanging="440"/>
      </w:pPr>
      <w:rPr>
        <w:rFonts w:hint="default"/>
      </w:rPr>
    </w:lvl>
  </w:abstractNum>
  <w:abstractNum w:abstractNumId="1">
    <w:multiLevelType w:val="hybridMultilevel"/>
    <w:lvl w:ilvl="0">
      <w:start w:val="3"/>
      <w:numFmt w:val="lowerRoman"/>
      <w:lvlText w:val="(%1)"/>
      <w:lvlJc w:val="left"/>
      <w:pPr>
        <w:ind w:left="120" w:hanging="395"/>
        <w:jc w:val="left"/>
      </w:pPr>
      <w:rPr>
        <w:rFonts w:hint="default" w:ascii="Times New Roman" w:hAnsi="Times New Roman" w:eastAsia="Times New Roman" w:cs="Times New Roman"/>
        <w:color w:val="231F20"/>
        <w:w w:val="100"/>
        <w:sz w:val="22"/>
        <w:szCs w:val="22"/>
      </w:rPr>
    </w:lvl>
    <w:lvl w:ilvl="1">
      <w:start w:val="0"/>
      <w:numFmt w:val="bullet"/>
      <w:lvlText w:val="•"/>
      <w:lvlJc w:val="left"/>
      <w:pPr>
        <w:ind w:left="1044" w:hanging="395"/>
      </w:pPr>
      <w:rPr>
        <w:rFonts w:hint="default"/>
      </w:rPr>
    </w:lvl>
    <w:lvl w:ilvl="2">
      <w:start w:val="0"/>
      <w:numFmt w:val="bullet"/>
      <w:lvlText w:val="•"/>
      <w:lvlJc w:val="left"/>
      <w:pPr>
        <w:ind w:left="1968" w:hanging="395"/>
      </w:pPr>
      <w:rPr>
        <w:rFonts w:hint="default"/>
      </w:rPr>
    </w:lvl>
    <w:lvl w:ilvl="3">
      <w:start w:val="0"/>
      <w:numFmt w:val="bullet"/>
      <w:lvlText w:val="•"/>
      <w:lvlJc w:val="left"/>
      <w:pPr>
        <w:ind w:left="2892" w:hanging="395"/>
      </w:pPr>
      <w:rPr>
        <w:rFonts w:hint="default"/>
      </w:rPr>
    </w:lvl>
    <w:lvl w:ilvl="4">
      <w:start w:val="0"/>
      <w:numFmt w:val="bullet"/>
      <w:lvlText w:val="•"/>
      <w:lvlJc w:val="left"/>
      <w:pPr>
        <w:ind w:left="3816" w:hanging="395"/>
      </w:pPr>
      <w:rPr>
        <w:rFonts w:hint="default"/>
      </w:rPr>
    </w:lvl>
    <w:lvl w:ilvl="5">
      <w:start w:val="0"/>
      <w:numFmt w:val="bullet"/>
      <w:lvlText w:val="•"/>
      <w:lvlJc w:val="left"/>
      <w:pPr>
        <w:ind w:left="4740" w:hanging="395"/>
      </w:pPr>
      <w:rPr>
        <w:rFonts w:hint="default"/>
      </w:rPr>
    </w:lvl>
    <w:lvl w:ilvl="6">
      <w:start w:val="0"/>
      <w:numFmt w:val="bullet"/>
      <w:lvlText w:val="•"/>
      <w:lvlJc w:val="left"/>
      <w:pPr>
        <w:ind w:left="5664" w:hanging="395"/>
      </w:pPr>
      <w:rPr>
        <w:rFonts w:hint="default"/>
      </w:rPr>
    </w:lvl>
    <w:lvl w:ilvl="7">
      <w:start w:val="0"/>
      <w:numFmt w:val="bullet"/>
      <w:lvlText w:val="•"/>
      <w:lvlJc w:val="left"/>
      <w:pPr>
        <w:ind w:left="6588" w:hanging="395"/>
      </w:pPr>
      <w:rPr>
        <w:rFonts w:hint="default"/>
      </w:rPr>
    </w:lvl>
    <w:lvl w:ilvl="8">
      <w:start w:val="0"/>
      <w:numFmt w:val="bullet"/>
      <w:lvlText w:val="•"/>
      <w:lvlJc w:val="left"/>
      <w:pPr>
        <w:ind w:left="7512" w:hanging="395"/>
      </w:pPr>
      <w:rPr>
        <w:rFonts w:hint="default"/>
      </w:rPr>
    </w:lvl>
  </w:abstractNum>
  <w:abstractNum w:abstractNumId="0">
    <w:multiLevelType w:val="hybridMultilevel"/>
    <w:lvl w:ilvl="0">
      <w:start w:val="0"/>
      <w:numFmt w:val="bullet"/>
      <w:lvlText w:val="•"/>
      <w:lvlJc w:val="left"/>
      <w:pPr>
        <w:ind w:left="1000" w:hanging="440"/>
      </w:pPr>
      <w:rPr>
        <w:rFonts w:hint="default" w:ascii="Times New Roman" w:hAnsi="Times New Roman" w:eastAsia="Times New Roman" w:cs="Times New Roman"/>
        <w:color w:val="231F20"/>
        <w:w w:val="99"/>
        <w:sz w:val="22"/>
        <w:szCs w:val="22"/>
      </w:rPr>
    </w:lvl>
    <w:lvl w:ilvl="1">
      <w:start w:val="0"/>
      <w:numFmt w:val="bullet"/>
      <w:lvlText w:val="•"/>
      <w:lvlJc w:val="left"/>
      <w:pPr>
        <w:ind w:left="1836" w:hanging="440"/>
      </w:pPr>
      <w:rPr>
        <w:rFonts w:hint="default"/>
      </w:rPr>
    </w:lvl>
    <w:lvl w:ilvl="2">
      <w:start w:val="0"/>
      <w:numFmt w:val="bullet"/>
      <w:lvlText w:val="•"/>
      <w:lvlJc w:val="left"/>
      <w:pPr>
        <w:ind w:left="2672" w:hanging="440"/>
      </w:pPr>
      <w:rPr>
        <w:rFonts w:hint="default"/>
      </w:rPr>
    </w:lvl>
    <w:lvl w:ilvl="3">
      <w:start w:val="0"/>
      <w:numFmt w:val="bullet"/>
      <w:lvlText w:val="•"/>
      <w:lvlJc w:val="left"/>
      <w:pPr>
        <w:ind w:left="3508" w:hanging="440"/>
      </w:pPr>
      <w:rPr>
        <w:rFonts w:hint="default"/>
      </w:rPr>
    </w:lvl>
    <w:lvl w:ilvl="4">
      <w:start w:val="0"/>
      <w:numFmt w:val="bullet"/>
      <w:lvlText w:val="•"/>
      <w:lvlJc w:val="left"/>
      <w:pPr>
        <w:ind w:left="4344" w:hanging="440"/>
      </w:pPr>
      <w:rPr>
        <w:rFonts w:hint="default"/>
      </w:rPr>
    </w:lvl>
    <w:lvl w:ilvl="5">
      <w:start w:val="0"/>
      <w:numFmt w:val="bullet"/>
      <w:lvlText w:val="•"/>
      <w:lvlJc w:val="left"/>
      <w:pPr>
        <w:ind w:left="5180" w:hanging="440"/>
      </w:pPr>
      <w:rPr>
        <w:rFonts w:hint="default"/>
      </w:rPr>
    </w:lvl>
    <w:lvl w:ilvl="6">
      <w:start w:val="0"/>
      <w:numFmt w:val="bullet"/>
      <w:lvlText w:val="•"/>
      <w:lvlJc w:val="left"/>
      <w:pPr>
        <w:ind w:left="6016" w:hanging="440"/>
      </w:pPr>
      <w:rPr>
        <w:rFonts w:hint="default"/>
      </w:rPr>
    </w:lvl>
    <w:lvl w:ilvl="7">
      <w:start w:val="0"/>
      <w:numFmt w:val="bullet"/>
      <w:lvlText w:val="•"/>
      <w:lvlJc w:val="left"/>
      <w:pPr>
        <w:ind w:left="6852" w:hanging="440"/>
      </w:pPr>
      <w:rPr>
        <w:rFonts w:hint="default"/>
      </w:rPr>
    </w:lvl>
    <w:lvl w:ilvl="8">
      <w:start w:val="0"/>
      <w:numFmt w:val="bullet"/>
      <w:lvlText w:val="•"/>
      <w:lvlJc w:val="left"/>
      <w:pPr>
        <w:ind w:left="7688" w:hanging="44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2"/>
      <w:szCs w:val="22"/>
    </w:rPr>
  </w:style>
  <w:style w:styleId="Heading2" w:type="paragraph">
    <w:name w:val="Heading 2"/>
    <w:basedOn w:val="Normal"/>
    <w:uiPriority w:val="1"/>
    <w:qFormat/>
    <w:pPr>
      <w:ind w:left="460"/>
      <w:outlineLvl w:val="2"/>
    </w:pPr>
    <w:rPr>
      <w:rFonts w:ascii="Times New Roman" w:hAnsi="Times New Roman" w:eastAsia="Times New Roman" w:cs="Times New Roman"/>
      <w:b/>
      <w:bCs/>
      <w:i/>
      <w:sz w:val="22"/>
      <w:szCs w:val="22"/>
    </w:rPr>
  </w:style>
  <w:style w:styleId="ListParagraph" w:type="paragraph">
    <w:name w:val="List Paragraph"/>
    <w:basedOn w:val="Normal"/>
    <w:uiPriority w:val="1"/>
    <w:qFormat/>
    <w:pPr>
      <w:ind w:left="980" w:hanging="440"/>
    </w:pPr>
    <w:rPr>
      <w:rFonts w:ascii="Times New Roman" w:hAnsi="Times New Roman" w:eastAsia="Times New Roman" w:cs="Times New Roman"/>
    </w:rPr>
  </w:style>
  <w:style w:styleId="TableParagraph" w:type="paragraph">
    <w:name w:val="Table Paragraph"/>
    <w:basedOn w:val="Normal"/>
    <w:uiPriority w:val="1"/>
    <w:qFormat/>
    <w:pPr>
      <w:spacing w:before="5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oter" Target="footer4.xml"/><Relationship Id="rId39" Type="http://schemas.openxmlformats.org/officeDocument/2006/relationships/image" Target="media/image22.png"/><Relationship Id="rId21" Type="http://schemas.openxmlformats.org/officeDocument/2006/relationships/image" Target="media/image15.png"/><Relationship Id="rId34" Type="http://schemas.openxmlformats.org/officeDocument/2006/relationships/hyperlink" Target="http://www.southwestairlinesinvestorrelations.com/financials" TargetMode="External"/><Relationship Id="rId42" Type="http://schemas.openxmlformats.org/officeDocument/2006/relationships/image" Target="media/image25.png"/><Relationship Id="rId47" Type="http://schemas.openxmlformats.org/officeDocument/2006/relationships/customXml" Target="../customXml/item1.xml"/><Relationship Id="rId7" Type="http://schemas.openxmlformats.org/officeDocument/2006/relationships/image" Target="media/image3.png"/><Relationship Id="rId2" Type="http://schemas.openxmlformats.org/officeDocument/2006/relationships/fontTable" Target="fontTable.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image" Target="media/image7.png"/><Relationship Id="rId24" Type="http://schemas.openxmlformats.org/officeDocument/2006/relationships/footer" Target="footer2.xml"/><Relationship Id="rId32" Type="http://schemas.openxmlformats.org/officeDocument/2006/relationships/hyperlink" Target="http://www.shareowneronline.com/"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oter" Target="footer6.xml"/><Relationship Id="rId36" Type="http://schemas.openxmlformats.org/officeDocument/2006/relationships/image" Target="media/image19.png"/><Relationship Id="rId49"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footer" Target="footer9.xml"/><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oter" Target="footer5.xml"/><Relationship Id="rId30" Type="http://schemas.openxmlformats.org/officeDocument/2006/relationships/footer" Target="footer8.xm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customXml" Target="../customXml/item2.xml"/><Relationship Id="rId8" Type="http://schemas.openxmlformats.org/officeDocument/2006/relationships/image" Target="media/image4.png"/><Relationship Id="rId3" Type="http://schemas.openxmlformats.org/officeDocument/2006/relationships/theme" Target="theme/theme1.xml"/><Relationship Id="rId12" Type="http://schemas.openxmlformats.org/officeDocument/2006/relationships/image" Target="media/image8.png"/><Relationship Id="rId17" Type="http://schemas.openxmlformats.org/officeDocument/2006/relationships/hyperlink" Target="http://www.southwest.com/" TargetMode="External"/><Relationship Id="rId25" Type="http://schemas.openxmlformats.org/officeDocument/2006/relationships/footer" Target="footer3.xml"/><Relationship Id="rId33" Type="http://schemas.openxmlformats.org/officeDocument/2006/relationships/hyperlink" Target="http://www.southwest.com/citizenship" TargetMode="External"/><Relationship Id="rId38" Type="http://schemas.openxmlformats.org/officeDocument/2006/relationships/image" Target="media/image21.png"/><Relationship Id="rId46" Type="http://schemas.openxmlformats.org/officeDocument/2006/relationships/numbering" Target="numbering.xml"/><Relationship Id="rId20"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3DA38-3C5E-40A4-A105-662510CED861}"/>
</file>

<file path=customXml/itemProps2.xml><?xml version="1.0" encoding="utf-8"?>
<ds:datastoreItem xmlns:ds="http://schemas.openxmlformats.org/officeDocument/2006/customXml" ds:itemID="{4AD400CC-1E5F-4976-9EA0-8EB2A77D8C82}"/>
</file>

<file path=customXml/itemProps3.xml><?xml version="1.0" encoding="utf-8"?>
<ds:datastoreItem xmlns:ds="http://schemas.openxmlformats.org/officeDocument/2006/customXml" ds:itemID="{180E4FBD-C23B-4B88-9D4A-BB82B8FB528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Airlines Co. 2016 Annual Report</dc:title>
  <dcterms:created xsi:type="dcterms:W3CDTF">2018-01-03T22:53:10Z</dcterms:created>
  <dcterms:modified xsi:type="dcterms:W3CDTF">2018-01-03T22:53:10Z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LastSaved">
    <vt:filetime>2018-01-04T00:00:00Z</vt:filetime>
  </property>
  <property fmtid="{D5CDD505-2E9C-101B-9397-08002B2CF9AE}" pid="4" name="ContentTypeId">
    <vt:lpwstr>0x010100F1A24584C23FDF4BB8656E52E9AA5D01</vt:lpwstr>
  </property>
</Properties>
</file>