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color w:val="7F7F7F"/>
          <w:sz w:val="22"/>
        </w:rPr>
        <w:t>KIT DE IMPLEMENTACIÓN DE AWP</w:t>
      </w:r>
    </w:p>
    <w:p>
      <w:pPr>
        <w:pBdr>
          <w:bottom w:val="single" w:sz="6" w:space="1" w:color="1F3864"/>
        </w:pBdr>
      </w:pPr>
      <w:r>
        <w:rPr>
          <w:b/>
          <w:color w:val="1F3864"/>
          <w:sz w:val="56"/>
        </w:rPr>
        <w:t>Procedimiento de gestión de restricciones</w:t>
      </w:r>
    </w:p>
    <w:p>
      <w:r>
        <w:rPr>
          <w:color w:val="404040"/>
          <w:sz w:val="28"/>
        </w:rPr>
        <w:t>Identificación, registro, seguimiento, escalamiento y liberación de restricciones, y liberación de IWP libres de restricciones.</w:t>
      </w:r>
    </w:p>
    <w:p/>
    <w:p/>
    <w:p/>
    <w:p/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2835"/>
        <w:gridCol w:w="6804"/>
      </w:tblGrid>
      <w:tr>
        <w:tc>
          <w:tcPr>
            <w:tcW w:type="dxa" w:w="2835"/>
            <w:shd w:val="clear" w:color="auto" w:fill="DCE6F2"/>
          </w:tcPr>
          <w:p>
            <w:pPr>
              <w:spacing w:after="0"/>
            </w:pPr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Proyecto Tipo (PT) – Complejo de instalaciones en tres fases</w:t>
            </w:r>
          </w:p>
        </w:tc>
      </w:tr>
      <w:tr>
        <w:tc>
          <w:tcPr>
            <w:tcW w:type="dxa" w:w="2835"/>
            <w:shd w:val="clear" w:color="auto" w:fill="DCE6F2"/>
          </w:tcPr>
          <w:p>
            <w:pPr>
              <w:spacing w:after="0"/>
            </w:pPr>
            <w:r>
              <w:rPr>
                <w:b/>
                <w:sz w:val="20"/>
              </w:rPr>
              <w:t>Documento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PT-AWP-PRO-001 – Procedimiento de gestión de restricciones</w:t>
            </w:r>
          </w:p>
        </w:tc>
      </w:tr>
      <w:tr>
        <w:tc>
          <w:tcPr>
            <w:tcW w:type="dxa" w:w="2835"/>
            <w:shd w:val="clear" w:color="auto" w:fill="DCE6F2"/>
          </w:tcPr>
          <w:p>
            <w:pPr>
              <w:spacing w:after="0"/>
            </w:pPr>
            <w:r>
              <w:rPr>
                <w:b/>
                <w:sz w:val="20"/>
              </w:rPr>
              <w:t>Revisión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0 – Emitido para uso</w:t>
            </w:r>
          </w:p>
        </w:tc>
      </w:tr>
      <w:tr>
        <w:tc>
          <w:tcPr>
            <w:tcW w:type="dxa" w:w="2835"/>
            <w:shd w:val="clear" w:color="auto" w:fill="DCE6F2"/>
          </w:tcPr>
          <w:p>
            <w:pPr>
              <w:spacing w:after="0"/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25/09/2026</w:t>
            </w:r>
          </w:p>
        </w:tc>
      </w:tr>
      <w:tr>
        <w:tc>
          <w:tcPr>
            <w:tcW w:type="dxa" w:w="2835"/>
            <w:shd w:val="clear" w:color="auto" w:fill="DCE6F2"/>
          </w:tcPr>
          <w:p>
            <w:pPr>
              <w:spacing w:after="0"/>
            </w:pPr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AWP Champion</w:t>
            </w:r>
          </w:p>
        </w:tc>
      </w:tr>
      <w:tr>
        <w:tc>
          <w:tcPr>
            <w:tcW w:type="dxa" w:w="2835"/>
            <w:shd w:val="clear" w:color="auto" w:fill="DCE6F2"/>
          </w:tcPr>
          <w:p>
            <w:pPr>
              <w:spacing w:after="0"/>
            </w:pPr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Gerente de Proyecto</w:t>
            </w:r>
          </w:p>
        </w:tc>
      </w:tr>
    </w:tbl>
    <w:p>
      <w:r>
        <w:br w:type="page"/>
      </w:r>
    </w:p>
    <w:p>
      <w:pPr>
        <w:pBdr>
          <w:bottom w:val="single" w:sz="6" w:space="1" w:color="1F3864"/>
        </w:pBdr>
      </w:pPr>
      <w:r>
        <w:rPr>
          <w:b/>
          <w:color w:val="1F3864"/>
          <w:sz w:val="32"/>
        </w:rPr>
        <w:t>Índice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b/>
        </w:rPr>
        <w:t xml:space="preserve">1.  Propósito</w:t>
        <w:br/>
      </w:r>
      <w:r>
        <w:rPr>
          <w:b/>
        </w:rPr>
        <w:t xml:space="preserve">2.  Alcance</w:t>
        <w:br/>
      </w:r>
      <w:r>
        <w:rPr>
          <w:b/>
        </w:rPr>
        <w:t xml:space="preserve">3.  Referencias</w:t>
        <w:br/>
      </w:r>
      <w:r>
        <w:rPr>
          <w:b/>
        </w:rPr>
        <w:t xml:space="preserve">4.  Definiciones</w:t>
        <w:br/>
      </w:r>
      <w:r>
        <w:rPr>
          <w:b/>
        </w:rPr>
        <w:t xml:space="preserve">5.  Responsabilidades</w:t>
        <w:br/>
      </w:r>
      <w:r>
        <w:rPr>
          <w:b/>
        </w:rPr>
        <w:t xml:space="preserve">6.  Tipos de restricción</w:t>
        <w:br/>
      </w:r>
      <w:r>
        <w:rPr>
          <w:b/>
        </w:rPr>
        <w:t xml:space="preserve">7.  Procedimiento</w:t>
        <w:br/>
      </w:r>
      <w:r>
        <w:t xml:space="preserve">    7.1  Identificación</w:t>
        <w:br/>
      </w:r>
      <w:r>
        <w:t xml:space="preserve">    7.2  Registro</w:t>
        <w:br/>
      </w:r>
      <w:r>
        <w:t xml:space="preserve">    7.3  Asignación</w:t>
        <w:br/>
      </w:r>
      <w:r>
        <w:t xml:space="preserve">    7.4  Seguimiento semanal</w:t>
        <w:br/>
      </w:r>
      <w:r>
        <w:t xml:space="preserve">    7.5  Escalamiento</w:t>
        <w:br/>
      </w:r>
      <w:r>
        <w:t xml:space="preserve">    7.6  Liberación de la restricción</w:t>
        <w:br/>
      </w:r>
      <w:r>
        <w:t xml:space="preserve">    7.7  Liberación del IWP</w:t>
        <w:br/>
      </w:r>
      <w:r>
        <w:t xml:space="preserve">    7.8  IWP devuelto de campo</w:t>
        <w:br/>
      </w:r>
      <w:r>
        <w:rPr>
          <w:b/>
        </w:rPr>
        <w:t xml:space="preserve">8.  Plazos por fase del proyecto</w:t>
        <w:br/>
      </w:r>
      <w:r>
        <w:rPr>
          <w:b/>
        </w:rPr>
        <w:t xml:space="preserve">9.  Restricciones de interfaz entre fases</w:t>
        <w:br/>
      </w:r>
      <w:r>
        <w:rPr>
          <w:b/>
        </w:rPr>
        <w:t xml:space="preserve">10.  Indicadores</w:t>
        <w:br/>
      </w:r>
      <w:r>
        <w:rPr>
          <w:b/>
        </w:rPr>
        <w:t xml:space="preserve">11.  Registros</w:t>
        <w:br/>
      </w:r>
      <w:r>
        <w:rPr>
          <w:b/>
        </w:rPr>
        <w:t xml:space="preserve">12.  Control de cambios</w:t>
        <w:br/>
      </w:r>
      <w:r>
        <w:fldChar w:fldCharType="end"/>
      </w:r>
    </w:p>
    <w:p>
      <w:r>
        <w:br w:type="page"/>
      </w:r>
    </w:p>
    <w:p>
      <w:pPr>
        <w:pStyle w:val="Heading1"/>
      </w:pPr>
      <w:r>
        <w:t>1.  Propósito</w:t>
      </w:r>
    </w:p>
    <w:p>
      <w:r>
        <w:rPr>
          <w:b w:val="0"/>
        </w:rPr>
        <w:t xml:space="preserve">Establecer cómo se identifican, registran, gestionan y liberan las restricciones de los paquetes de trabajo del proyecto, para que </w:t>
      </w:r>
      <w:r>
        <w:rPr>
          <w:b/>
        </w:rPr>
        <w:t>ningún IWP se entregue a campo con restricciones abiertas</w:t>
      </w:r>
      <w:r>
        <w:rPr>
          <w:b w:val="0"/>
        </w:rPr>
        <w:t xml:space="preserve"> (regla de oro de Workface Planning) y para que las cuadrillas trabajen con todo lo necesario disponible.</w:t>
      </w:r>
    </w:p>
    <w:p>
      <w:pPr>
        <w:pStyle w:val="Heading1"/>
      </w:pPr>
      <w:r>
        <w:t>2.  Alcance</w:t>
      </w:r>
    </w:p>
    <w:p>
      <w:r>
        <w:rPr>
          <w:b w:val="0"/>
        </w:rPr>
        <w:t>Aplica a todas las fases del proyecto (Fase 1, Fase 2 y Fase 3), a todos los CWP e IWP y a todos los participantes: cliente, contratista principal, proveedores y subcontratistas. Cubre desde que un IWP entra en la ventana de planificación hasta su cierre.</w:t>
      </w:r>
    </w:p>
    <w:p>
      <w:pPr>
        <w:pStyle w:val="Heading1"/>
      </w:pPr>
      <w:r>
        <w:t>3.  Referencias</w:t>
      </w:r>
    </w:p>
    <w:p>
      <w:pPr>
        <w:pStyle w:val="ListBullet"/>
      </w:pPr>
      <w:r>
        <w:rPr>
          <w:b w:val="0"/>
        </w:rPr>
        <w:t>Plan de implementación de AWP (PT-AWP-PLN-001), secciones «Restricciones y liberación de IWP» y «Organización y roles».</w:t>
      </w:r>
    </w:p>
    <w:p>
      <w:pPr>
        <w:pStyle w:val="ListBullet"/>
      </w:pPr>
      <w:r>
        <w:rPr>
          <w:b w:val="0"/>
        </w:rPr>
        <w:t>Procedimiento 3.0 Workface Planning (Insight-AWP, 2017): backlog, look-ahead de tres semanas y Pack Track.</w:t>
      </w:r>
    </w:p>
    <w:p>
      <w:pPr>
        <w:pStyle w:val="ListBullet"/>
      </w:pPr>
      <w:r>
        <w:rPr>
          <w:b w:val="0"/>
        </w:rPr>
        <w:t>AWP Education Framework v1.0 (CII, 2020): gestión de restricciones y programa típico de restricciones.</w:t>
      </w:r>
    </w:p>
    <w:p>
      <w:pPr>
        <w:pStyle w:val="ListBullet"/>
      </w:pPr>
      <w:r>
        <w:rPr>
          <w:b w:val="0"/>
        </w:rPr>
        <w:t>Plantillas: Registro_Restricciones.xlsx, Programa_Liberacion_IWP.xlsx, Checklist_Liberacion_IWP.xlsx, Lookahead_3_Semanas.xlsx y Plantilla_IWP.docx.</w:t>
      </w:r>
    </w:p>
    <w:p>
      <w:pPr>
        <w:pStyle w:val="Heading1"/>
      </w:pPr>
      <w:r>
        <w:t>4.  Definiciones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927"/>
        <w:gridCol w:w="7711"/>
      </w:tblGrid>
      <w:tr>
        <w:trPr>
          <w:tblHeader w:val="true"/>
        </w:trPr>
        <w:tc>
          <w:tcPr>
            <w:tcW w:type="dxa" w:w="192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771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Restricción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Cualquier información, material, equipo, permiso, acceso u otro factor que impida o retrase la ejecución segura y completa de un trabajo.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Restricción vencida</w:t>
            </w:r>
          </w:p>
        </w:tc>
        <w:tc>
          <w:tcPr>
            <w:tcW w:type="dxa" w:w="771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Restricción no liberada ni cancelada cuya fecha requerida ya pasó.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Fecha requerida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Fecha límite para liberar la restricción sin afectar la liberación del IWP.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IWP liberado</w:t>
            </w:r>
          </w:p>
        </w:tc>
        <w:tc>
          <w:tcPr>
            <w:tcW w:type="dxa" w:w="771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IWP sin restricciones abiertas, con checklist de liberación firmado, que ingresa al backlog.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Backlog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Conjunto de IWP liberados y listos para ejecutar (meta de 2 a 4 semanas de trabajo).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Ventana de planificación</w:t>
            </w:r>
          </w:p>
        </w:tc>
        <w:tc>
          <w:tcPr>
            <w:tcW w:type="dxa" w:w="771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Periodo previo a la ejecución en que el IWP se prepara y se levantan sus restricciones (8 a 12 semanas según la fase).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Fase del proyecto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Fase 1, Fase 2 o Fase 3 del proyecto tipo.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Etapa del ciclo de vida</w:t>
            </w:r>
          </w:p>
        </w:tc>
        <w:tc>
          <w:tcPr>
            <w:tcW w:type="dxa" w:w="771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Planificación temprana (FEL), ingeniería, procura, construcción o comisionamiento.</w:t>
            </w:r>
          </w:p>
        </w:tc>
      </w:tr>
    </w:tbl>
    <w:p>
      <w:pPr>
        <w:spacing w:after="40"/>
      </w:pPr>
    </w:p>
    <w:p>
      <w:pPr>
        <w:pStyle w:val="Heading1"/>
      </w:pPr>
      <w:r>
        <w:t>5.  Responsabilidades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2570"/>
        <w:gridCol w:w="7068"/>
      </w:tblGrid>
      <w:tr>
        <w:trPr>
          <w:tblHeader w:val="true"/>
        </w:trPr>
        <w:tc>
          <w:tcPr>
            <w:tcW w:type="dxa" w:w="257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706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Responsabilidad en este procedimiento</w:t>
            </w:r>
          </w:p>
        </w:tc>
      </w:tr>
      <w:tr>
        <w:trPr>
          <w:cantSplit w:val="true"/>
        </w:trPr>
        <w:tc>
          <w:tcPr>
            <w:tcW w:type="dxa" w:w="25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Planificador de frente de trabajo</w:t>
            </w:r>
          </w:p>
        </w:tc>
        <w:tc>
          <w:tcPr>
            <w:tcW w:type="dxa" w:w="706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Identifica y registra las restricciones de sus IWP; propone fecha requerida; prepara el checklist de liberación.</w:t>
            </w:r>
          </w:p>
        </w:tc>
      </w:tr>
      <w:tr>
        <w:trPr>
          <w:cantSplit w:val="true"/>
        </w:trPr>
        <w:tc>
          <w:tcPr>
            <w:tcW w:type="dxa" w:w="257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WFP</w:t>
            </w:r>
          </w:p>
        </w:tc>
        <w:tc>
          <w:tcPr>
            <w:tcW w:type="dxa" w:w="706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Dirige la reunión semanal de restricciones; asigna responsables; escala; aprueba la liberación de IWP; consolida KPI.</w:t>
            </w:r>
          </w:p>
        </w:tc>
      </w:tr>
      <w:tr>
        <w:trPr>
          <w:cantSplit w:val="true"/>
        </w:trPr>
        <w:tc>
          <w:tcPr>
            <w:tcW w:type="dxa" w:w="25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Responsable de la restricción</w:t>
            </w:r>
          </w:p>
        </w:tc>
        <w:tc>
          <w:tcPr>
            <w:tcW w:type="dxa" w:w="706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Levanta la restricción asignada antes de la fecha requerida y aporta la evidencia.</w:t>
            </w:r>
          </w:p>
        </w:tc>
      </w:tr>
      <w:tr>
        <w:trPr>
          <w:cantSplit w:val="true"/>
        </w:trPr>
        <w:tc>
          <w:tcPr>
            <w:tcW w:type="dxa" w:w="257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Gerente de Construcción</w:t>
            </w:r>
          </w:p>
        </w:tc>
        <w:tc>
          <w:tcPr>
            <w:tcW w:type="dxa" w:w="706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Prioriza las restricciones críticas; resuelve conflictos de recursos; recibe el primer escalamiento.</w:t>
            </w:r>
          </w:p>
        </w:tc>
      </w:tr>
      <w:tr>
        <w:trPr>
          <w:cantSplit w:val="true"/>
        </w:trPr>
        <w:tc>
          <w:tcPr>
            <w:tcW w:type="dxa" w:w="25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Gerente de Proyecto</w:t>
            </w:r>
          </w:p>
        </w:tc>
        <w:tc>
          <w:tcPr>
            <w:tcW w:type="dxa" w:w="706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Resuelve las restricciones escaladas que afectan al lookahead o a la ruta crítica.</w:t>
            </w:r>
          </w:p>
        </w:tc>
      </w:tr>
      <w:tr>
        <w:trPr>
          <w:cantSplit w:val="true"/>
        </w:trPr>
        <w:tc>
          <w:tcPr>
            <w:tcW w:type="dxa" w:w="257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AWP Champion</w:t>
            </w:r>
          </w:p>
        </w:tc>
        <w:tc>
          <w:tcPr>
            <w:tcW w:type="dxa" w:w="706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Vela por el cumplimiento del procedimiento; gestiona las restricciones de interfaz entre fases; audita.</w:t>
            </w:r>
          </w:p>
        </w:tc>
      </w:tr>
      <w:tr>
        <w:trPr>
          <w:cantSplit w:val="true"/>
        </w:trPr>
        <w:tc>
          <w:tcPr>
            <w:tcW w:type="dxa" w:w="25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Superintendente</w:t>
            </w:r>
          </w:p>
        </w:tc>
        <w:tc>
          <w:tcPr>
            <w:tcW w:type="dxa" w:w="706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Selecciona del backlog solo IWP liberados; informa restricciones nuevas detectadas en campo.</w:t>
            </w:r>
          </w:p>
        </w:tc>
      </w:tr>
    </w:tbl>
    <w:p>
      <w:pPr>
        <w:spacing w:after="40"/>
      </w:pPr>
    </w:p>
    <w:p>
      <w:pPr>
        <w:pStyle w:val="Heading1"/>
      </w:pPr>
      <w:r>
        <w:t>6.  Tipos de restricción</w:t>
      </w:r>
    </w:p>
    <w:p>
      <w:r>
        <w:rPr>
          <w:b w:val="0"/>
        </w:rPr>
        <w:t>El registro usa una lista única de tipos para todas las fases. La anticipación indicada es el plazo mínimo recomendado entre la identificación y la fecha requerida.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927"/>
        <w:gridCol w:w="3855"/>
        <w:gridCol w:w="2570"/>
        <w:gridCol w:w="1285"/>
      </w:tblGrid>
      <w:tr>
        <w:trPr>
          <w:tblHeader w:val="true"/>
        </w:trPr>
        <w:tc>
          <w:tcPr>
            <w:tcW w:type="dxa" w:w="192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85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Ejemplos</w:t>
            </w:r>
          </w:p>
        </w:tc>
        <w:tc>
          <w:tcPr>
            <w:tcW w:type="dxa" w:w="257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Responsable habitual</w:t>
            </w:r>
          </w:p>
        </w:tc>
        <w:tc>
          <w:tcPr>
            <w:tcW w:type="dxa" w:w="128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Anticipación mínima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Ingeniería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Plano no emitido IFC, RFI abierta, revisión pendiente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Ingeniería</w:t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 semanas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Materiales</w:t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Material no recibido, no conforme o no reservado</w:t>
            </w:r>
          </w:p>
        </w:tc>
        <w:tc>
          <w:tcPr>
            <w:tcW w:type="dxa" w:w="257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Procura / Gestor de materiales</w:t>
            </w:r>
          </w:p>
        </w:tc>
        <w:tc>
          <w:tcPr>
            <w:tcW w:type="dxa" w:w="128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 semanas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Equipos de construcción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Grúa, plataforma o equipo pesado no disponible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Gerente de Construcción</w:t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 semanas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Permisos</w:t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Permiso de trabajo, excavación, trabajo en caliente, licencia</w:t>
            </w:r>
          </w:p>
        </w:tc>
        <w:tc>
          <w:tcPr>
            <w:tcW w:type="dxa" w:w="257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HSE</w:t>
            </w:r>
          </w:p>
        </w:tc>
        <w:tc>
          <w:tcPr>
            <w:tcW w:type="dxa" w:w="128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 semanas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Mano de obra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Cuadrilla o especialista no disponible, acreditaciones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Superintendente / capataz general</w:t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 semanas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Andamios</w:t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Andamio no solicitado, no montado o no inspeccionado</w:t>
            </w:r>
          </w:p>
        </w:tc>
        <w:tc>
          <w:tcPr>
            <w:tcW w:type="dxa" w:w="257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Superintendente / capataz general</w:t>
            </w:r>
          </w:p>
        </w:tc>
        <w:tc>
          <w:tcPr>
            <w:tcW w:type="dxa" w:w="128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 semanas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Acceso / interferencias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Frente ocupado por otra cuadrilla, vía cerrada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Gerente de Construcción</w:t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 semanas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Trabajos predecesores</w:t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Trabajo previo no terminado o no aceptado</w:t>
            </w:r>
          </w:p>
        </w:tc>
        <w:tc>
          <w:tcPr>
            <w:tcW w:type="dxa" w:w="257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Superintendente / capataz general</w:t>
            </w:r>
          </w:p>
        </w:tc>
        <w:tc>
          <w:tcPr>
            <w:tcW w:type="dxa" w:w="128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 semana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Calidad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ITP no aprobado, procedimiento no calificado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calidad (QA/QC)</w:t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 semanas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HSE</w:t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JHA no aprobado, plan de izaje pendiente</w:t>
            </w:r>
          </w:p>
        </w:tc>
        <w:tc>
          <w:tcPr>
            <w:tcW w:type="dxa" w:w="257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HSE</w:t>
            </w:r>
          </w:p>
        </w:tc>
        <w:tc>
          <w:tcPr>
            <w:tcW w:type="dxa" w:w="128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 semanas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Documentación del proveedor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Planos certificados o manuales pendientes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Procura</w:t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 semanas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Interfaz entre fases</w:t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Entrega de área o conexión de otra fase pendiente</w:t>
            </w:r>
          </w:p>
        </w:tc>
        <w:tc>
          <w:tcPr>
            <w:tcW w:type="dxa" w:w="257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AWP Champion</w:t>
            </w:r>
          </w:p>
        </w:tc>
        <w:tc>
          <w:tcPr>
            <w:tcW w:type="dxa" w:w="128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 semanas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9638"/>
      </w:tblGrid>
      <w:tr>
        <w:tc>
          <w:tcPr>
            <w:tcW w:type="dxa" w:w="9638"/>
            <w:shd w:val="clear" w:color="auto" w:fill="DCE6F2"/>
          </w:tcPr>
          <w:p>
            <w:r/>
            <w:r>
              <w:rPr>
                <w:b/>
                <w:color w:val="1F3864"/>
                <w:sz w:val="20"/>
              </w:rPr>
              <w:t>Restricciones por defecto</w:t>
            </w:r>
          </w:p>
          <w:p>
            <w:pPr>
              <w:spacing w:after="40"/>
            </w:pPr>
            <w:r>
              <w:rPr>
                <w:sz w:val="20"/>
              </w:rPr>
              <w:t>Todo IWP nuevo se registra con estas restricciones por defecto hasta verificarlas: planos IFC, materiales, permisos, andamios (si hay trabajo en altura), JHA e ITP. Esta regla incorpora la lección LA-03 de la Fase 1.</w:t>
            </w:r>
          </w:p>
        </w:tc>
      </w:tr>
    </w:tbl>
    <w:p>
      <w:pPr>
        <w:spacing w:after="40"/>
      </w:pPr>
    </w:p>
    <w:p>
      <w:pPr>
        <w:pStyle w:val="Heading1"/>
      </w:pPr>
      <w:r>
        <w:t>7.  Procedimiento</w:t>
      </w:r>
    </w:p>
    <w:p>
      <w:pPr>
        <w:pStyle w:val="Heading2"/>
      </w:pPr>
      <w:r>
        <w:t>7.1  Identificación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>Cuando un IWP entra en la ventana de planificación, el planificador revisa su alcance con planos, modelo 3D, estado de materiales, recursos y trabajos predecesores.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>Identifica toda condición que falte para ejecutar el IWP, incluidas las restricciones por defecto.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>Las restricciones detectadas en campo, en auditorías o en IWP devueltos se registran igual que las demás.</w:t>
      </w:r>
    </w:p>
    <w:p>
      <w:pPr>
        <w:pStyle w:val="Heading2"/>
      </w:pPr>
      <w:r>
        <w:t>7.2  Registro</w:t>
      </w:r>
    </w:p>
    <w:p>
      <w:pPr>
        <w:pStyle w:val="ListNumber"/>
        <w:numPr>
          <w:ilvl w:val="0"/>
          <w:numId w:val="11"/>
        </w:numPr>
      </w:pPr>
      <w:r>
        <w:rPr>
          <w:b w:val="0"/>
        </w:rPr>
        <w:t>Registrar cada restricción en Registro_Restricciones.xlsx con: ID correlativo, fase del proyecto, CWP, IWP, tipo, descripción verificable, responsable (rol y nombre), fecha identificada y fecha requerida.</w:t>
      </w:r>
    </w:p>
    <w:p>
      <w:pPr>
        <w:pStyle w:val="ListNumber"/>
        <w:numPr>
          <w:ilvl w:val="0"/>
          <w:numId w:val="11"/>
        </w:numPr>
      </w:pPr>
      <w:r>
        <w:rPr>
          <w:b w:val="0"/>
        </w:rPr>
        <w:t>La fecha requerida se toma del programa de liberación de IWP (restricciones levantadas antes de la ejecución: 3 semanas en las Fases 1 y 3, 4 semanas en la Fase 2).</w:t>
      </w:r>
    </w:p>
    <w:p>
      <w:pPr>
        <w:pStyle w:val="ListNumber"/>
        <w:numPr>
          <w:ilvl w:val="0"/>
          <w:numId w:val="11"/>
        </w:numPr>
      </w:pPr>
      <w:r>
        <w:rPr>
          <w:b w:val="0"/>
        </w:rPr>
        <w:t>Estado inicial: «Abierta».</w:t>
      </w:r>
    </w:p>
    <w:p>
      <w:pPr>
        <w:pStyle w:val="Heading2"/>
      </w:pPr>
      <w:r>
        <w:t>7.3  Asignación</w:t>
      </w:r>
    </w:p>
    <w:p>
      <w:pPr>
        <w:pStyle w:val="ListNumber"/>
        <w:numPr>
          <w:ilvl w:val="0"/>
          <w:numId w:val="12"/>
        </w:numPr>
      </w:pPr>
      <w:r>
        <w:rPr>
          <w:b w:val="0"/>
        </w:rPr>
        <w:t>En la reunión semanal se confirma el responsable y la fecha requerida de cada restricción nueva.</w:t>
      </w:r>
    </w:p>
    <w:p>
      <w:pPr>
        <w:pStyle w:val="ListNumber"/>
        <w:numPr>
          <w:ilvl w:val="0"/>
          <w:numId w:val="12"/>
        </w:numPr>
      </w:pPr>
      <w:r>
        <w:rPr>
          <w:b w:val="0"/>
        </w:rPr>
        <w:t>Cuando el responsable acepta y empieza a gestionarla, el estado pasa a «En gestión».</w:t>
      </w:r>
    </w:p>
    <w:p>
      <w:pPr>
        <w:pStyle w:val="Heading2"/>
      </w:pPr>
      <w:r>
        <w:t>7.4  Seguimiento semanal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204"/>
        <w:gridCol w:w="6024"/>
        <w:gridCol w:w="2409"/>
      </w:tblGrid>
      <w:tr>
        <w:trPr>
          <w:tblHeader w:val="true"/>
        </w:trPr>
        <w:tc>
          <w:tcPr>
            <w:tcW w:type="dxa" w:w="120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602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240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rPr>
          <w:cantSplit w:val="true"/>
        </w:trPr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Lunes</w:t>
            </w:r>
          </w:p>
        </w:tc>
        <w:tc>
          <w:tcPr>
            <w:tcW w:type="dxa" w:w="60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Actualizar el registro con las restricciones nuevas de los IWP que entran a la ventana.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Planificadores</w:t>
            </w:r>
          </w:p>
        </w:tc>
      </w:tr>
      <w:tr>
        <w:trPr>
          <w:cantSplit w:val="true"/>
        </w:trPr>
        <w:tc>
          <w:tcPr>
            <w:tcW w:type="dxa" w:w="12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Martes</w:t>
            </w:r>
          </w:p>
        </w:tc>
        <w:tc>
          <w:tcPr>
            <w:tcW w:type="dxa" w:w="602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Reunión de restricciones por fase: vencidas, por vencer (≤ 7 días) y nuevas.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WFP</w:t>
            </w:r>
          </w:p>
        </w:tc>
      </w:tr>
      <w:tr>
        <w:trPr>
          <w:cantSplit w:val="true"/>
        </w:trPr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Miércoles</w:t>
            </w:r>
          </w:p>
        </w:tc>
        <w:tc>
          <w:tcPr>
            <w:tcW w:type="dxa" w:w="60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Actualizar estado y adjuntar evidencia de liberación.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Responsables</w:t>
            </w:r>
          </w:p>
        </w:tc>
      </w:tr>
      <w:tr>
        <w:trPr>
          <w:cantSplit w:val="true"/>
        </w:trPr>
        <w:tc>
          <w:tcPr>
            <w:tcW w:type="dxa" w:w="12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Jueves</w:t>
            </w:r>
          </w:p>
        </w:tc>
        <w:tc>
          <w:tcPr>
            <w:tcW w:type="dxa" w:w="602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Reunión de lookahead de 3 semanas: selección de IWP liberados del backlog.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Gerente de Construcción</w:t>
            </w:r>
          </w:p>
        </w:tc>
      </w:tr>
      <w:tr>
        <w:trPr>
          <w:cantSplit w:val="true"/>
        </w:trPr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Viernes</w:t>
            </w:r>
          </w:p>
        </w:tc>
        <w:tc>
          <w:tcPr>
            <w:tcW w:type="dxa" w:w="60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Liberar los IWP de la semana siguiente con el checklist y publicar KPI.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WFP</w:t>
            </w:r>
          </w:p>
        </w:tc>
      </w:tr>
    </w:tbl>
    <w:p>
      <w:pPr>
        <w:spacing w:after="40"/>
      </w:pPr>
    </w:p>
    <w:p>
      <w:pPr>
        <w:pStyle w:val="Heading2"/>
      </w:pPr>
      <w:r>
        <w:t>7.5  Escalamiento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760"/>
        <w:gridCol w:w="4439"/>
        <w:gridCol w:w="2536"/>
        <w:gridCol w:w="1902"/>
      </w:tblGrid>
      <w:tr>
        <w:trPr>
          <w:tblHeader w:val="true"/>
        </w:trPr>
        <w:tc>
          <w:tcPr>
            <w:tcW w:type="dxa" w:w="76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443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253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Escala a</w:t>
            </w:r>
          </w:p>
        </w:tc>
        <w:tc>
          <w:tcPr>
            <w:tcW w:type="dxa" w:w="190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Plazo de respuesta</w:t>
            </w:r>
          </w:p>
        </w:tc>
      </w:tr>
      <w:tr>
        <w:trPr>
          <w:cantSplit w:val="true"/>
        </w:trPr>
        <w:tc>
          <w:tcPr>
            <w:tcW w:type="dxa" w:w="7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43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Restricción abierta a 7 días o menos de su fecha requerida</w:t>
            </w:r>
          </w:p>
        </w:tc>
        <w:tc>
          <w:tcPr>
            <w:tcW w:type="dxa" w:w="25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Gerente de Construcción</w:t>
            </w:r>
          </w:p>
        </w:tc>
        <w:tc>
          <w:tcPr>
            <w:tcW w:type="dxa" w:w="190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 días</w:t>
            </w:r>
          </w:p>
        </w:tc>
      </w:tr>
      <w:tr>
        <w:trPr>
          <w:cantSplit w:val="true"/>
        </w:trPr>
        <w:tc>
          <w:tcPr>
            <w:tcW w:type="dxa" w:w="76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43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Restricción vencida que afecta a un IWP del lookahead</w:t>
            </w:r>
          </w:p>
        </w:tc>
        <w:tc>
          <w:tcPr>
            <w:tcW w:type="dxa" w:w="253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Gerente de Proyecto</w:t>
            </w:r>
          </w:p>
        </w:tc>
        <w:tc>
          <w:tcPr>
            <w:tcW w:type="dxa" w:w="190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 días</w:t>
            </w:r>
          </w:p>
        </w:tc>
      </w:tr>
      <w:tr>
        <w:trPr>
          <w:cantSplit w:val="true"/>
        </w:trPr>
        <w:tc>
          <w:tcPr>
            <w:tcW w:type="dxa" w:w="7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43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Restricción vencida que afecta a la ruta crítica o a otra fase</w:t>
            </w:r>
          </w:p>
        </w:tc>
        <w:tc>
          <w:tcPr>
            <w:tcW w:type="dxa" w:w="25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Comité AWP / cliente</w:t>
            </w:r>
          </w:p>
        </w:tc>
        <w:tc>
          <w:tcPr>
            <w:tcW w:type="dxa" w:w="190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Próxima reunión o convocatoria extraordinaria</w:t>
            </w:r>
          </w:p>
        </w:tc>
      </w:tr>
    </w:tbl>
    <w:p>
      <w:pPr>
        <w:spacing w:after="40"/>
      </w:pPr>
    </w:p>
    <w:p>
      <w:pPr>
        <w:pStyle w:val="Heading2"/>
      </w:pPr>
      <w:r>
        <w:t>7.6  Liberación de la restricción</w:t>
      </w:r>
    </w:p>
    <w:p>
      <w:pPr>
        <w:pStyle w:val="ListNumber"/>
        <w:numPr>
          <w:ilvl w:val="0"/>
          <w:numId w:val="13"/>
        </w:numPr>
      </w:pPr>
      <w:r>
        <w:rPr>
          <w:b w:val="0"/>
        </w:rPr>
        <w:t>El responsable informa la liberación con evidencia verificable (transmittal IFC, vale de almacén, permiso aprobado, acta de inspección de andamio, etc.).</w:t>
      </w:r>
    </w:p>
    <w:p>
      <w:pPr>
        <w:pStyle w:val="ListNumber"/>
        <w:numPr>
          <w:ilvl w:val="0"/>
          <w:numId w:val="13"/>
        </w:numPr>
      </w:pPr>
      <w:r>
        <w:rPr>
          <w:b w:val="0"/>
        </w:rPr>
        <w:t>El planificador verifica la evidencia, registra la fecha de liberación y cambia el estado a «Liberada».</w:t>
      </w:r>
    </w:p>
    <w:p>
      <w:pPr>
        <w:pStyle w:val="ListNumber"/>
        <w:numPr>
          <w:ilvl w:val="0"/>
          <w:numId w:val="13"/>
        </w:numPr>
      </w:pPr>
      <w:r>
        <w:rPr>
          <w:b w:val="0"/>
        </w:rPr>
        <w:t>Si la restricción deja de aplicar, se marca «Cancelada» con la justificación en observaciones.</w:t>
      </w:r>
    </w:p>
    <w:p>
      <w:pPr>
        <w:pStyle w:val="Heading2"/>
      </w:pPr>
      <w:r>
        <w:t>7.7  Liberación del IWP</w:t>
      </w:r>
    </w:p>
    <w:p>
      <w:pPr>
        <w:pStyle w:val="ListNumber"/>
        <w:numPr>
          <w:ilvl w:val="0"/>
          <w:numId w:val="14"/>
        </w:numPr>
      </w:pPr>
      <w:r>
        <w:rPr>
          <w:b w:val="0"/>
        </w:rPr>
        <w:t>Cuando todas las restricciones del IWP están liberadas o canceladas, el planificador aplica el checklist de liberación (Checklist_Liberacion_IWP.xlsx).</w:t>
      </w:r>
    </w:p>
    <w:p>
      <w:pPr>
        <w:pStyle w:val="ListNumber"/>
        <w:numPr>
          <w:ilvl w:val="0"/>
          <w:numId w:val="14"/>
        </w:numPr>
      </w:pPr>
      <w:r>
        <w:rPr>
          <w:b w:val="0"/>
        </w:rPr>
        <w:t>Si el resultado es «LIBERAR», el superintendente y el Líder de WFP firman la sección de liberación del IWP y este ingresa al backlog.</w:t>
      </w:r>
    </w:p>
    <w:p>
      <w:pPr>
        <w:pStyle w:val="ListNumber"/>
        <w:numPr>
          <w:ilvl w:val="0"/>
          <w:numId w:val="14"/>
        </w:numPr>
      </w:pPr>
      <w:r>
        <w:rPr>
          <w:b w:val="0"/>
        </w:rPr>
        <w:t>Si no, las condiciones faltantes se registran como nuevas restricciones.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93669" cy="6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a2bcc2b325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3669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1. Proceso de liberación de IWP</w:t>
      </w:r>
    </w:p>
    <w:p>
      <w:pPr>
        <w:pStyle w:val="Heading2"/>
      </w:pPr>
      <w:r>
        <w:t>7.8  IWP devuelto de campo</w:t>
      </w:r>
    </w:p>
    <w:p>
      <w:r>
        <w:rPr>
          <w:b w:val="0"/>
        </w:rPr>
        <w:t>Si un IWP se retira de campo sin terminar por una restricción no detectada: se registra la causa en el cierre del IWP, se crea la restricción en el registro, el trabajo pendiente se reprograma (nuevo IWP o revisión) y se evalúa una lección aprendida. El KPI K09 mide estos casos.</w:t>
      </w:r>
    </w:p>
    <w:p>
      <w:pPr>
        <w:pStyle w:val="Heading1"/>
      </w:pPr>
      <w:r>
        <w:t>8.  Plazos por fase del proyecto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855"/>
        <w:gridCol w:w="1927"/>
        <w:gridCol w:w="1927"/>
        <w:gridCol w:w="1927"/>
      </w:tblGrid>
      <w:tr>
        <w:trPr>
          <w:tblHeader w:val="true"/>
        </w:trPr>
        <w:tc>
          <w:tcPr>
            <w:tcW w:type="dxa" w:w="385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 1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 2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 3</w:t>
            </w:r>
          </w:p>
        </w:tc>
      </w:tr>
      <w:tr>
        <w:trPr>
          <w:cantSplit w:val="true"/>
        </w:trPr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Ventana de planificación de IWP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 semanas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 semanas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 semanas</w:t>
            </w:r>
          </w:p>
        </w:tc>
      </w:tr>
      <w:tr>
        <w:trPr>
          <w:cantSplit w:val="true"/>
        </w:trPr>
        <w:tc>
          <w:tcPr>
            <w:tcW w:type="dxa" w:w="385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Restricciones identificadas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 semanas antes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 semanas antes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 semanas antes</w:t>
            </w:r>
          </w:p>
        </w:tc>
      </w:tr>
      <w:tr>
        <w:trPr>
          <w:cantSplit w:val="true"/>
        </w:trPr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Restricciones asignadas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 semanas antes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 semanas antes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 semanas antes</w:t>
            </w:r>
          </w:p>
        </w:tc>
      </w:tr>
      <w:tr>
        <w:trPr>
          <w:cantSplit w:val="true"/>
        </w:trPr>
        <w:tc>
          <w:tcPr>
            <w:tcW w:type="dxa" w:w="385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Restricciones levantadas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 semanas antes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 semanas antes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 semanas antes</w:t>
            </w:r>
          </w:p>
        </w:tc>
      </w:tr>
      <w:tr>
        <w:trPr>
          <w:cantSplit w:val="true"/>
        </w:trPr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Liberación (ingreso al backlog)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 semanas antes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 a 4 semanas antes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 semanas antes</w:t>
            </w:r>
          </w:p>
        </w:tc>
      </w:tr>
      <w:tr>
        <w:trPr>
          <w:cantSplit w:val="true"/>
        </w:trPr>
        <w:tc>
          <w:tcPr>
            <w:tcW w:type="dxa" w:w="385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Backlog objetivo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≥ 2 semanas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 a 4 semanas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 a 4 semanas</w:t>
            </w:r>
          </w:p>
        </w:tc>
      </w:tr>
      <w:tr>
        <w:trPr>
          <w:cantSplit w:val="true"/>
        </w:trPr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Tolerancia de IWP liberados con restricciones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≤ 15 %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≤ 5 %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≤ 2 %</w:t>
            </w:r>
          </w:p>
        </w:tc>
      </w:tr>
    </w:tbl>
    <w:p>
      <w:pPr>
        <w:spacing w:after="40"/>
      </w:pPr>
    </w:p>
    <w:p>
      <w:pPr>
        <w:pStyle w:val="Heading1"/>
      </w:pPr>
      <w:r>
        <w:t>9.  Restricciones de interfaz entre fases</w:t>
      </w:r>
    </w:p>
    <w:p>
      <w:pPr>
        <w:pStyle w:val="ListBullet"/>
      </w:pPr>
      <w:r>
        <w:rPr>
          <w:b w:val="0"/>
        </w:rPr>
        <w:t>Se registran con el tipo «Interfaz entre fases» y la fase del proyecto que recibe el trabajo.</w:t>
      </w:r>
    </w:p>
    <w:p>
      <w:pPr>
        <w:pStyle w:val="ListBullet"/>
      </w:pPr>
      <w:r>
        <w:rPr>
          <w:b w:val="0"/>
        </w:rPr>
        <w:t>Su responsable es el AWP Champion, que coordina con los gerentes de construcción de ambas fases.</w:t>
      </w:r>
    </w:p>
    <w:p>
      <w:pPr>
        <w:pStyle w:val="ListBullet"/>
      </w:pPr>
      <w:r>
        <w:rPr>
          <w:b w:val="0"/>
        </w:rPr>
        <w:t>Durante la superposición de fases, la reunión de restricciones revisa las interfaces antes que las demás.</w:t>
      </w:r>
    </w:p>
    <w:p>
      <w:pPr>
        <w:pStyle w:val="ListBullet"/>
      </w:pPr>
      <w:r>
        <w:rPr>
          <w:b w:val="0"/>
        </w:rPr>
        <w:t>Las entregas de área entre fases se liberan con acta de entrega firmada por ambas fases.</w:t>
      </w:r>
    </w:p>
    <w:p>
      <w:pPr>
        <w:pStyle w:val="Heading1"/>
      </w:pPr>
      <w:r>
        <w:t>10.  Indicadores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12"/>
        <w:gridCol w:w="4217"/>
        <w:gridCol w:w="2409"/>
      </w:tblGrid>
      <w:tr>
        <w:trPr>
          <w:tblHeader w:val="true"/>
        </w:trPr>
        <w:tc>
          <w:tcPr>
            <w:tcW w:type="dxa" w:w="301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421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Fórmula</w:t>
            </w:r>
          </w:p>
        </w:tc>
        <w:tc>
          <w:tcPr>
            <w:tcW w:type="dxa" w:w="240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Meta F1 / F2 / F3</w:t>
            </w:r>
          </w:p>
        </w:tc>
      </w:tr>
      <w:tr>
        <w:trPr>
          <w:cantSplit w:val="true"/>
        </w:trPr>
        <w:tc>
          <w:tcPr>
            <w:tcW w:type="dxa" w:w="301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K03 IWP liberados sin restricciones</w:t>
            </w:r>
          </w:p>
        </w:tc>
        <w:tc>
          <w:tcPr>
            <w:tcW w:type="dxa" w:w="421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IWP liberados sin restricciones abiertas ÷ IWP liberados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≥ 85 % / 95 % / 98 %</w:t>
            </w:r>
          </w:p>
        </w:tc>
      </w:tr>
      <w:tr>
        <w:trPr>
          <w:cantSplit w:val="true"/>
        </w:trPr>
        <w:tc>
          <w:tcPr>
            <w:tcW w:type="dxa" w:w="301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K05 Restricciones liberadas a tiempo</w:t>
            </w:r>
          </w:p>
        </w:tc>
        <w:tc>
          <w:tcPr>
            <w:tcW w:type="dxa" w:w="421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Liberadas en o antes de la fecha requerida ÷ liberadas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≥ 80 % / 90 % / 95 %</w:t>
            </w:r>
          </w:p>
        </w:tc>
      </w:tr>
      <w:tr>
        <w:trPr>
          <w:cantSplit w:val="true"/>
        </w:trPr>
        <w:tc>
          <w:tcPr>
            <w:tcW w:type="dxa" w:w="301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K06 Atraso promedio de restricciones</w:t>
            </w:r>
          </w:p>
        </w:tc>
        <w:tc>
          <w:tcPr>
            <w:tcW w:type="dxa" w:w="421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Días de atraso promedio de las vencidas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≤ 7 / 5 / 3 días</w:t>
            </w:r>
          </w:p>
        </w:tc>
      </w:tr>
      <w:tr>
        <w:trPr>
          <w:cantSplit w:val="true"/>
        </w:trPr>
        <w:tc>
          <w:tcPr>
            <w:tcW w:type="dxa" w:w="301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K09 IWP devueltos</w:t>
            </w:r>
          </w:p>
        </w:tc>
        <w:tc>
          <w:tcPr>
            <w:tcW w:type="dxa" w:w="421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IWP devueltos ÷ IWP entregados a campo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≤ 8 % / 5 % / 3 %</w:t>
            </w:r>
          </w:p>
        </w:tc>
      </w:tr>
    </w:tbl>
    <w:p>
      <w:pPr>
        <w:spacing w:after="40"/>
      </w:pPr>
    </w:p>
    <w:p>
      <w:pPr>
        <w:pStyle w:val="Heading1"/>
      </w:pPr>
      <w:r>
        <w:t>11.  Registros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855"/>
        <w:gridCol w:w="2570"/>
        <w:gridCol w:w="3213"/>
      </w:tblGrid>
      <w:tr>
        <w:trPr>
          <w:tblHeader w:val="true"/>
        </w:trPr>
        <w:tc>
          <w:tcPr>
            <w:tcW w:type="dxa" w:w="385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Registro</w:t>
            </w:r>
          </w:p>
        </w:tc>
        <w:tc>
          <w:tcPr>
            <w:tcW w:type="dxa" w:w="257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321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Conservación</w:t>
            </w:r>
          </w:p>
        </w:tc>
      </w:tr>
      <w:tr>
        <w:trPr>
          <w:cantSplit w:val="true"/>
        </w:trPr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Registro_Restricciones.xlsx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WFP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Hasta el cierre del proyecto</w:t>
            </w:r>
          </w:p>
        </w:tc>
      </w:tr>
      <w:tr>
        <w:trPr>
          <w:cantSplit w:val="true"/>
        </w:trPr>
        <w:tc>
          <w:tcPr>
            <w:tcW w:type="dxa" w:w="385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Checklist de liberación de cada IWP</w:t>
            </w:r>
          </w:p>
        </w:tc>
        <w:tc>
          <w:tcPr>
            <w:tcW w:type="dxa" w:w="257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Planificador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 el dossier del IWP</w:t>
            </w:r>
          </w:p>
        </w:tc>
      </w:tr>
      <w:tr>
        <w:trPr>
          <w:cantSplit w:val="true"/>
        </w:trPr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Actas de la reunión semanal de restricciones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WFP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Hasta el cierre de la fase</w:t>
            </w:r>
          </w:p>
        </w:tc>
      </w:tr>
    </w:tbl>
    <w:p>
      <w:pPr>
        <w:spacing w:after="40"/>
      </w:pPr>
    </w:p>
    <w:p>
      <w:pPr>
        <w:pStyle w:val="Heading1"/>
      </w:pPr>
      <w:r>
        <w:t>12.  Control de cambios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204"/>
        <w:gridCol w:w="1807"/>
        <w:gridCol w:w="4819"/>
        <w:gridCol w:w="1807"/>
      </w:tblGrid>
      <w:tr>
        <w:trPr>
          <w:tblHeader w:val="true"/>
        </w:trPr>
        <w:tc>
          <w:tcPr>
            <w:tcW w:type="dxa" w:w="120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Revisión</w:t>
            </w:r>
          </w:p>
        </w:tc>
        <w:tc>
          <w:tcPr>
            <w:tcW w:type="dxa" w:w="180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481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Descripción del cambio</w:t>
            </w:r>
          </w:p>
        </w:tc>
        <w:tc>
          <w:tcPr>
            <w:tcW w:type="dxa" w:w="180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Aprobó</w:t>
            </w:r>
          </w:p>
        </w:tc>
      </w:tr>
      <w:tr>
        <w:trPr>
          <w:cantSplit w:val="true"/>
        </w:trPr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0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25/09/2026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Emisión inicial.</w:t>
            </w:r>
          </w:p>
        </w:tc>
        <w:tc>
          <w:tcPr>
            <w:tcW w:type="dxa" w:w="180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Gerente de Proyecto</w:t>
            </w:r>
          </w:p>
        </w:tc>
      </w:tr>
      <w:tr>
        <w:trPr>
          <w:cantSplit w:val="true"/>
        </w:trPr>
        <w:tc>
          <w:tcPr>
            <w:tcW w:type="dxa" w:w="12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2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0"/>
      <w:footerReference w:type="default" r:id="rId11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</w:r>
    <w:r>
      <w:rPr>
        <w:color w:val="595959"/>
        <w:sz w:val="17"/>
      </w:rPr>
      <w:t xml:space="preserve">Proyecto Tipo (PT) – Complejo de instalaciones en tres fases   ·  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PAGE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NUMPAGES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1F3864"/>
      </w:pBdr>
    </w:pPr>
    <w:r/>
    <w:r>
      <w:rPr>
        <w:color w:val="595959"/>
        <w:sz w:val="17"/>
      </w:rPr>
      <w:t>Kit de implementación de AWP  |  Procedimiento de gestión de restricciones</w:t>
    </w:r>
    <w:r>
      <w:tab/>
    </w:r>
    <w:r>
      <w:rPr>
        <w:color w:val="595959"/>
        <w:sz w:val="17"/>
      </w:rPr>
      <w:t>PT-AWP-PRO-001 Rev.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" w:eastAsiaTheme="majorEastAsia" w:hAnsiTheme="" w:cstheme="majorBidi" w:ascii="Calibri" w:hAnsi="Calibri"/>
      <w:b/>
      <w:bCs/>
      <w:i w:val="0"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" w:eastAsiaTheme="majorEastAsia" w:hAnsiTheme="" w:cstheme="majorBidi" w:ascii="Calibri" w:hAnsi="Calibri"/>
      <w:b/>
      <w:bCs/>
      <w:i w:val="0"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" w:eastAsiaTheme="majorEastAsia" w:hAnsiTheme="" w:cstheme="majorBidi" w:ascii="Calibri" w:hAnsi="Calibri"/>
      <w:b/>
      <w:bCs/>
      <w:i w:val="0"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" w:eastAsiaTheme="majorEastAsia" w:hAnsiTheme="" w:cstheme="majorBidi" w:ascii="Calibri" w:hAnsi="Calibri"/>
      <w:b/>
      <w:bCs/>
      <w:i w:val="0"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de gestión de restricciones</dc:title>
  <dc:subject>Proyecto Tipo (PT) – Complejo de instalaciones en tres fases</dc:subject>
  <dc:creator>Kit de implementación AWP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