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맑은 고딕" w:hAnsi="맑은 고딕"/>
          <w:b/>
          <w:color w:val="2E7D32"/>
          <w:sz w:val="56"/>
        </w:rPr>
        <w:t>자기소개서</w:t>
      </w:r>
    </w:p>
    <w:p>
      <w:pPr>
        <w:jc w:val="center"/>
      </w:pPr>
      <w:r>
        <w:rPr>
          <w:rFonts w:ascii="맑은 고딕" w:hAnsi="맑은 고딕"/>
          <w:color w:val="666666"/>
          <w:sz w:val="28"/>
        </w:rPr>
        <w:t>2026년 상반기 농·축협 신규직원 채용</w:t>
      </w:r>
    </w:p>
    <w:p/>
    <w:tbl>
      <w:tblPr>
        <w:tblStyle w:val="LightShading-Accent1"/>
        <w:tblW w:type="auto" w:w="0"/>
        <w:tblLook w:firstColumn="1" w:firstRow="1" w:lastColumn="0" w:lastRow="0" w:noHBand="0" w:noVBand="1" w:val="04A0"/>
      </w:tblPr>
      <w:tblGrid>
        <w:gridCol w:w="4320"/>
        <w:gridCol w:w="4320"/>
      </w:tblGrid>
      <w:tr>
        <w:tc>
          <w:tcPr>
            <w:tcW w:type="dxa" w:w="4320"/>
          </w:tcPr>
          <w:p>
            <w:pPr>
              <w:jc w:val="left"/>
            </w:pPr>
            <w:r>
              <w:rPr>
                <w:rFonts w:ascii="맑은 고딕" w:hAnsi="맑은 고딕"/>
                <w:sz w:val="22"/>
              </w:rPr>
              <w:t>지원자</w:t>
            </w:r>
          </w:p>
        </w:tc>
        <w:tc>
          <w:tcPr>
            <w:tcW w:type="dxa" w:w="4320"/>
          </w:tcPr>
          <w:p>
            <w:pPr>
              <w:jc w:val="left"/>
            </w:pPr>
            <w:r>
              <w:rPr>
                <w:rFonts w:ascii="맑은 고딕" w:hAnsi="맑은 고딕"/>
                <w:sz w:val="22"/>
              </w:rPr>
              <w:t>원동아</w:t>
            </w:r>
          </w:p>
        </w:tc>
      </w:tr>
      <w:tr>
        <w:tc>
          <w:tcPr>
            <w:tcW w:type="dxa" w:w="4320"/>
          </w:tcPr>
          <w:p>
            <w:pPr>
              <w:jc w:val="left"/>
            </w:pPr>
            <w:r>
              <w:rPr>
                <w:rFonts w:ascii="맑은 고딕" w:hAnsi="맑은 고딕"/>
                <w:sz w:val="22"/>
              </w:rPr>
              <w:t>지원기관</w:t>
            </w:r>
          </w:p>
        </w:tc>
        <w:tc>
          <w:tcPr>
            <w:tcW w:type="dxa" w:w="4320"/>
          </w:tcPr>
          <w:p>
            <w:pPr>
              <w:jc w:val="left"/>
            </w:pPr>
            <w:r>
              <w:rPr>
                <w:rFonts w:ascii="맑은 고딕" w:hAnsi="맑은 고딕"/>
                <w:sz w:val="22"/>
              </w:rPr>
              <w:t>농·축협</w:t>
            </w:r>
          </w:p>
        </w:tc>
      </w:tr>
      <w:tr>
        <w:tc>
          <w:tcPr>
            <w:tcW w:type="dxa" w:w="4320"/>
          </w:tcPr>
          <w:p>
            <w:pPr>
              <w:jc w:val="left"/>
            </w:pPr>
            <w:r>
              <w:rPr>
                <w:rFonts w:ascii="맑은 고딕" w:hAnsi="맑은 고딕"/>
                <w:sz w:val="22"/>
              </w:rPr>
              <w:t>지원직무</w:t>
            </w:r>
          </w:p>
        </w:tc>
        <w:tc>
          <w:tcPr>
            <w:tcW w:type="dxa" w:w="4320"/>
          </w:tcPr>
          <w:p>
            <w:pPr>
              <w:jc w:val="left"/>
            </w:pPr>
            <w:r>
              <w:rPr>
                <w:rFonts w:ascii="맑은 고딕" w:hAnsi="맑은 고딕"/>
                <w:sz w:val="22"/>
              </w:rPr>
              <w:t>일반관리직 6급</w:t>
            </w:r>
          </w:p>
        </w:tc>
      </w:tr>
      <w:tr>
        <w:tc>
          <w:tcPr>
            <w:tcW w:type="dxa" w:w="4320"/>
          </w:tcPr>
          <w:p>
            <w:pPr>
              <w:jc w:val="left"/>
            </w:pPr>
            <w:r>
              <w:rPr>
                <w:rFonts w:ascii="맑은 고딕" w:hAnsi="맑은 고딕"/>
                <w:sz w:val="22"/>
              </w:rPr>
              <w:t>경력단계</w:t>
            </w:r>
          </w:p>
        </w:tc>
        <w:tc>
          <w:tcPr>
            <w:tcW w:type="dxa" w:w="4320"/>
          </w:tcPr>
          <w:p>
            <w:pPr>
              <w:jc w:val="left"/>
            </w:pPr>
            <w:r>
              <w:rPr>
                <w:rFonts w:ascii="맑은 고딕" w:hAnsi="맑은 고딕"/>
                <w:sz w:val="22"/>
              </w:rPr>
              <w:t>경력 (인턴/파견/아르바이트 다수)</w:t>
            </w:r>
          </w:p>
        </w:tc>
      </w:tr>
    </w:tbl>
    <w:p>
      <w:r>
        <w:br w:type="page"/>
      </w:r>
    </w:p>
    <w:p>
      <w:pPr>
        <w:pStyle w:val="Heading2"/>
      </w:pPr>
      <w:r>
        <w:rPr>
          <w:rFonts w:ascii="맑은 고딕" w:hAnsi="맑은 고딕"/>
          <w:color w:val="2E7D32"/>
        </w:rPr>
        <w:t>Q1. 본인의 발전을 위해 노력했던 경험 중 성장 가능성을 가장 잘 보여주는 사례와 농협 업무 활용</w:t>
      </w:r>
    </w:p>
    <w:p>
      <w:pPr>
        <w:spacing w:after="160"/>
      </w:pPr>
      <w:r>
        <w:rPr>
          <w:rFonts w:ascii="맑은 고딕" w:hAnsi="맑은 고딕"/>
          <w:sz w:val="22"/>
        </w:rPr>
        <w:t>목표 달성을 넘어 데이터 분석과 효율적 프로세스로 성과를 확장했습니다. 단순히 주어진 업무를 처리하는 데 그치지 않고, 어떻게 하면 더 정확하고 빠르게 할 수 있을지 끊임없이 고민하며 업무 방식을 개선했습니다.</w:t>
      </w:r>
    </w:p>
    <w:p>
      <w:pPr>
        <w:spacing w:after="160"/>
      </w:pPr>
      <w:r>
        <w:rPr>
          <w:rFonts w:ascii="맑은 고딕" w:hAnsi="맑은 고딕"/>
          <w:sz w:val="22"/>
        </w:rPr>
        <w:t>국민연금공단 강남역삼지사 연금지급부 청년인턴으로 기초연금 수급 대상자 발굴 업무를 담당했습니다. 기존 방식은 연금액 기준 단순 필터링 후 무작위 전화로 자산과 소득이 미반영되어 정확도가 떨어졌습니다. 저는 VLOOKUP, TEXT, CONCATENATE 함수로 연금액과 부동산 공시지가와 소득을 동시에 반영하는 엑셀 자동 필터링 시스템을 구축했습니다. 또한 3,000페이지 서류를 카테고리별로 구분하고 시급성에 따라 우선순위를 설정해 2일 만에 정리했습니다.</w:t>
      </w:r>
    </w:p>
    <w:p>
      <w:pPr>
        <w:spacing w:after="160"/>
      </w:pPr>
      <w:r>
        <w:rPr>
          <w:rFonts w:ascii="맑은 고딕" w:hAnsi="맑은 고딕"/>
          <w:sz w:val="22"/>
        </w:rPr>
        <w:t>그 결과 발굴 목표 150건을 초과 달성하여 불필요한 전화 업무를 대폭 축소하고 업무 속도를 1주일 단축했습니다. 이 경험으로 데이터 기반 대상자 선별과 효율적 프로세스 운영 역량을 키웠으며 농협 일반관리직 실무에 바로 활용될 수 있습니다.</w:t>
      </w:r>
    </w:p>
    <w:p/>
    <w:p>
      <w:pPr>
        <w:pStyle w:val="Heading2"/>
      </w:pPr>
      <w:r>
        <w:rPr>
          <w:rFonts w:ascii="맑은 고딕" w:hAnsi="맑은 고딕"/>
          <w:color w:val="2E7D32"/>
        </w:rPr>
        <w:t>Q2. 판단이 쉽지 않은 상황에서 의사결정을 내렸던 경험</w:t>
      </w:r>
    </w:p>
    <w:p>
      <w:pPr>
        <w:spacing w:after="160"/>
      </w:pPr>
      <w:r>
        <w:rPr>
          <w:rFonts w:ascii="맑은 고딕" w:hAnsi="맑은 고딕"/>
          <w:sz w:val="22"/>
        </w:rPr>
        <w:t>공공기관 파견 근무 시 의료인력 숙박비 지원 업무에서 판단이 쉽지 않은 허위 청구 의심 건을 포착했습니다. 담당 사무관이 휴가 중이어서 혼자서 판단하고 결정해야 하는 상황이었고, 단순 의심으로 끝낼지 적극적으로 검증할지 고민이 깊었습니다.</w:t>
      </w:r>
    </w:p>
    <w:p>
      <w:pPr>
        <w:spacing w:after="160"/>
      </w:pPr>
      <w:r>
        <w:rPr>
          <w:rFonts w:ascii="맑은 고딕" w:hAnsi="맑은 고딕"/>
          <w:sz w:val="22"/>
        </w:rPr>
        <w:t>월 10만원 청구가 시세 40~50만원과 동떨어진 점을 먼저 엑셀 필터로 평균값에서 크게 이탈한 청구 건을 자동 분류해 이상 징후를 파악했습니다. 감정에 의존하지 않고 데이터로 접근한 것입니다. 이후 부동산 앱 검색과 공인중개사 전화, 임대업자 위장 문의로 교차 검증하여 허위 거래를 입증했습니다. 또한 외주 시스템 도입 추진 건은 엑셀과 기능 비교 분석 보고서를 작성해 1억 원 예산 낭비를 방지했습니다.</w:t>
      </w:r>
    </w:p>
    <w:p>
      <w:pPr>
        <w:spacing w:after="160"/>
      </w:pPr>
      <w:r>
        <w:rPr>
          <w:rFonts w:ascii="맑은 고딕" w:hAnsi="맑은 고딕"/>
          <w:sz w:val="22"/>
        </w:rPr>
        <w:t>이 과정에서 얻은 원칙은 의심은 데이터로 시작하고 현장 확인으로 마무리한다는 것입니다. 농협에서도 대출 심사나 조합원 지원 대상 선정 시 동일한 기준으로 공정하고 정확한 판단을 내리겠습니다. 이 원칙을 견지하며 조합원의 자산을 지키는 역할을 하겠습니다.</w:t>
      </w:r>
    </w:p>
    <w:p/>
    <w:p>
      <w:pPr>
        <w:pStyle w:val="Heading2"/>
      </w:pPr>
      <w:r>
        <w:rPr>
          <w:rFonts w:ascii="맑은 고딕" w:hAnsi="맑은 고딕"/>
          <w:color w:val="2E7D32"/>
        </w:rPr>
        <w:t>Q3. 조직이나 팀에서 맡은 역할을 수행하며 동료나 구성원의 신뢰를 얻게 되었던 경험</w:t>
      </w:r>
    </w:p>
    <w:p>
      <w:pPr>
        <w:spacing w:after="160"/>
      </w:pPr>
      <w:r>
        <w:rPr>
          <w:rFonts w:ascii="맑은 고딕" w:hAnsi="맑은 고딕"/>
          <w:sz w:val="22"/>
        </w:rPr>
        <w:t>공공기관 파견 시 고령 직원과 젊은 직원 사이에 엑셀 수식 도입에 대한 이견이 있었습니다. 기존 직원은 익숙한 방식을 고수했고, 젊은 직원은 효율성을 주장하며 갈등이 깊어졌습니다. 저는 양측의 입장을 모두 경청하고 조율하는 역할을 자처했습니다.</w:t>
      </w:r>
    </w:p>
    <w:p>
      <w:pPr>
        <w:spacing w:after="160"/>
      </w:pPr>
      <w:r>
        <w:rPr>
          <w:rFonts w:ascii="맑은 고딕" w:hAnsi="맑은 고딕"/>
          <w:sz w:val="22"/>
        </w:rPr>
        <w:t>기존 직원의 경험을 존중하면서도 새 수식의 장점을 구체적으로 설명했습니다. 기존 방식과 새 방식을 병행하는 절충안을 제시하고, 데이터 분리 저장으로 속도 문제를 직접 해결해 보여주었습니다. 업무 효율을 30% 높였습니다.</w:t>
      </w:r>
    </w:p>
    <w:p>
      <w:pPr>
        <w:spacing w:after="160"/>
      </w:pPr>
      <w:r>
        <w:rPr>
          <w:rFonts w:ascii="맑은 고딕" w:hAnsi="맑은 고딕"/>
          <w:sz w:val="22"/>
        </w:rPr>
        <w:t>또한 공공기관 행사에서는 수기 출석부를 구글 폼과 스프레드시트로 디지털화하고 직책별 업무 범위를 명확히 정리한 자료를 배포해 조직 내 갈등을 해소했습니다. 시간과 인력 소모를 50% 절약하고 오류율을 90% 감소시킨 성과도 얻었습니다. 신뢰는 일방적 설득이 아니라 상대의 입장을 먼저 듣고 함께 해결책을 모색할 때 생긴다고 믿습니다. 농협에서도 교육지원과 경제와 금융을 잇는 복합 조직에서 협업형 태도로 시너지를 창출하겠습니다.</w:t>
      </w:r>
    </w:p>
    <w:p/>
    <w:p>
      <w:pPr>
        <w:pStyle w:val="Heading2"/>
      </w:pPr>
      <w:r>
        <w:rPr>
          <w:rFonts w:ascii="맑은 고딕" w:hAnsi="맑은 고딕"/>
          <w:color w:val="2E7D32"/>
        </w:rPr>
        <w:t>Q4. 농협의 구성원으로서 본인이 중요하게 생각하는 가치나 원칙과 농협에서 수행하고 싶은 역할</w:t>
      </w:r>
    </w:p>
    <w:p>
      <w:pPr>
        <w:spacing w:after="160"/>
      </w:pPr>
      <w:r>
        <w:rPr>
          <w:rFonts w:ascii="맑은 고딕" w:hAnsi="맑은 고딕"/>
          <w:sz w:val="22"/>
        </w:rPr>
        <w:t>신뢰를 위한 정확한 설명과 공정한 처리를 가장 중요한 가치로 확신합니다. 금융기관은 고객이 자신의 정보를 맡기는 곳이므로 정확성과 공정성은 선택이 아닌 필수라고 믿습니다. 농협의 인재상 중 정직과 도덕성을 갖춘 인재, 행복의 파트너라는 가치와도 직접적으로 연결됩니다.</w:t>
      </w:r>
    </w:p>
    <w:p>
      <w:pPr>
        <w:spacing w:after="160"/>
      </w:pPr>
      <w:r>
        <w:rPr>
          <w:rFonts w:ascii="맑은 고딕" w:hAnsi="맑은 고딕"/>
          <w:sz w:val="22"/>
        </w:rPr>
        <w:t>금융기관 아르바이트에서 90세 시각·청각 장애 고객을 응대할 때 큰 목소리와 또박또박한 발음과 직접 행동 유도로 눈높이에 맞춘 결과 서명을 완료하고 이후 디지털 취약 계층 응대 노하우를 습득했습니다. 단순히 절차를 처리하는 것이 아니라 고객이 실제로 이해하고 안심할 수 있도록 설명하는 것이 신뢰 형성의 시작이라고 배웠습니다.</w:t>
      </w:r>
    </w:p>
    <w:p>
      <w:pPr>
        <w:spacing w:after="160"/>
      </w:pPr>
      <w:r>
        <w:rPr>
          <w:rFonts w:ascii="맑은 고딕" w:hAnsi="맑은 고딕"/>
          <w:sz w:val="22"/>
        </w:rPr>
        <w:t>농협에서는 고객과 조합원이 체감하는 정확한 안내와 공정한 처리로 신뢰를 쌓고 현장에서 얻은 의견을 교육지원과 금융과 경제사업 관점에서 함께 보며 실질적인 서비스 개선으로 연결하는 역할을 수행하겠습니다. 조합원의 목소리를 조직에 전달하고 조직의 정책을 조합원이 이해하기 쉽게 설명하는 가교 역할을 하고자 합니다.</w:t>
      </w:r>
    </w:p>
    <w:p/>
    <w:p>
      <w:pPr>
        <w:pStyle w:val="Heading2"/>
      </w:pPr>
      <w:r>
        <w:rPr>
          <w:rFonts w:ascii="맑은 고딕" w:hAnsi="맑은 고딕"/>
          <w:color w:val="2E7D32"/>
        </w:rPr>
        <w:t>Q5. 농협이 교육지원·경제·금융 사업을 동시에 수행하는 구조가 가지는 경쟁력과 본인이 기여할 수 있는 부분</w:t>
      </w:r>
    </w:p>
    <w:p>
      <w:pPr>
        <w:spacing w:after="160"/>
      </w:pPr>
      <w:r>
        <w:rPr>
          <w:rFonts w:ascii="맑은 고딕" w:hAnsi="맑은 고딕"/>
          <w:sz w:val="22"/>
        </w:rPr>
        <w:t>농협의 경쟁력은 조합원 지원인 교육지원과 지역 생산·유통인 경제사업과 생활금융이 분절되지 않고 하나의 구조로 연결된다는 점입니다. 교육지원이 관계를 만들고 경제사업이 지역 생산을 살리고 금융이 이를 지속 가능하게 합니다. 단일 금융기관이 아니라 농업인 지원, 지역경제 유통, 생활금융 서비스가 연결된 복합 조직이라는 점이 농협만의 고유한 강점입니다.</w:t>
      </w:r>
    </w:p>
    <w:p>
      <w:pPr>
        <w:spacing w:after="160"/>
      </w:pPr>
      <w:r>
        <w:rPr>
          <w:rFonts w:ascii="맑은 고딕" w:hAnsi="맑은 고딕"/>
          <w:sz w:val="22"/>
        </w:rPr>
        <w:t>저는 고객과 조합원 접점에서 정확한 안내와 현장 피드백 수집으로 이 세 축을 잇는 역할을 하고 싶습니다. 공공기관 인턴으로 대량 정보를 정확히 처리한 경험과 지방자치단체에서 지역 대상자를 분석해 모집 목표를 조기 달성한 경험을 바탕으로 조합원이 체감하는 불편을 파악하고 실무 개선으로 연결하겠습니다.</w:t>
      </w:r>
    </w:p>
    <w:p>
      <w:pPr>
        <w:spacing w:after="160"/>
      </w:pPr>
      <w:r>
        <w:rPr>
          <w:rFonts w:ascii="맑은 고딕" w:hAnsi="맑은 고딕"/>
          <w:sz w:val="22"/>
        </w:rPr>
        <w:t>예를 들어 교육지원 사업에서 조합원의 의견을 수집하고, 이를 경제사업의 상품 기획과 금융 서비스 개선에 반영하는 피드백 루프를 만들고자 합니다. 농협 비전2030이 지향하는 디지털 혁신과 금융부문 혁신에도 데이터 분석 역량으로 기여할 수 있습니다.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