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검토서</w:t>
      </w:r>
    </w:p>
    <w:p>
      <w:pPr>
        <w:jc w:val="center"/>
      </w:pPr>
      <w:r>
        <w:rPr>
          <w:b/>
        </w:rPr>
        <w:t>사용자 검토용 초안 - 법원 제출 완료 문서가 아님</w:t>
      </w:r>
    </w:p>
    <w:p>
      <w:pPr>
        <w:pStyle w:val="Heading2"/>
      </w:pPr>
      <w:r>
        <w:t>결론</w:t>
      </w:r>
    </w:p>
    <w:p/>
    <w:p>
      <w:pPr>
        <w:spacing w:line="384" w:lineRule="auto"/>
      </w:pPr>
      <w:r>
        <w:t>검증용 비식별 문서입니다.</w:t>
      </w:r>
    </w:p>
    <w:p/>
    <w:p>
      <w:pPr>
        <w:pStyle w:val="ListBullet"/>
      </w:pPr>
      <w:r>
        <w:t>사실 ID: FACT-001</w:t>
      </w:r>
    </w:p>
    <w:p>
      <w:pPr>
        <w:pStyle w:val="ListBullet"/>
      </w:pPr>
      <w:r>
        <w:t>근거 ID: AUTH-001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한국법 자가소송 워크벤치 | 사용자 최종 확인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