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B82BC" w14:textId="77777777" w:rsidR="00376DF4" w:rsidRDefault="00376DF4" w:rsidP="00376DF4">
      <w:r>
        <w:rPr>
          <w:rFonts w:hint="eastAsia"/>
        </w:rPr>
        <w:t>신용보증기금은</w:t>
      </w:r>
      <w:r>
        <w:t xml:space="preserve"> 중소기업에 대한 종합적인 지원에 더해 한국 경제의 위기 시에는 금융시장 안정 판 역할도 함께 수행하고 있습니다. 최근에도 금융시장의 위기 요인 확대 등에 따라 중견기업 및 대기업에 대한 회사채 보증 등을 통한 금융시장 안정화에 대한 요구가 커지고 있습니다. 하지만 신보의 중견기업 및 대기업에 대한 지원 확대로 인해 중소기업에 대한 지원이 줄어들 수도 있다는 우려 섞인 시각도 있습니다. 이러한 상황에서 지원자가 생각하는 신용보증기금의 적정한 </w:t>
      </w:r>
      <w:r>
        <w:rPr>
          <w:rFonts w:hint="eastAsia"/>
        </w:rPr>
        <w:t>시장</w:t>
      </w:r>
      <w:r>
        <w:t xml:space="preserve"> </w:t>
      </w:r>
      <w:proofErr w:type="spellStart"/>
      <w:r>
        <w:t>안정판</w:t>
      </w:r>
      <w:proofErr w:type="spellEnd"/>
      <w:r>
        <w:t xml:space="preserve"> 역할에 대해 구체적으로 기 </w:t>
      </w:r>
      <w:proofErr w:type="spellStart"/>
      <w:r>
        <w:t>술하여</w:t>
      </w:r>
      <w:proofErr w:type="spellEnd"/>
      <w:r>
        <w:t xml:space="preserve"> 주시기 바랍니다. (600자 이상 900자 이내) </w:t>
      </w:r>
    </w:p>
    <w:p w14:paraId="33B34AB4" w14:textId="77777777" w:rsidR="00376DF4" w:rsidRDefault="00376DF4" w:rsidP="00376DF4"/>
    <w:p w14:paraId="00459E28" w14:textId="77777777" w:rsidR="00376DF4" w:rsidRDefault="00376DF4" w:rsidP="00376DF4">
      <w:r>
        <w:t>: [시장 실패를 보완하고 경제 생태계를 수호하는 '방파제' 역할]</w:t>
      </w:r>
    </w:p>
    <w:p w14:paraId="09D111F1" w14:textId="77777777" w:rsidR="00376DF4" w:rsidRDefault="00376DF4" w:rsidP="00376DF4">
      <w:r>
        <w:t xml:space="preserve">2024년 이후 고금리 기조의 장기화와 부동산 PF 부실 우려로 인해 국내 회사채 시장은 신용등급 AA급 이상 우량채만 소화되는 극심한 양극화 현상을 겪고 있습니다. 민간 자율 기능이 멈춘 이러한 '시장 실패(Market Failure)' 상황에서, 신용보증기금은 </w:t>
      </w:r>
      <w:proofErr w:type="spellStart"/>
      <w:r>
        <w:t>중소기업뿐만</w:t>
      </w:r>
      <w:proofErr w:type="spellEnd"/>
      <w:r>
        <w:t xml:space="preserve"> 아니라 중견·대기업까지 아우르는 포괄적인 시장 </w:t>
      </w:r>
      <w:proofErr w:type="spellStart"/>
      <w:r>
        <w:t>안정판</w:t>
      </w:r>
      <w:proofErr w:type="spellEnd"/>
      <w:r>
        <w:t xml:space="preserve"> 역할을 수행해야 합니다. 일각에서는 대기업 지원이 중소기업 지원 재원을 잠식한다는 우려를 제기하지만, 저는 이를 **'공급망(Supply Chain) 전체를 보호하기 위한 필수적 조치'**라고 생각합니다.</w:t>
      </w:r>
    </w:p>
    <w:p w14:paraId="34AA00E0" w14:textId="77777777" w:rsidR="00376DF4" w:rsidRDefault="00376DF4" w:rsidP="00376DF4">
      <w:r>
        <w:rPr>
          <w:rFonts w:hint="eastAsia"/>
        </w:rPr>
        <w:t>첫째</w:t>
      </w:r>
      <w:r>
        <w:t>, 중견·대기업의 유동성 위기는 곧 협력 중소기업의 생존 위기로 직결되기 때문입니다.</w:t>
      </w:r>
    </w:p>
    <w:p w14:paraId="78F06DAD" w14:textId="77777777" w:rsidR="00376DF4" w:rsidRDefault="00376DF4" w:rsidP="00376DF4">
      <w:r>
        <w:rPr>
          <w:rFonts w:hint="eastAsia"/>
        </w:rPr>
        <w:t>대기업</w:t>
      </w:r>
      <w:r>
        <w:t xml:space="preserve"> 1개사는 수백 개의 1·2차 협력 중소기업과 거래 관계를 맺고 있습니다. 최근의 복합 위기 상황에서 P-CBO(유동화회사보증) 등을 통해 중견기업의 자금 숨통을 틔워주는 것은, 단순히 특정 대기업을 돕는 것이 아니라 하청 중소기업에 대한 대금 결제와 발주가 끊기지 않도록 막는 '낙수 효과'의 보호 장치입니다. 즉, 허리를 지탱하여 뿌리(중소기업)를 보호하는 전략입니다.</w:t>
      </w:r>
    </w:p>
    <w:p w14:paraId="3AAC6E69" w14:textId="77777777" w:rsidR="00376DF4" w:rsidRDefault="00376DF4" w:rsidP="00376DF4">
      <w:r>
        <w:rPr>
          <w:rFonts w:hint="eastAsia"/>
        </w:rPr>
        <w:t>둘째</w:t>
      </w:r>
      <w:r>
        <w:t xml:space="preserve">, 직접금융 시장에서의 보증 지원은 </w:t>
      </w:r>
      <w:proofErr w:type="spellStart"/>
      <w:r>
        <w:t>은행업권의</w:t>
      </w:r>
      <w:proofErr w:type="spellEnd"/>
      <w:r>
        <w:t xml:space="preserve"> 대출 여력을 중소기업으로 돌리는 효과가 있습니다.</w:t>
      </w:r>
    </w:p>
    <w:p w14:paraId="04148B3D" w14:textId="77777777" w:rsidR="00376DF4" w:rsidRDefault="00376DF4" w:rsidP="00376DF4">
      <w:r>
        <w:rPr>
          <w:rFonts w:hint="eastAsia"/>
        </w:rPr>
        <w:t>신보가</w:t>
      </w:r>
      <w:r>
        <w:t xml:space="preserve"> P-CBO 직접 발행 등을 통해 중견기업이 시장에서 자금을 조달하게 도우면, 시중은행의 한정된 대출 재원은 상대적으로 자금 조달이 어려운 영세 중소기업에 집중될 수 있습니다.</w:t>
      </w:r>
    </w:p>
    <w:p w14:paraId="232E5584" w14:textId="77777777" w:rsidR="00376DF4" w:rsidRDefault="00376DF4" w:rsidP="00376DF4">
      <w:r>
        <w:rPr>
          <w:rFonts w:hint="eastAsia"/>
        </w:rPr>
        <w:t>결론적으로</w:t>
      </w:r>
      <w:r>
        <w:t>, 위기 시 신용보증기금의 적정 역할은 기업 규모를 따지는 기계적 형평성이 아니라, **'국가 경제 생태계의 붕괴 방지'**에 있습니다. 따라서 신보는 P-CBO와 같은 시장 안정화 프로그램을 통해 경제의 동맥경화를 막고, 궁극적으로 중소기업의 연쇄 도산을 방지하는 거시적 안전판 역할을 수행해야 합니다.</w:t>
      </w:r>
    </w:p>
    <w:p w14:paraId="6E991E6E" w14:textId="77777777" w:rsidR="00D155BA" w:rsidRDefault="00D155BA" w:rsidP="00376DF4"/>
    <w:p w14:paraId="43935ED4" w14:textId="77777777" w:rsidR="00376DF4" w:rsidRDefault="00376DF4" w:rsidP="00376DF4">
      <w:r>
        <w:rPr>
          <w:rFonts w:hint="eastAsia"/>
        </w:rPr>
        <w:lastRenderedPageBreak/>
        <w:t>신용보증기금은</w:t>
      </w:r>
      <w:r>
        <w:t xml:space="preserve"> 한정된 재원으로 보다 많은 중소기업에 대한 지원을 원활하게 수행하기 위해 기 업이 신용보증을 이용할 경우 일정 기간 내에 </w:t>
      </w:r>
      <w:proofErr w:type="spellStart"/>
      <w:r>
        <w:t>보증부</w:t>
      </w:r>
      <w:proofErr w:type="spellEnd"/>
      <w:r>
        <w:t xml:space="preserve"> 대출을 점진적으로 상환하여 보증금액을 줄여 나가도록 유도하고 있습니다. 하지만 성장성이 유망한 기업의 보증금액을 줄이면 한창 투자가 필요한 시기에 자금을 회수해 </w:t>
      </w:r>
      <w:proofErr w:type="gramStart"/>
      <w:r>
        <w:t>간다 는</w:t>
      </w:r>
      <w:proofErr w:type="gramEnd"/>
      <w:r>
        <w:t xml:space="preserve"> 비판이 있을 수 있고, 경영이 악화되는 기업의 보증금액을 줄이면 어려울 때 우산을 빼앗아 </w:t>
      </w:r>
      <w:proofErr w:type="gramStart"/>
      <w:r>
        <w:t>간다 는</w:t>
      </w:r>
      <w:proofErr w:type="gramEnd"/>
      <w:r>
        <w:t xml:space="preserve"> 비판이 있을 수 있습니다. 신용보증기금이 정책자</w:t>
      </w:r>
      <w:r>
        <w:rPr>
          <w:rFonts w:hint="eastAsia"/>
        </w:rPr>
        <w:t>금의</w:t>
      </w:r>
      <w:r>
        <w:t xml:space="preserve"> 선순환을 위해 보증기업에게 보증해지를 유도할 때 어디에 주안점을 두 고 </w:t>
      </w:r>
      <w:proofErr w:type="spellStart"/>
      <w:r>
        <w:t>운영해나가는</w:t>
      </w:r>
      <w:proofErr w:type="spellEnd"/>
      <w:r>
        <w:t xml:space="preserve"> 것이 합리적이라고 생각하는지 구체적인 논거를 들어 기술하여 주시기 바랍니다. (600자 이상 900자 이내)</w:t>
      </w:r>
    </w:p>
    <w:p w14:paraId="07A9B580" w14:textId="77777777" w:rsidR="00376DF4" w:rsidRDefault="00376DF4" w:rsidP="00376DF4"/>
    <w:p w14:paraId="14A491BF" w14:textId="77777777" w:rsidR="00376DF4" w:rsidRDefault="00376DF4" w:rsidP="00376DF4"/>
    <w:p w14:paraId="0878003E" w14:textId="77777777" w:rsidR="00376DF4" w:rsidRDefault="00376DF4" w:rsidP="00376DF4">
      <w:proofErr w:type="gramStart"/>
      <w:r>
        <w:t>:민간</w:t>
      </w:r>
      <w:proofErr w:type="gramEnd"/>
      <w:r>
        <w:t xml:space="preserve"> 자생력 중심의 '연착륙' 유도와 정책 재원의 '선순환' 구조 확립]</w:t>
      </w:r>
    </w:p>
    <w:p w14:paraId="7EADF24F" w14:textId="77777777" w:rsidR="00376DF4" w:rsidRDefault="00376DF4" w:rsidP="00376DF4">
      <w:r>
        <w:rPr>
          <w:rFonts w:hint="eastAsia"/>
        </w:rPr>
        <w:t>한정된</w:t>
      </w:r>
      <w:r>
        <w:t xml:space="preserve"> 정책 재원의 효율성을 극대화하기 위해, 보증 해지의 기준은 단순히 기업의 업력이나 매출 규모가 아닌 **'민간 금융 시장에서의 자생력 확보 여부'**가 되어야 합니다. 저는 신용보증기금이 기업의 </w:t>
      </w:r>
      <w:proofErr w:type="spellStart"/>
      <w:r>
        <w:t>재무적</w:t>
      </w:r>
      <w:proofErr w:type="spellEnd"/>
      <w:r>
        <w:t xml:space="preserve"> 건강상태를 진단하여, 시중은행의 일반 신용대출로 전환이 가능한 기업부터 우선적으로 졸업을 유도하는 것이 합리적이라고 생각합니다.</w:t>
      </w:r>
    </w:p>
    <w:p w14:paraId="7235ABD8" w14:textId="77777777" w:rsidR="00376DF4" w:rsidRDefault="00376DF4" w:rsidP="00376DF4">
      <w:r>
        <w:rPr>
          <w:rFonts w:hint="eastAsia"/>
        </w:rPr>
        <w:t>첫째</w:t>
      </w:r>
      <w:r>
        <w:t>, '민간 자생력'을 기준으로 한 단계적 졸업(Soft-landing) 시스템을 운영해야 합니다.</w:t>
      </w:r>
    </w:p>
    <w:p w14:paraId="100E7415" w14:textId="77777777" w:rsidR="00376DF4" w:rsidRDefault="00376DF4" w:rsidP="00376DF4">
      <w:r>
        <w:rPr>
          <w:rFonts w:hint="eastAsia"/>
        </w:rPr>
        <w:t>성장성이</w:t>
      </w:r>
      <w:r>
        <w:t xml:space="preserve"> 유망하더라도 담보력이 부족한 </w:t>
      </w:r>
      <w:proofErr w:type="spellStart"/>
      <w:r>
        <w:t>투하기</w:t>
      </w:r>
      <w:proofErr w:type="spellEnd"/>
      <w:r>
        <w:t>(Investment Stage) 기업에게는 보증을 유지하되, 안정적인 현금흐름(Cash Flow)을 창출하여 시장 금리를 감당할 수 있는 성숙기 기업은 보증 비율을 점진적으로 축소해야 합니다. 이때, 급격한 자금 회수로 흑자 부도가 발생하지 않도록, 신보의 컨설팅 기능을 활용하여 시중은행 대출로의 대환을 매끄럽게 연결해주는 '졸업 지원 프로그램'을 병행해야 비판을 최소화할 수 있습니다.</w:t>
      </w:r>
    </w:p>
    <w:p w14:paraId="158811CA" w14:textId="77777777" w:rsidR="00376DF4" w:rsidRDefault="00376DF4" w:rsidP="00376DF4">
      <w:r>
        <w:rPr>
          <w:rFonts w:hint="eastAsia"/>
        </w:rPr>
        <w:t>둘째</w:t>
      </w:r>
      <w:r>
        <w:t>, 회수된 재원은 '죽음의 계곡(Death Valley)'을 건너는 혁신 기업에 재투자되어야 합니다.</w:t>
      </w:r>
    </w:p>
    <w:p w14:paraId="201F22CA" w14:textId="77777777" w:rsidR="00376DF4" w:rsidRDefault="00376DF4" w:rsidP="00376DF4">
      <w:r>
        <w:rPr>
          <w:rFonts w:hint="eastAsia"/>
        </w:rPr>
        <w:t>국내</w:t>
      </w:r>
      <w:r>
        <w:t xml:space="preserve"> 창업기업의 5년 차 생존율은 약 33.8%로 OECD 평균(약 45%)에 크게 미치지 못합니다. 이는 초기 기업에 대한 모험 자본 공급이 부족하기 때문입니다. 장기 고액 보증을 이용 중인 '기득권 기업'에서 회수한 보증 여력을 </w:t>
      </w:r>
      <w:proofErr w:type="spellStart"/>
      <w:r>
        <w:t>미래차</w:t>
      </w:r>
      <w:proofErr w:type="spellEnd"/>
      <w:r>
        <w:t xml:space="preserve">, AI, 바이오 등 미래 유망 산업의 초기 </w:t>
      </w:r>
      <w:proofErr w:type="spellStart"/>
      <w:r>
        <w:t>스타트업에</w:t>
      </w:r>
      <w:proofErr w:type="spellEnd"/>
      <w:r>
        <w:t xml:space="preserve"> 집중 투입해야 합니다.</w:t>
      </w:r>
    </w:p>
    <w:p w14:paraId="63237B1D" w14:textId="65865FE5" w:rsidR="00376DF4" w:rsidRDefault="00376DF4" w:rsidP="00376DF4">
      <w:r>
        <w:rPr>
          <w:rFonts w:hint="eastAsia"/>
        </w:rPr>
        <w:t>신용보증기금의</w:t>
      </w:r>
      <w:r>
        <w:t xml:space="preserve"> 본질은 '고인 물'이 아니라 경제 곳곳으로 흐르는 '마중물'입니다. 따라서 자생력을 갖춘 기업은 민간 시장으로 과감히 </w:t>
      </w:r>
      <w:proofErr w:type="spellStart"/>
      <w:r>
        <w:t>떠나보내고</w:t>
      </w:r>
      <w:proofErr w:type="spellEnd"/>
      <w:r>
        <w:t xml:space="preserve">, 그 빈자리를 내일의 </w:t>
      </w:r>
      <w:proofErr w:type="spellStart"/>
      <w:r>
        <w:t>유니콘</w:t>
      </w:r>
      <w:proofErr w:type="spellEnd"/>
      <w:r>
        <w:t xml:space="preserve"> 기업으로 채우는 **'역동적 자원 선순환'**만이 공공성과 효율성을 동시에 달성하는 길입니다.</w:t>
      </w:r>
    </w:p>
    <w:sectPr w:rsidR="00376DF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DF4"/>
    <w:rsid w:val="00376DF4"/>
    <w:rsid w:val="003B7B98"/>
    <w:rsid w:val="00D155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B42E1"/>
  <w15:chartTrackingRefBased/>
  <w15:docId w15:val="{4D1BF5DC-DF1F-4C97-AC07-DD85ED936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76DF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76DF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76DF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76DF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76DF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76DF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76DF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76DF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76DF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76DF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76DF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76DF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76DF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76DF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76DF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76DF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76DF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76DF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76DF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76DF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76D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76DF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76DF4"/>
    <w:pPr>
      <w:spacing w:before="160"/>
      <w:jc w:val="center"/>
    </w:pPr>
    <w:rPr>
      <w:i/>
      <w:iCs/>
      <w:color w:val="404040" w:themeColor="text1" w:themeTint="BF"/>
    </w:rPr>
  </w:style>
  <w:style w:type="character" w:customStyle="1" w:styleId="Char1">
    <w:name w:val="인용 Char"/>
    <w:basedOn w:val="a0"/>
    <w:link w:val="a5"/>
    <w:uiPriority w:val="29"/>
    <w:rsid w:val="00376DF4"/>
    <w:rPr>
      <w:i/>
      <w:iCs/>
      <w:color w:val="404040" w:themeColor="text1" w:themeTint="BF"/>
    </w:rPr>
  </w:style>
  <w:style w:type="paragraph" w:styleId="a6">
    <w:name w:val="List Paragraph"/>
    <w:basedOn w:val="a"/>
    <w:uiPriority w:val="34"/>
    <w:qFormat/>
    <w:rsid w:val="00376DF4"/>
    <w:pPr>
      <w:ind w:left="720"/>
      <w:contextualSpacing/>
    </w:pPr>
  </w:style>
  <w:style w:type="character" w:styleId="a7">
    <w:name w:val="Intense Emphasis"/>
    <w:basedOn w:val="a0"/>
    <w:uiPriority w:val="21"/>
    <w:qFormat/>
    <w:rsid w:val="00376DF4"/>
    <w:rPr>
      <w:i/>
      <w:iCs/>
      <w:color w:val="0F4761" w:themeColor="accent1" w:themeShade="BF"/>
    </w:rPr>
  </w:style>
  <w:style w:type="paragraph" w:styleId="a8">
    <w:name w:val="Intense Quote"/>
    <w:basedOn w:val="a"/>
    <w:next w:val="a"/>
    <w:link w:val="Char2"/>
    <w:uiPriority w:val="30"/>
    <w:qFormat/>
    <w:rsid w:val="00376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76DF4"/>
    <w:rPr>
      <w:i/>
      <w:iCs/>
      <w:color w:val="0F4761" w:themeColor="accent1" w:themeShade="BF"/>
    </w:rPr>
  </w:style>
  <w:style w:type="character" w:styleId="a9">
    <w:name w:val="Intense Reference"/>
    <w:basedOn w:val="a0"/>
    <w:uiPriority w:val="32"/>
    <w:qFormat/>
    <w:rsid w:val="00376D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566</Words>
  <Characters>1966</Characters>
  <Application>Microsoft Office Word</Application>
  <DocSecurity>0</DocSecurity>
  <Lines>63</Lines>
  <Paragraphs>20</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8106</dc:creator>
  <cp:keywords/>
  <dc:description/>
  <cp:lastModifiedBy>8106</cp:lastModifiedBy>
  <cp:revision>2</cp:revision>
  <dcterms:created xsi:type="dcterms:W3CDTF">2025-11-29T16:20:00Z</dcterms:created>
  <dcterms:modified xsi:type="dcterms:W3CDTF">2025-11-29T16:21:00Z</dcterms:modified>
</cp:coreProperties>
</file>