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33_새로운 자기소개서_매트로 자소서(11월 24일까지 접수하기)_개선안</w:t>
      </w:r>
    </w:p>
    <w:p>
      <w:pPr>
        <w:pStyle w:val="Heading2"/>
      </w:pPr>
      <w:r>
        <w:t>문항 1</w:t>
      </w:r>
    </w:p>
    <w:p>
      <w:r>
        <w:rPr>
          <w:b/>
        </w:rPr>
        <w:t>3. 지원동기</w:t>
      </w:r>
    </w:p>
    <w:p>
      <w:r>
        <w:t>서울교통공사에 지원한 이유는 고객 응대, 현장 규정 업무가 사람의 신뢰를 직접 만드는 일이라고 보았기 때문입니다. 서울교통공사의 서비스, 시민 안전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서울교통공사에서도 상황 대응, 서비스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4. 입사 후 포부</w:t>
      </w:r>
    </w:p>
    <w:p>
      <w:r>
        <w:t>서울교통공사에서의 목표는 현장 규정, 상황 대응 업무를 안정적으로 처리하는 실무자가 되는 것입니다. 서울교통공사의 시민 안전, 고객 응대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서비스, 시민 안전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