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신용보증기금 2026년도 하반기 체험형 청년인턴 지원서</w:t>
      </w:r>
    </w:p>
    <w:p>
      <w:pPr>
        <w:pStyle w:val="Heading1"/>
      </w:pPr>
      <w:r>
        <w:t>1. 신용보증기금 청년인턴에 지원하게 된 동기와 신용보증기금의 역할에 대한 본인의 이해를 바탕으로 인턴 근무 중 배우고, 기여하고 싶은 부분을 기술하여 주십시오. (400자 이상 600자 이내)</w:t>
      </w:r>
    </w:p>
    <w:p>
      <w:pPr>
        <w:spacing w:line="360" w:lineRule="auto" w:after="160"/>
      </w:pPr>
      <w:r>
        <w:t>신용보증기금은 담보력이 부족한 기업의 신용을 보완해 자금 조달을 돕고, 기업의 성장 단계와 위험에 맞춰 보증·보험·투자 등 정책금융을 연결하는 기관이라고 이해하고 있습니다. 저는 자료 한 건의 정확성이 기업의 자금 일정과 고객의 신뢰에 영향을 준다는 점에 매력을 느껴 지원했습니다. 공공기관 인턴 당시 3,000페이지의 지급 자료를 항목별로 분류하고 확인 순서를 정해 2일 안에 정리한 경험이 있습니다. 이 경험을 바탕으로 보증 기한연장과 기업신용 상시관리 과정에서 제출 자료의 누락 여부와 기준별 확인 사항을 점검하겠습니다. 심사 담당자가 바로 판단할 수 있도록 자료의 출처와 확인 결과를 일관된 형식으로 정리하겠습니다. 근무 중에는 보증 심사의 기본 절차와 기업 신용정보의 활용 방식을 배우겠습니다. 접수 자료에는 확인 일자와 보완 필요 항목을 표시하고, 고객에게 필요한 서류와 처리 절차를 정확하고 이해하기 쉽게 안내하겠습니다.</w:t>
      </w:r>
    </w:p>
    <w:p>
      <w:pPr>
        <w:pStyle w:val="Heading1"/>
      </w:pPr>
      <w:r>
        <w:t>2. 지원자가 새로운 조직에 적응하기 위해 중요하게 생각하는 태도가 무엇이며, 그 태도를 실제 근무과정에서 실천하기 위해 어떤 노력을 할 것인지 기술하여 주십시오. (400자 이상 600자 이내)</w:t>
      </w:r>
    </w:p>
    <w:p>
      <w:pPr>
        <w:spacing w:line="360" w:lineRule="auto" w:after="160"/>
      </w:pPr>
      <w:r>
        <w:t>새로운 조직에 적응할 때 가장 중요한 태도는 먼저 관찰하고 확인한 뒤, 배운 내용을 동료가 활용할 수 있는 방식으로 공유하는 것이라고 생각합니다. 익숙하지 않은 환경에서 성급히 기존 방식을 바꾸기보다 업무 목적과 담당자별 역할, 자주 발생하는 오류를 파악해야 조직의 흐름을 해치지 않고 기여할 수 있기 때문입니다. 도서관 근무 당시 반복 문의가 발생하자 이용자 동선과 문의 지점을 먼저 살핀 뒤, 안내 자료의 정렬 방식을 이용자 관점에서 바꾸어 민원을 30% 줄였습니다. 신용보증기금에서도 첫째, 업무 지침과 전산 처리 순서를 기록하며 모르는 내용은 추측하지 않고 담당자에게 확인하겠습니다. 둘째, 받은 피드백을 체크리스트에 반영해 같은 질문과 실수를 반복하지 않겠습니다. 셋째, 제가 정리한 자료는 동료가 바로 검토할 수 있도록 기준·출처·미확인 사항을 구분해 공유하겠습니다. 특히 신용보증 기한연장과 기업신용 상시관리 자료를 다룰 때 확인 기준과 처리 결과를 분리해 기록하겠습니다.</w:t>
      </w:r>
    </w:p>
    <w:p>
      <w:pPr>
        <w:pStyle w:val="Heading1"/>
      </w:pPr>
      <w:r>
        <w:t>3. 신용보증기금의 청년인턴으로 근무한다고 가정할 때, 실제 근무 시 지원자의 업무수행계획을 기술하여 주십시오. (400자 이상 600자 이내)</w:t>
      </w:r>
    </w:p>
    <w:p>
      <w:pPr>
        <w:spacing w:line="360" w:lineRule="auto" w:after="160"/>
      </w:pPr>
      <w:r>
        <w:t>근무 초기에는 보증 기한연장과 기업신용 상시관리의 처리 절차, 필수 서류, 전산 입력 기준을 우선 익히겠습니다. 업무를 받으면 먼저 요청 목적과 마감 시점을 확인하고, 제출 자료를 필수·보완·확인 필요 항목으로 나누겠습니다. 이후 원자료와 입력 내용을 대조해 누락이나 불일치가 발견되면 임의로 판단하지 않고 근거와 함께 담당자에게 보고하겠습니다. 고객 문의에는 확인된 기준만 사용하고, 즉시 답변하기 어려운 사항은 확인 경로와 예상 처리 순서를 안내하겠습니다. 반복 업무는 체크리스트로 관리하되 기업별 특이사항을 별도로 기록해 기계적인 처리를 피하겠습니다. 마감 전에는 접수 내용, 첨부 자료, 처리 결과를 다시 대조하고 다음 담당자가 진행 상황을 바로 이해할 수 있도록 인계 내용을 남기겠습니다. 업무가 익숙해진 뒤에는 반복되는 보완 요청의 유형을 정리해 안내 문구나 내부 확인표의 개선안을 제안하겠습니다. 정확한 자료 정리와 이해하기 쉬운 안내로 담당자의 심사 효율과 고객의 예측 가능성을 높이겠습니다.</w:t>
      </w:r>
    </w:p>
    <w:p>
      <w:pPr>
        <w:pStyle w:val="Heading1"/>
      </w:pPr>
      <w:r>
        <w:t>4. 최근 중소기업에 큰 영향을 미치는 경제·사회 이슈를 하나 선택하여 그 이유를 서술하여 주시기 바랍니다. 또한, 해당 이슈와 관련하여 영향을 받는 중소기업을 정책 금융기관이 지원할 수 있는 방안과 지원 과정에서 유의할 점을 서술하여 주시기 바랍니다. (1500자 이내)</w:t>
      </w:r>
    </w:p>
    <w:p>
      <w:pPr>
        <w:spacing w:line="360" w:lineRule="auto" w:after="160"/>
      </w:pPr>
      <w:r>
        <w:t>최근 중소기업에 큰 영향을 미치는 이슈로 고환율과 대외 불확실성의 장기화를 선택하겠습니다. 환율 상승은 수출기업의 가격 경쟁력에 도움이 될 수 있지만, 원자재와 중간재를 수입하는 기업에는 매입 원가와 운전자금 부담을 동시에 높입니다. 납품가격에 비용 증가분을 즉시 반영하기 어려운 중소기업은 매출이 유지되더라도 현금흐름이 악화될 수 있습니다. 여기에 교역 상대국의 정책 변화와 공급망 차질까지 겹치면 수주·재고·결제 시점의 불일치가 커져 일시적인 유동성 문제가 장기적인 신용위험으로 번질 수 있습니다. 개별 기업이 환헤지 인력과 정보체계를 갖추기 어렵다는 점도 이 문제를 중요한 정책금융 과제로 만듭니다.</w:t>
        <w:br/>
        <w:br/>
        <w:t>정책금융기관은 우선 기업별 피해 경로를 구분해야 합니다. 매출 구조, 수입 원재료 비중, 결제 통화, 환율 변동분의 가격 전가 가능성, 기존 차입 부담을 함께 확인해 단순히 수출기업이라는 이유만으로 같은 지원을 제공해서는 안 됩니다. 일시적인 비용 증가를 겪지만 수주와 상환 능력이 유지되는 기업에는 보증 기한연장, 운전자금 보증, 보증료 부담 완화 등을 신속히 연결할 수 있습니다. 공급망이나 거래처 전환이 필요한 기업에는 금융지원과 함께 경영진단, 판로·수출 컨설팅, 환위험 관리 안내를 연계해야 합니다. 여러 정책기관과 은행이 보유한 지원수단을 연결하면 기업이 기관마다 같은 자료를 반복 제출하는 부담도 줄일 수 있습니다.</w:t>
        <w:br/>
        <w:br/>
        <w:t>지원 과정에서는 신속성과 건전성의 균형이 중요합니다. 환율 상승을 이유로 모든 기업의 한도를 일률적으로 확대하면 구조적으로 경쟁력이 약화된 기업까지 지원하거나 도덕적 해이를 키울 수 있습니다. 따라서 피해의 일시성, 자구계획의 실행 가능성, 자금 사용 목적을 확인하고 지원 이후에도 매출·연체·보증사고 징후를 점검해야 합니다. 동시에 심사 자료를 과도하게 요구해 필요한 시기를 놓치지 않도록 핵심 자료와 사후 보완 자료를 구분할 필요가 있습니다. 정책금융기관은 위기 때 자금을 공급하는 데 그치지 않고, 기업이 환율과 공급망 위험을 스스로 관리하도록 도와야 합니다. 현장에서는 신청 사유를 표준화해 축적하고 업종별 보완 요청과 사고 징후를 분석할 필요가 있습니다. 이를 다음 심사와 제도 개선에 환류하면 비슷한 충격이 발생했을 때 더 빠르고 정교하게 대응할 수 있습니다. 이러한 선별 지원과 사후관리가 함께 이루어질 때 한정된 보증 재원을 지키면서도 성장 가능성이 있는 중소기업의 회복을 실질적으로 뒷받침할 수 있습니다.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