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맑은 고딕" w:hAnsi="맑은 고딕" w:eastAsia="맑은 고딕"/>
          <w:b/>
          <w:color w:val="143E68"/>
          <w:sz w:val="32"/>
        </w:rPr>
        <w:t>신용보증기금 체험형 청년인턴1(보증)</w:t>
      </w:r>
    </w:p>
    <w:p>
      <w:pPr>
        <w:spacing w:after="200"/>
        <w:jc w:val="center"/>
      </w:pPr>
      <w:r>
        <w:rPr>
          <w:rFonts w:ascii="맑은 고딕" w:hAnsi="맑은 고딕" w:eastAsia="맑은 고딕"/>
          <w:color w:val="5A5A5A"/>
          <w:sz w:val="20"/>
        </w:rPr>
        <w:t>자기소개서 · 최종 제출본</w:t>
      </w:r>
    </w:p>
    <w:tbl>
      <w:tblPr>
        <w:tblW w:type="auto" w:w="0"/>
        <w:tblLayout w:type="fixed"/>
        <w:tblLook w:firstColumn="1" w:firstRow="1" w:lastColumn="0" w:lastRow="0" w:noHBand="0" w:noVBand="1" w:val="04A0"/>
      </w:tblPr>
      <w:tblGrid>
        <w:gridCol w:w="2438"/>
        <w:gridCol w:w="2438"/>
        <w:gridCol w:w="2438"/>
        <w:gridCol w:w="2438"/>
      </w:tblGrid>
      <w:tr>
        <w:tc>
          <w:tcPr>
            <w:tcW w:type="dxa" w:w="2438"/>
            <w:shd w:fill="DCE6F1"/>
          </w:tcPr>
          <w:p>
            <w:pPr>
              <w:jc w:val="center"/>
            </w:pPr>
            <w:r>
              <w:rPr>
                <w:rFonts w:ascii="맑은 고딕" w:hAnsi="맑은 고딕" w:eastAsia="맑은 고딕"/>
                <w:b/>
                <w:sz w:val="17"/>
              </w:rPr>
              <w:t>문항 1</w:t>
            </w:r>
          </w:p>
        </w:tc>
        <w:tc>
          <w:tcPr>
            <w:tcW w:type="dxa" w:w="2438"/>
            <w:shd w:fill="DCE6F1"/>
          </w:tcPr>
          <w:p>
            <w:pPr>
              <w:jc w:val="center"/>
            </w:pPr>
            <w:r>
              <w:rPr>
                <w:rFonts w:ascii="맑은 고딕" w:hAnsi="맑은 고딕" w:eastAsia="맑은 고딕"/>
                <w:b/>
                <w:sz w:val="17"/>
              </w:rPr>
              <w:t>문항 2</w:t>
            </w:r>
          </w:p>
        </w:tc>
        <w:tc>
          <w:tcPr>
            <w:tcW w:type="dxa" w:w="2438"/>
            <w:shd w:fill="DCE6F1"/>
          </w:tcPr>
          <w:p>
            <w:pPr>
              <w:jc w:val="center"/>
            </w:pPr>
            <w:r>
              <w:rPr>
                <w:rFonts w:ascii="맑은 고딕" w:hAnsi="맑은 고딕" w:eastAsia="맑은 고딕"/>
                <w:b/>
                <w:sz w:val="17"/>
              </w:rPr>
              <w:t>문항 3</w:t>
            </w:r>
          </w:p>
        </w:tc>
        <w:tc>
          <w:tcPr>
            <w:tcW w:type="dxa" w:w="2438"/>
            <w:shd w:fill="DCE6F1"/>
          </w:tcPr>
          <w:p>
            <w:pPr>
              <w:jc w:val="center"/>
            </w:pPr>
            <w:r>
              <w:rPr>
                <w:rFonts w:ascii="맑은 고딕" w:hAnsi="맑은 고딕" w:eastAsia="맑은 고딕"/>
                <w:b/>
                <w:sz w:val="17"/>
              </w:rPr>
              <w:t>문항 4</w:t>
            </w:r>
          </w:p>
        </w:tc>
      </w:tr>
      <w:tr>
        <w:tc>
          <w:tcPr>
            <w:tcW w:type="dxa" w:w="2438"/>
          </w:tcPr>
          <w:p>
            <w:pPr>
              <w:jc w:val="center"/>
            </w:pPr>
            <w:r>
              <w:rPr>
                <w:rFonts w:ascii="맑은 고딕" w:hAnsi="맑은 고딕" w:eastAsia="맑은 고딕"/>
                <w:sz w:val="17"/>
              </w:rPr>
              <w:t>506자</w:t>
            </w:r>
          </w:p>
        </w:tc>
        <w:tc>
          <w:tcPr>
            <w:tcW w:type="dxa" w:w="2438"/>
          </w:tcPr>
          <w:p>
            <w:pPr>
              <w:jc w:val="center"/>
            </w:pPr>
            <w:r>
              <w:rPr>
                <w:rFonts w:ascii="맑은 고딕" w:hAnsi="맑은 고딕" w:eastAsia="맑은 고딕"/>
                <w:sz w:val="17"/>
              </w:rPr>
              <w:t>509자</w:t>
            </w:r>
          </w:p>
        </w:tc>
        <w:tc>
          <w:tcPr>
            <w:tcW w:type="dxa" w:w="2438"/>
          </w:tcPr>
          <w:p>
            <w:pPr>
              <w:jc w:val="center"/>
            </w:pPr>
            <w:r>
              <w:rPr>
                <w:rFonts w:ascii="맑은 고딕" w:hAnsi="맑은 고딕" w:eastAsia="맑은 고딕"/>
                <w:sz w:val="17"/>
              </w:rPr>
              <w:t>516자</w:t>
            </w:r>
          </w:p>
        </w:tc>
        <w:tc>
          <w:tcPr>
            <w:tcW w:type="dxa" w:w="2438"/>
          </w:tcPr>
          <w:p>
            <w:pPr>
              <w:jc w:val="center"/>
            </w:pPr>
            <w:r>
              <w:rPr>
                <w:rFonts w:ascii="맑은 고딕" w:hAnsi="맑은 고딕" w:eastAsia="맑은 고딕"/>
                <w:sz w:val="17"/>
              </w:rPr>
              <w:t>1,161자</w:t>
            </w:r>
          </w:p>
        </w:tc>
      </w:tr>
    </w:tbl>
    <w:p>
      <w:pPr>
        <w:spacing w:after="0"/>
      </w:pPr>
    </w:p>
    <w:p>
      <w:pPr>
        <w:keepNext/>
        <w:spacing w:before="160" w:after="60"/>
      </w:pPr>
      <w:r>
        <w:rPr>
          <w:rFonts w:ascii="맑은 고딕" w:hAnsi="맑은 고딕" w:eastAsia="맑은 고딕"/>
          <w:b/>
          <w:color w:val="143E68"/>
          <w:sz w:val="24"/>
        </w:rPr>
        <w:t>문항 1</w:t>
      </w:r>
    </w:p>
    <w:p>
      <w:pPr>
        <w:keepNext/>
        <w:spacing w:after="100" w:line="276" w:lineRule="auto"/>
      </w:pPr>
      <w:r>
        <w:rPr>
          <w:rFonts w:ascii="맑은 고딕" w:hAnsi="맑은 고딕" w:eastAsia="맑은 고딕"/>
          <w:b/>
          <w:color w:val="555555"/>
          <w:sz w:val="18"/>
        </w:rPr>
        <w:t>신용보증기금 청년인턴에 지원하게 된 동기와 신용보증기금의 역할에 대한 본인의 이해를 바탕으로 인턴 근무 중 배우고, 기여하고 싶은 부분을 기술하여 주십시오.</w:t>
      </w:r>
    </w:p>
    <w:p>
      <w:pPr>
        <w:widowControl/>
        <w:spacing w:after="100" w:line="322" w:lineRule="auto"/>
        <w:ind w:firstLine="227"/>
      </w:pPr>
      <w:r>
        <w:rPr>
          <w:rFonts w:ascii="맑은 고딕" w:hAnsi="맑은 고딕" w:eastAsia="맑은 고딕"/>
          <w:color w:val="202020"/>
          <w:sz w:val="20"/>
        </w:rPr>
        <w:t>기업이 부담하는 채무를 보증해 성장유망기업을 지원하는 신용보증기금의 역할을 현장에서 배우고 싶어 보증 분야 청년인턴에 지원했습니다. 신용보증기금은 보증 신청 뒤 신용조사와 보증심사를 수행하며, 보증 분야 인턴은 신용보증 기한연장과 기업신용 상시관리 업무를 맡는 것으로 이해하고 있습니다. 저는 기초연금 지급 절차를 지원하면서 3,000페이지 분량의 자료를 체계적으로 분류해 2일 만에 정리하고 지급 절차가 원활히 진행되도록 기여했습니다. 이 경험을 통해 많은 자료도 기준에 따라 정리해 다음 단계에 제때 넘기는 일이 중요하다는 점을 배웠습니다. 근무 중에는 제출자료의 기준과 처리 흐름을 먼저 익히고, 항목별 일치 여부와 누락을 꼼꼼히 확인하겠습니다. 확인한 사실과 추가 확인이 필요한 내용을 구분해 기록하고, 판단이 필요한 사안은 근거와 함께 담당자에게 보고하겠습니다. 그 과정에서 보증 업무의 흐름과 기업 정보를 보는 기준을 배우고, 정확한 정리와 인계로 담당자의 검토가 끊기지 않도록 기여하겠습니다.</w:t>
      </w:r>
    </w:p>
    <w:p>
      <w:pPr>
        <w:spacing w:after="40"/>
        <w:jc w:val="right"/>
      </w:pPr>
      <w:r>
        <w:rPr>
          <w:rFonts w:ascii="맑은 고딕" w:hAnsi="맑은 고딕" w:eastAsia="맑은 고딕"/>
          <w:color w:val="6E6E6E"/>
          <w:sz w:val="16"/>
        </w:rPr>
        <w:t>공백 포함 · 줄바꿈 제외 506자</w:t>
      </w:r>
    </w:p>
    <w:p>
      <w:pPr>
        <w:keepNext/>
        <w:spacing w:before="220" w:after="60"/>
      </w:pPr>
      <w:r>
        <w:rPr>
          <w:rFonts w:ascii="맑은 고딕" w:hAnsi="맑은 고딕" w:eastAsia="맑은 고딕"/>
          <w:b/>
          <w:color w:val="143E68"/>
          <w:sz w:val="24"/>
        </w:rPr>
        <w:t>문항 2</w:t>
      </w:r>
    </w:p>
    <w:p>
      <w:pPr>
        <w:keepNext/>
        <w:spacing w:after="100" w:line="276" w:lineRule="auto"/>
      </w:pPr>
      <w:r>
        <w:rPr>
          <w:rFonts w:ascii="맑은 고딕" w:hAnsi="맑은 고딕" w:eastAsia="맑은 고딕"/>
          <w:b/>
          <w:color w:val="555555"/>
          <w:sz w:val="18"/>
        </w:rPr>
        <w:t>지원자가 새로운 조직에 적응하기 위해 중요하게 생각하는 태도가 무엇이며, 그 태도를 실제 근무과정에서 실천하기 위해 어떤 노력을 할 것인지 기술하여 주십시오.</w:t>
      </w:r>
    </w:p>
    <w:p>
      <w:pPr>
        <w:widowControl/>
        <w:spacing w:after="100" w:line="322" w:lineRule="auto"/>
        <w:ind w:firstLine="227"/>
      </w:pPr>
      <w:r>
        <w:rPr>
          <w:rFonts w:ascii="맑은 고딕" w:hAnsi="맑은 고딕" w:eastAsia="맑은 고딕"/>
          <w:color w:val="202020"/>
          <w:sz w:val="20"/>
        </w:rPr>
        <w:t>새로운 조직에 적응할 때 가장 중요한 태도는 먼저 조직의 기준을 배우고, 이용자의 관점에서 업무를 살핀 뒤 확인한 내용을 동료와 공유하는 자세라고 생각합니다. 저는 비효율적인 장르별 정렬을 키워드·인기순으로 바꾸어 이용자 친화적으로 개선했고, 민원을 30% 줄였습니다. 익숙한 방식도 실제 이용 과정의 불편을 기준으로 다시 볼 때 더 나은 방법을 찾을 수 있다는 점을 배운 경험입니다. 인턴 근무를 시작하면 업무 용어, 처리 순서, 보고 시점, 자료 보관 기준을 먼저 질문하고 업무노트에 정리하겠습니다. 지시를 받으면 목적·기한·완료 기준을 제 말로 되짚어 이해가 맞는지 확인하겠습니다. 모르는 내용은 추측하지 않고 내부 지침과 확인 가능한 자료를 먼저 살핀 뒤, 남은 질문을 담당자에게 여쭙겠습니다. 받은 피드백은 바로 기록해 같은 실수를 반복하지 않고, 진행 상황과 보완이 필요한 부분을 동료에게 미리 공유하겠습니다. 조직의 기준을 존중하면서도 이용자와 동료의 불편을 세심히 살피는 인턴으로 적응하겠습니다.</w:t>
      </w:r>
    </w:p>
    <w:p>
      <w:pPr>
        <w:spacing w:after="40"/>
        <w:jc w:val="right"/>
      </w:pPr>
      <w:r>
        <w:rPr>
          <w:rFonts w:ascii="맑은 고딕" w:hAnsi="맑은 고딕" w:eastAsia="맑은 고딕"/>
          <w:color w:val="6E6E6E"/>
          <w:sz w:val="16"/>
        </w:rPr>
        <w:t>공백 포함 · 줄바꿈 제외 509자</w:t>
      </w:r>
    </w:p>
    <w:p>
      <w:pPr>
        <w:keepNext/>
        <w:spacing w:before="220" w:after="60"/>
      </w:pPr>
      <w:r>
        <w:rPr>
          <w:rFonts w:ascii="맑은 고딕" w:hAnsi="맑은 고딕" w:eastAsia="맑은 고딕"/>
          <w:b/>
          <w:color w:val="143E68"/>
          <w:sz w:val="24"/>
        </w:rPr>
        <w:t>문항 3</w:t>
      </w:r>
    </w:p>
    <w:p>
      <w:pPr>
        <w:keepNext/>
        <w:spacing w:after="100" w:line="276" w:lineRule="auto"/>
      </w:pPr>
      <w:r>
        <w:rPr>
          <w:rFonts w:ascii="맑은 고딕" w:hAnsi="맑은 고딕" w:eastAsia="맑은 고딕"/>
          <w:b/>
          <w:color w:val="555555"/>
          <w:sz w:val="18"/>
        </w:rPr>
        <w:t>신용보증기금의 청년인턴으로 근무한다고 가정할 때, 실제 근무 시 지원자의 업무수행계획을 기술하여 주십시오.</w:t>
      </w:r>
    </w:p>
    <w:p>
      <w:pPr>
        <w:widowControl/>
        <w:spacing w:after="100" w:line="322" w:lineRule="auto"/>
        <w:ind w:firstLine="227"/>
      </w:pPr>
      <w:r>
        <w:rPr>
          <w:rFonts w:ascii="맑은 고딕" w:hAnsi="맑은 고딕" w:eastAsia="맑은 고딕"/>
          <w:color w:val="202020"/>
          <w:sz w:val="20"/>
        </w:rPr>
        <w:t>신용보증 기한연장과 기업신용 상시관리 업무를 접수, 대조, 보고, 인계의 순서로 지원하겠습니다. 먼저 담당자에게 당일 업무의 기준과 우선순위를 확인하고, 기한연장 건은 신청정보와 제출자료의 항목별 일치 여부와 누락 여부를 점검하겠습니다. 기업신용 상시관리에서는 새 자료와 기존 기록의 변동 사항을 살피고, 확인된 사실과 추가 확인이 필요한 내용을 구분해 기록하겠습니다. 저는 동일한 데이터를 기존 엑셀 수식과 외주 프로그램에 각각 입력해 결과 비교 분석 보고서를 작성하고 팀장에게 보고한 경험이 있습니다. 이처럼 한쪽 결과만 믿지 않고 서로 다른 자료의 내용을 대조하겠습니다. 불일치가 있으면 임의로 판단하지 않고 관련 문서와 확인 항목을 묶어 담당자에게 보고한 뒤 지시에 따라 보완하겠습니다. 처리 후에는 조치 결과, 미완료 사유, 다음 행동과 자료 위치를 남겨 후속 업무가 바로 이어지게 하겠습니다. 퇴근 전에는 누락과 기한을 다시 확인해 정확한 검토와 고객 안내를 뒷받침하겠습니다. 작은 업무도 끝까지 책임지겠습니다.</w:t>
      </w:r>
    </w:p>
    <w:p>
      <w:pPr>
        <w:spacing w:after="40"/>
        <w:jc w:val="right"/>
      </w:pPr>
      <w:r>
        <w:rPr>
          <w:rFonts w:ascii="맑은 고딕" w:hAnsi="맑은 고딕" w:eastAsia="맑은 고딕"/>
          <w:color w:val="6E6E6E"/>
          <w:sz w:val="16"/>
        </w:rPr>
        <w:t>공백 포함 · 줄바꿈 제외 516자</w:t>
      </w:r>
    </w:p>
    <w:p>
      <w:pPr>
        <w:keepNext/>
        <w:spacing w:before="220" w:after="60"/>
      </w:pPr>
      <w:r>
        <w:rPr>
          <w:rFonts w:ascii="맑은 고딕" w:hAnsi="맑은 고딕" w:eastAsia="맑은 고딕"/>
          <w:b/>
          <w:color w:val="143E68"/>
          <w:sz w:val="24"/>
        </w:rPr>
        <w:t>문항 4</w:t>
      </w:r>
    </w:p>
    <w:p>
      <w:pPr>
        <w:keepNext/>
        <w:spacing w:after="100" w:line="276" w:lineRule="auto"/>
      </w:pPr>
      <w:r>
        <w:rPr>
          <w:rFonts w:ascii="맑은 고딕" w:hAnsi="맑은 고딕" w:eastAsia="맑은 고딕"/>
          <w:b/>
          <w:color w:val="555555"/>
          <w:sz w:val="18"/>
        </w:rPr>
        <w:t>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widowControl/>
        <w:spacing w:after="100" w:line="322" w:lineRule="auto"/>
        <w:ind w:firstLine="227"/>
      </w:pPr>
      <w:r>
        <w:rPr>
          <w:rFonts w:ascii="맑은 고딕" w:hAnsi="맑은 고딕" w:eastAsia="맑은 고딕"/>
          <w:color w:val="202020"/>
          <w:sz w:val="20"/>
        </w:rPr>
        <w:t>최근 중소기업에 큰 영향을 미치는 이슈로 높은 환율 변동성을 선택하겠습니다. 한국은행이 높은 환율 변동성과 중동지역 리스크를 점검하며 14조원 한도의 중소기업 한시 특별지원 운용기간을 재연장한 것은 환율 충격이 기업의 금융 여건과 현금흐름에 영향을 줄 수 있음을 보여 줍니다.</w:t>
      </w:r>
    </w:p>
    <w:p>
      <w:pPr>
        <w:widowControl/>
        <w:spacing w:after="100" w:line="322" w:lineRule="auto"/>
        <w:ind w:firstLine="227"/>
      </w:pPr>
      <w:r>
        <w:rPr>
          <w:rFonts w:ascii="맑은 고딕" w:hAnsi="맑은 고딕" w:eastAsia="맑은 고딕"/>
          <w:color w:val="202020"/>
          <w:sz w:val="20"/>
        </w:rPr>
        <w:t>수입 원재료나 부품을 외화로 결제하는 기업은 환율이 오르면 매입비와 운전자금 수요가 커질 수 있습니다. 가격 전가력이 약하면 늘어난 비용을 납품가격에 바로 반영하기 어려워 매출이 유지돼도 현금흐름이 압박받을 수 있습니다. 반면 외화 매출이나 수출 비중이 높은 기업에는 고환율이 다른 방향으로 작용할 수 있습니다. 따라서 수출기업인지 여부만으로 피해와 수혜를 나누지 말고 수입 투입 비중, 결제 통화, 대금 회수 시점, 가격 전가 가능성을 함께 살펴야 합니다.</w:t>
      </w:r>
    </w:p>
    <w:p>
      <w:pPr>
        <w:widowControl/>
        <w:spacing w:after="100" w:line="322" w:lineRule="auto"/>
        <w:ind w:firstLine="227"/>
      </w:pPr>
      <w:r>
        <w:rPr>
          <w:rFonts w:ascii="맑은 고딕" w:hAnsi="맑은 고딕" w:eastAsia="맑은 고딕"/>
          <w:color w:val="202020"/>
          <w:sz w:val="20"/>
        </w:rPr>
        <w:t>정책금융기관은 환율 노출이 실제 자금 공백으로 이어진 기업을 먼저 가려내야 합니다. 외화 매입·매출 구조, 수주와 결제 일정, 기존 차입의 만기를 확인해 일시적 유동성 부족과 구조적 부실을 구분하고, 회복 가능성이 있으나 결제 공백을 겪는 기업에는 필요한 기간과 규모에 맞춰 운전자금 보증이나 만기 조정을 검토할 수 있습니다. 신용보증기금은 지역 소재 수출기업 등의 유동성과 금융비용 부담을 완화하기 위해 협약보증을 공급하고 있습니다. 이 제도의 취지를 살리되, 단순히 수출기업이라는 이유가 아니라 기업별 환율 충격과 현금흐름을 확인해 지원 우선순위를 정해야 합니다.</w:t>
      </w:r>
    </w:p>
    <w:p>
      <w:pPr>
        <w:widowControl/>
        <w:spacing w:after="100" w:line="322" w:lineRule="auto"/>
        <w:ind w:firstLine="227"/>
      </w:pPr>
      <w:r>
        <w:rPr>
          <w:rFonts w:ascii="맑은 고딕" w:hAnsi="맑은 고딕" w:eastAsia="맑은 고딕"/>
          <w:color w:val="202020"/>
          <w:sz w:val="20"/>
        </w:rPr>
        <w:t>지원 과정에서는 신속성과 건전성을 함께 지켜야 합니다. 계약서, 결제 통화, 매입·매출 일정과 기존 금융 부담을 교차 확인하되, 확인이 길어져 필요한 시기를 놓치지 않도록 필수 항목을 표준화할 필요가 있습니다. 매출 감소나 원가 상승만으로 환율 피해를 단정하거나 기존 부실을 단순히 연장하는 지원도 피해야 합니다. 지원 후에는 자금 사용 목적, 매출채권 회수, 연체 가능성, 환율 노출 변화를 점검해 추가 지원이나 위험 축소 여부를 판단해야 합니다. 지원 기준과 점검 결과를 일관되게 기록해 다음 판단에도 활용해야 합니다. 환위험 관리 안내와 거래 조건 점검 같은 비금융 지원도 연결한다면 기업의 대응 역량을 높일 수 있습니다. 결국 기업별 충격의 방향과 실제 현금흐름을 기준으로 선별하고 사후관리해야 필요한 기업의 회복 가능성과 보증 재원의 책임성을 함께 지킬 수 있습니다.</w:t>
      </w:r>
    </w:p>
    <w:p>
      <w:pPr>
        <w:spacing w:after="40"/>
        <w:jc w:val="right"/>
      </w:pPr>
      <w:r>
        <w:rPr>
          <w:rFonts w:ascii="맑은 고딕" w:hAnsi="맑은 고딕" w:eastAsia="맑은 고딕"/>
          <w:color w:val="6E6E6E"/>
          <w:sz w:val="16"/>
        </w:rPr>
        <w:t>공백 포함 · 줄바꿈 제외 1,161자</w:t>
      </w:r>
    </w:p>
    <w:sectPr w:rsidR="00FC693F" w:rsidRPr="0006063C" w:rsidSect="00034616">
      <w:footerReference w:type="default" r:id="rId9"/>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757575"/>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신용보증기금 체험형 청년인턴1(보증) 자기소개서</dc:title>
  <dc:subject>최종 제출본</dc:subject>
  <dc:creator>지원자</dc:creator>
  <cp:keywords>신용보증기금, 청년인턴, 보증, 자기소개서</cp:keywords>
  <dc:description>generated by python-docx</dc:description>
  <cp:lastModifiedBy/>
  <cp:revision>1</cp:revision>
  <dcterms:created xsi:type="dcterms:W3CDTF">2013-12-23T23:15:00Z</dcterms:created>
  <dcterms:modified xsi:type="dcterms:W3CDTF">2013-12-23T23:15:00Z</dcterms:modified>
  <cp:category/>
</cp:coreProperties>
</file>