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rPr>
          <w:rFonts w:ascii="맑은 고딕" w:hAnsi="맑은 고딕" w:eastAsia="맑은 고딕"/>
          <w:b/>
          <w:color w:val="1F4E79"/>
          <w:sz w:val="48"/>
        </w:rPr>
        <w:t>자기소개서</w:t>
      </w:r>
    </w:p>
    <w:p>
      <w:pPr>
        <w:keepNext/>
        <w:spacing w:after="400"/>
        <w:jc w:val="center"/>
      </w:pPr>
      <w:r>
        <w:rPr>
          <w:rFonts w:ascii="맑은 고딕" w:hAnsi="맑은 고딕" w:eastAsia="맑은 고딕"/>
          <w:b w:val="0"/>
          <w:color w:val="666666"/>
          <w:sz w:val="21"/>
        </w:rPr>
        <w:t>신용보증기금 체험형 청년인턴1(보증)</w:t>
      </w:r>
    </w:p>
    <w:p>
      <w:pPr>
        <w:keepNext/>
        <w:spacing w:before="0" w:after="140" w:line="300" w:lineRule="auto"/>
      </w:pPr>
      <w:r>
        <w:rPr>
          <w:rFonts w:ascii="맑은 고딕" w:hAnsi="맑은 고딕" w:eastAsia="맑은 고딕"/>
          <w:b/>
          <w:color w:val="2E75B6"/>
          <w:sz w:val="27"/>
        </w:rPr>
        <w:t>1. 신용보증기금 청년인턴에 지원하게 된 동기와 신용보증기금의 역할에 대한 본인의 이해를 바탕으로 인턴 근무 중 배우고, 기여하고 싶은 부분을 기술하여 주십시오.</w:t>
      </w:r>
    </w:p>
    <w:p>
      <w:pPr>
        <w:keepNext/>
        <w:spacing w:after="140"/>
      </w:pPr>
      <w:r>
        <w:rPr>
          <w:rFonts w:ascii="맑은 고딕" w:hAnsi="맑은 고딕" w:eastAsia="맑은 고딕"/>
          <w:b w:val="0"/>
          <w:color w:val="666666"/>
          <w:sz w:val="17"/>
        </w:rPr>
        <w:t>제한: 600자 (공백 포함) · 현재: 452자</w:t>
      </w:r>
    </w:p>
    <w:p>
      <w:pPr>
        <w:widowControl/>
        <w:spacing w:line="365" w:lineRule="auto" w:after="0"/>
      </w:pPr>
      <w:r>
        <w:rPr>
          <w:rFonts w:ascii="맑은 고딕" w:hAnsi="맑은 고딕" w:eastAsia="맑은 고딕"/>
          <w:b w:val="0"/>
          <w:sz w:val="21"/>
        </w:rPr>
        <w:t>담보가 부족하다는 이유로 성장 가능성까지 멈춰서는 안 된다고 생각해 신용보증기금 보증 분야 청년인턴에 지원했습니다. 신용보증기금은 기업이 부담하는 채무를 보증해 성장유망기업을 지원하며 보증신청 후 신용조사와 보증심사를 수행하는 기관으로 이해하고 있습니다. 보증 기한연장과 기업신용 상시관리는 보증 이후에도 기업의 변화를 놓치지 않는 과정입니다. 저는 동일한 데이터를 기존 엑셀 수식과 외주 프로그램에 각각 입력해 결과를 비교하고 분석 보고서를 작성해 팀장에게 보고한 경험이 있습니다. 근무 중에는 이때처럼 제출자료의 항목과 기준부터 익히고 문서마다 같은 정보가 일치하는지 대조하겠습니다. 판단이 필요한 사항은 넘겨짚지 않고 근거와 함께 담당자에게 보고하겠습니다. 현장에서 보증 업무의 흐름과 기업을 보는 기준을 배우며 정확한 자료 확인과 한눈에 들어오는 보고로 담당자의 신속하고 책임 있는 판단을 돕겠습니다.</w:t>
      </w:r>
    </w:p>
    <w:p>
      <w:pPr>
        <w:keepNext/>
        <w:spacing w:before="200" w:after="140" w:line="300" w:lineRule="auto"/>
      </w:pPr>
      <w:r>
        <w:rPr>
          <w:rFonts w:ascii="맑은 고딕" w:hAnsi="맑은 고딕" w:eastAsia="맑은 고딕"/>
          <w:b/>
          <w:color w:val="2E75B6"/>
          <w:sz w:val="27"/>
        </w:rPr>
        <w:t>2. 지원자가 새로운 조직에 적응하기 위해 중요하게 생각하는 태도가 무엇이며, 그 태도를 실제 근무과정에서 실천하기 위해 어떤 노력을 할 것인지 기술하여 주십시오.</w:t>
      </w:r>
    </w:p>
    <w:p>
      <w:pPr>
        <w:keepNext/>
        <w:spacing w:after="140"/>
      </w:pPr>
      <w:r>
        <w:rPr>
          <w:rFonts w:ascii="맑은 고딕" w:hAnsi="맑은 고딕" w:eastAsia="맑은 고딕"/>
          <w:b w:val="0"/>
          <w:color w:val="666666"/>
          <w:sz w:val="17"/>
        </w:rPr>
        <w:t>제한: 600자 (공백 포함) · 현재: 433자</w:t>
      </w:r>
    </w:p>
    <w:p>
      <w:pPr>
        <w:widowControl/>
        <w:spacing w:line="365" w:lineRule="auto" w:after="0"/>
      </w:pPr>
      <w:r>
        <w:rPr>
          <w:rFonts w:ascii="맑은 고딕" w:hAnsi="맑은 고딕" w:eastAsia="맑은 고딕"/>
          <w:b w:val="0"/>
          <w:sz w:val="21"/>
        </w:rPr>
        <w:t>새 조직에서는 모르는 것을 감추지 않고 기준부터 묻는 태도가 가장 중요합니다. 처음부터 아는 척하면 작은 누락이 잘못된 습관으로 굳을 수 있기 때문입니다. 업무 중 담당 공무원에게 더 나은 제안을 요청받았을 때도 주어진 상황을 먼저 살핀 뒤 의견을 제시했습니다. 인턴 근무를 시작하면 업무 용어와 처리 순서, 결재·보고 기준을 질문하고 업무노트에 정리하겠습니다. 특히 신용보증 기한연장과 기업신용 상시관리에서는 목적·기한·완료 기준을 제 말로 되짚어 이해가 맞는지 확인하겠습니다. 완료 보고에서는 처리한 내용과 남은 쟁점을 나누고 매일 마감 전 누락·기한·파일명을 살피겠습니다. 수정 지시를 받으면 틀린 이유와 올바른 기준을 함께 기록하고 진행 상황을 동료에게 미리 공유하겠습니다. 질문하고 기록한 뒤 다시 확인하는 과정을 습관으로 만들어 같은 실수를 되풀이하지 않겠습니다.</w:t>
      </w:r>
    </w:p>
    <w:p>
      <w:pPr>
        <w:keepNext/>
        <w:spacing w:before="200" w:after="140" w:line="300" w:lineRule="auto"/>
      </w:pPr>
      <w:r>
        <w:rPr>
          <w:rFonts w:ascii="맑은 고딕" w:hAnsi="맑은 고딕" w:eastAsia="맑은 고딕"/>
          <w:b/>
          <w:color w:val="2E75B6"/>
          <w:sz w:val="27"/>
        </w:rPr>
        <w:t>3. 신용보증기금의 청년인턴으로 근무한다고 가정할 때, 실제 근무 시 지원자의 업무수행계획을 기술하여 주십시오.</w:t>
      </w:r>
    </w:p>
    <w:p>
      <w:pPr>
        <w:keepNext/>
        <w:spacing w:after="140"/>
      </w:pPr>
      <w:r>
        <w:rPr>
          <w:rFonts w:ascii="맑은 고딕" w:hAnsi="맑은 고딕" w:eastAsia="맑은 고딕"/>
          <w:b w:val="0"/>
          <w:color w:val="666666"/>
          <w:sz w:val="17"/>
        </w:rPr>
        <w:t>제한: 600자 (공백 포함) · 현재: 515자</w:t>
      </w:r>
    </w:p>
    <w:p>
      <w:pPr>
        <w:widowControl/>
        <w:spacing w:line="365" w:lineRule="auto" w:after="0"/>
      </w:pPr>
      <w:r>
        <w:rPr>
          <w:rFonts w:ascii="맑은 고딕" w:hAnsi="맑은 고딕" w:eastAsia="맑은 고딕"/>
          <w:b w:val="0"/>
          <w:sz w:val="21"/>
        </w:rPr>
        <w:t>신용보증기금 보증 분야 청년인턴의 주요업무인 신용보증 기한연장과 기업신용 상시관리를 ‘확인한 것은 분명히, 확인하지 못한 것은 그대로’ 보고하는 방식으로 수행하겠습니다. 먼저 당일 배정 건의 처리기한과 우선순위를 확인하겠습니다. 기한연장 건은 신청정보와 제출자료가 항목별로 일치하는지와 빠진 자료는 없는지를 체크리스트로 살피겠습니다. 기업신용 상시관리에서는 새 자료와 기존 기록의 변동 사항을 대조하고 확인된 사실과 제 판단을 나눠 메모하겠습니다. 상인 50명을 인터뷰하고 5개 타 시장을 비교해 문제점과 개선 방안을 도출했던 경험처럼 한 자료에만 기대지 않고 비교 기준을 세워 이상 징후를 찾겠습니다. 불일치나 판단이 필요한 내용은 근거 문서, 확인 항목, 미확인 사항을 묶어 담당자에게 보고하겠습니다. 처리 후에는 결과와 후속 확인일을 기록하고 미완료 건은 상태·사유·다음 조치를 적어 인계하겠습니다. 예외 기준은 업무노트에 남기고 퇴근 전 누락과 기한을 다시 확인해 제 자리에서 업무 흐름이 끊기지 않게 하겠습니다.</w:t>
      </w:r>
    </w:p>
    <w:p>
      <w:pPr>
        <w:keepNext/>
        <w:spacing w:before="200" w:after="140" w:line="300" w:lineRule="auto"/>
      </w:pPr>
      <w:r>
        <w:rPr>
          <w:rFonts w:ascii="맑은 고딕" w:hAnsi="맑은 고딕" w:eastAsia="맑은 고딕"/>
          <w:b/>
          <w:color w:val="2E75B6"/>
          <w:sz w:val="27"/>
        </w:rP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keepNext/>
        <w:spacing w:after="140"/>
      </w:pPr>
      <w:r>
        <w:rPr>
          <w:rFonts w:ascii="맑은 고딕" w:hAnsi="맑은 고딕" w:eastAsia="맑은 고딕"/>
          <w:b w:val="0"/>
          <w:color w:val="666666"/>
          <w:sz w:val="17"/>
        </w:rPr>
        <w:t>제한: 1,500자 (공백 포함) · 현재: 1,229자</w:t>
      </w:r>
    </w:p>
    <w:p>
      <w:pPr>
        <w:widowControl/>
        <w:spacing w:line="365" w:lineRule="auto" w:after="120"/>
      </w:pPr>
      <w:r>
        <w:rPr>
          <w:rFonts w:ascii="맑은 고딕" w:hAnsi="맑은 고딕" w:eastAsia="맑은 고딕"/>
          <w:b w:val="0"/>
          <w:sz w:val="21"/>
        </w:rPr>
        <w:t>최근 중소기업에 큰 영향을 미치는 이슈로 높은 환율 변동성과 중동지역 리스크를 꼽겠습니다. 한국은행이 이 위험을 점검하며 14조원 한도의 중소기업 한시 특별지원 운용기간을 다시 연장했다는 점은 문제가 특정 시점의 환율 수준보다 비용과 현금흐름을 예측하기 어려워진 데 있음을 보여 줍니다.</w:t>
      </w:r>
    </w:p>
    <w:p>
      <w:pPr>
        <w:widowControl/>
        <w:spacing w:line="365" w:lineRule="auto" w:after="120"/>
      </w:pPr>
      <w:r>
        <w:rPr>
          <w:rFonts w:ascii="맑은 고딕" w:hAnsi="맑은 고딕" w:eastAsia="맑은 고딕"/>
          <w:b w:val="0"/>
          <w:sz w:val="21"/>
        </w:rPr>
        <w:t>자금과 인력이 제한된 중소기업은 가격 변동을 오래 흡수하거나 거래 조건을 곧바로 바꾸기 어렵습니다. 수입 원재료나 외화 결제 비중이 큰 기업은 매입 부담이 커지며 이를 납품가격에 제때 반영하지 못하면 영업 현금흐름이 압박받을 수 있습니다. 다만 고환율이 수출 가격경쟁력에는 유리할 수 있습니다. 같은 수출기업도 수입 투입 비중, 결제 통화, 대금 회수 시점에 따라 손익이 달라지므로 ‘수출기업은 모두 수혜 또는 피해’라고 묶어서는 안 됩니다.</w:t>
      </w:r>
    </w:p>
    <w:p>
      <w:pPr>
        <w:widowControl/>
        <w:spacing w:line="365" w:lineRule="auto" w:after="120"/>
      </w:pPr>
      <w:r>
        <w:rPr>
          <w:rFonts w:ascii="맑은 고딕" w:hAnsi="맑은 고딕" w:eastAsia="맑은 고딕"/>
          <w:b w:val="0"/>
          <w:sz w:val="21"/>
        </w:rPr>
        <w:t>정책금융기관은 기업별 환율 노출과 단기 유동성 필요를 먼저 구분해야 합니다. 매출 구조와 수입 원재료·외화 결제 비중, 수주·대금 회수 일정, 기존 차입 만기를 확인해 환율 변동이 실제 현금흐름 부족으로 이어지는지 살펴야 합니다. 일시적인 결제 공백이 확인된 기업에는 운전자금 보증과 만기 구조 조정을 연계하고, 금융비용 부담이 큰 기업에는 위험 수준에 맞는 보증 조건을 설계할 수 있습니다. 신용보증기금도 지역 수출기업 등의 유동성과 금융비용 부담을 낮추기 위해 협약보증을 공급하고 있습니다. 이 취지를 살리되 단순히 수출기업이라는 이유가 아니라 환율 충격의 방향과 규모를 자료로 확인해 지원 순서를 정해야 합니다.</w:t>
      </w:r>
    </w:p>
    <w:p>
      <w:pPr>
        <w:widowControl/>
        <w:spacing w:line="365" w:lineRule="auto" w:after="120"/>
      </w:pPr>
      <w:r>
        <w:rPr>
          <w:rFonts w:ascii="맑은 고딕" w:hAnsi="맑은 고딕" w:eastAsia="맑은 고딕"/>
          <w:b w:val="0"/>
          <w:sz w:val="21"/>
        </w:rPr>
        <w:t>지원 과정에서는 속도와 건전성을 함께 지켜야 합니다. 자금 공백을 놓치지 않도록 필수 확인항목을 표준화하되 매출 감소나 원가 상승만 보고 환율 피해라고 단정해서는 안 됩니다. 계약서와 결제 통화, 매입·매출 일정, 기존 금융 부담을 교차 확인해 경영 부진이 구조적 문제인지 외부 충격에 따른 일시적 문제인지 구분해야 합니다. 지원 후에도 자금 사용 목적과 대금 회수, 연체 가능성, 환율 노출 변화를 확인해 추가 지원과 위험 축소를 판단해야 합니다. 지원이 기존 채무의 단순 연장에 그치지 않도록 원가 관리, 거래 조건 조정, 환위험 관리 안내와도 연결해야 합니다. 거래은행·유관기관과 연계해 결제 통화 조정이나 가격 조건 재협상처럼 기업이 스스로 위험을 낮출 선택지도 안내할 필요가 있습니다. 결국 기업마다 충격의 방향을 나누고 실제 현금흐름을 기준으로 선별·사후관리해야 필요한 기업의 유동성과 보증 재원의 책임성을 함께 지킬 수 있습니다.</w:t>
      </w:r>
    </w:p>
    <w:sectPr w:rsidR="00FC693F" w:rsidRPr="0006063C" w:rsidSect="00034616">
      <w:footerReference w:type="default" r:id="rId9"/>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신용보증기금 체험형 청년인턴1(보증) 자기소개서</dc:title>
  <dc:subject>자기소개서</dc:subject>
  <dc:creator>지원자</dc:creator>
  <cp:keywords/>
  <dc:description>generated by python-docx</dc:description>
  <cp:lastModifiedBy/>
  <cp:revision>1</cp:revision>
  <dcterms:created xsi:type="dcterms:W3CDTF">2013-12-23T23:15:00Z</dcterms:created>
  <dcterms:modified xsi:type="dcterms:W3CDTF">2013-12-23T23:15:00Z</dcterms:modified>
  <cp:category/>
</cp:coreProperties>
</file>