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신규 10 kW급 개질기 단독 및</w:t>
        <w:br/>
        <w:t>PROX 연계 운전 평가 보고서</w:t>
      </w:r>
    </w:p>
    <w:tbl>
      <w:tblPr>
        <w:tblStyle w:val="TableGrid"/>
        <w:tblW w:type="auto" w:w="0"/>
        <w:jc w:val="center"/>
        <w:tblLook w:firstColumn="1" w:firstRow="1" w:lastColumn="0" w:lastRow="0" w:noHBand="0" w:noVBand="1" w:val="04A0"/>
      </w:tblPr>
      <w:tblGrid>
        <w:gridCol w:w="4986"/>
        <w:gridCol w:w="4986"/>
      </w:tblGrid>
      <w:tr>
        <w:tc>
          <w:tcPr>
            <w:tcW w:type="dxa" w:w="4986"/>
            <w:vAlign w:val="center"/>
            <w:shd w:fill="D9EAF7"/>
          </w:tcPr>
          <w:p>
            <w:pPr>
              <w:jc w:val="center"/>
            </w:pPr>
            <w:r/>
            <w:r>
              <w:rPr>
                <w:rFonts w:ascii="맑은 고딕" w:hAnsi="맑은 고딕" w:eastAsia="맑은 고딕"/>
                <w:b/>
                <w:sz w:val="18"/>
              </w:rPr>
              <w:t>작성일자</w:t>
            </w:r>
          </w:p>
        </w:tc>
        <w:tc>
          <w:tcPr>
            <w:tcW w:type="dxa" w:w="4986"/>
            <w:vAlign w:val="center"/>
          </w:tcPr>
          <w:p>
            <w:pPr>
              <w:jc w:val="center"/>
            </w:pPr>
            <w:r/>
            <w:r>
              <w:rPr>
                <w:rFonts w:ascii="맑은 고딕" w:hAnsi="맑은 고딕" w:eastAsia="맑은 고딕"/>
                <w:b w:val="0"/>
                <w:sz w:val="18"/>
              </w:rPr>
              <w:t>2026. 00. 00</w:t>
            </w:r>
          </w:p>
        </w:tc>
      </w:tr>
      <w:tr>
        <w:tc>
          <w:tcPr>
            <w:tcW w:type="dxa" w:w="4986"/>
            <w:vAlign w:val="center"/>
            <w:shd w:fill="D9EAF7"/>
          </w:tcPr>
          <w:p>
            <w:pPr>
              <w:jc w:val="center"/>
            </w:pPr>
            <w:r/>
            <w:r>
              <w:rPr>
                <w:rFonts w:ascii="맑은 고딕" w:hAnsi="맑은 고딕" w:eastAsia="맑은 고딕"/>
                <w:b/>
                <w:sz w:val="18"/>
              </w:rPr>
              <w:t>작성자</w:t>
            </w:r>
          </w:p>
        </w:tc>
        <w:tc>
          <w:tcPr>
            <w:tcW w:type="dxa" w:w="4986"/>
            <w:vAlign w:val="center"/>
          </w:tcPr>
          <w:p>
            <w:pPr>
              <w:jc w:val="center"/>
            </w:pPr>
            <w:r/>
            <w:r>
              <w:rPr>
                <w:rFonts w:ascii="맑은 고딕" w:hAnsi="맑은 고딕" w:eastAsia="맑은 고딕"/>
                <w:b w:val="0"/>
                <w:sz w:val="18"/>
              </w:rPr>
              <w:t>○○○</w:t>
            </w:r>
          </w:p>
        </w:tc>
      </w:tr>
      <w:tr>
        <w:tc>
          <w:tcPr>
            <w:tcW w:type="dxa" w:w="4986"/>
            <w:vAlign w:val="center"/>
            <w:shd w:fill="D9EAF7"/>
          </w:tcPr>
          <w:p>
            <w:pPr>
              <w:jc w:val="center"/>
            </w:pPr>
            <w:r/>
            <w:r>
              <w:rPr>
                <w:rFonts w:ascii="맑은 고딕" w:hAnsi="맑은 고딕" w:eastAsia="맑은 고딕"/>
                <w:b/>
                <w:sz w:val="18"/>
              </w:rPr>
              <w:t>대상 장비</w:t>
            </w:r>
          </w:p>
        </w:tc>
        <w:tc>
          <w:tcPr>
            <w:tcW w:type="dxa" w:w="4986"/>
            <w:vAlign w:val="center"/>
          </w:tcPr>
          <w:p>
            <w:pPr>
              <w:jc w:val="center"/>
            </w:pPr>
            <w:r/>
            <w:r>
              <w:rPr>
                <w:rFonts w:ascii="맑은 고딕" w:hAnsi="맑은 고딕" w:eastAsia="맑은 고딕"/>
                <w:b w:val="0"/>
                <w:sz w:val="18"/>
              </w:rPr>
              <w:t>신규 개발 10 kW급 개질기 및 PROX</w:t>
            </w:r>
          </w:p>
        </w:tc>
      </w:tr>
    </w:tbl>
    <w:p/>
    <w:p>
      <w:pPr>
        <w:pStyle w:val="Heading1"/>
      </w:pPr>
      <w:r>
        <w:t>1. 평가 개요</w:t>
      </w:r>
    </w:p>
    <w:p>
      <w:pPr>
        <w:pStyle w:val="Heading2"/>
      </w:pPr>
      <w:r>
        <w:t>1.1 평가 목적</w:t>
      </w:r>
    </w:p>
    <w:p>
      <w:r>
        <w:t>신규 개발된 10 kW급 개질기의 단독 운전 및 PROX 연계 운전 성능을 확인하고, 기존 DRFC 개질기와 주요 운전 특성을 비교하고자 함. PROX 연계 운전에서는 최종 정제 가스의 CO 농도를 확인하여 스택 인입 기준 충족 여부를 점검함.</w:t>
      </w:r>
    </w:p>
    <w:p>
      <w:r>
        <w:t>신규 평가 장치를 이용하여 개질수와 NG 펌프를 외부에서 독립 제어하고, 운전 중 유량 추종성과 제어 안정성을 함께 확인함.</w:t>
      </w:r>
    </w:p>
    <w:p>
      <w:pPr>
        <w:pStyle w:val="Heading2"/>
      </w:pPr>
      <w:r>
        <w:t>1.2 평가 일정 및 범위</w:t>
      </w:r>
    </w:p>
    <w:tbl>
      <w:tblPr>
        <w:tblStyle w:val="TableGrid"/>
        <w:tblW w:type="auto" w:w="0"/>
        <w:jc w:val="center"/>
        <w:tblLook w:firstColumn="1" w:firstRow="1" w:lastColumn="0" w:lastRow="0" w:noHBand="0" w:noVBand="1" w:val="04A0"/>
      </w:tblPr>
      <w:tblGrid>
        <w:gridCol w:w="3324"/>
        <w:gridCol w:w="3324"/>
        <w:gridCol w:w="3324"/>
      </w:tblGrid>
      <w:tr>
        <w:tc>
          <w:tcPr>
            <w:tcW w:type="dxa" w:w="1247"/>
            <w:vAlign w:val="center"/>
            <w:shd w:fill="1F4E78"/>
          </w:tcPr>
          <w:p>
            <w:pPr>
              <w:jc w:val="center"/>
            </w:pPr>
            <w:r/>
            <w:r>
              <w:rPr>
                <w:rFonts w:ascii="맑은 고딕" w:hAnsi="맑은 고딕" w:eastAsia="맑은 고딕"/>
                <w:b/>
                <w:color w:val="FFFFFF"/>
                <w:sz w:val="18"/>
              </w:rPr>
              <w:t>구분</w:t>
            </w:r>
          </w:p>
        </w:tc>
        <w:tc>
          <w:tcPr>
            <w:tcW w:type="dxa" w:w="2835"/>
            <w:vAlign w:val="center"/>
            <w:shd w:fill="1F4E78"/>
          </w:tcPr>
          <w:p>
            <w:pPr>
              <w:jc w:val="center"/>
            </w:pPr>
            <w:r/>
            <w:r>
              <w:rPr>
                <w:rFonts w:ascii="맑은 고딕" w:hAnsi="맑은 고딕" w:eastAsia="맑은 고딕"/>
                <w:b/>
                <w:color w:val="FFFFFF"/>
                <w:sz w:val="18"/>
              </w:rPr>
              <w:t>평가 내용</w:t>
            </w:r>
          </w:p>
        </w:tc>
        <w:tc>
          <w:tcPr>
            <w:tcW w:type="dxa" w:w="4706"/>
            <w:vAlign w:val="center"/>
            <w:shd w:fill="1F4E78"/>
          </w:tcPr>
          <w:p>
            <w:pPr>
              <w:jc w:val="center"/>
            </w:pPr>
            <w:r/>
            <w:r>
              <w:rPr>
                <w:rFonts w:ascii="맑은 고딕" w:hAnsi="맑은 고딕" w:eastAsia="맑은 고딕"/>
                <w:b/>
                <w:color w:val="FFFFFF"/>
                <w:sz w:val="18"/>
              </w:rPr>
              <w:t>주요 확인 항목</w:t>
            </w:r>
          </w:p>
        </w:tc>
      </w:tr>
      <w:tr>
        <w:tc>
          <w:tcPr>
            <w:tcW w:type="dxa" w:w="1247"/>
            <w:vAlign w:val="center"/>
          </w:tcPr>
          <w:p>
            <w:pPr>
              <w:jc w:val="center"/>
            </w:pPr>
            <w:r/>
            <w:r>
              <w:rPr>
                <w:rFonts w:ascii="맑은 고딕" w:hAnsi="맑은 고딕" w:eastAsia="맑은 고딕"/>
                <w:b w:val="0"/>
                <w:sz w:val="18"/>
              </w:rPr>
              <w:t>1일 차</w:t>
            </w:r>
          </w:p>
        </w:tc>
        <w:tc>
          <w:tcPr>
            <w:tcW w:type="dxa" w:w="2835"/>
            <w:vAlign w:val="center"/>
          </w:tcPr>
          <w:p>
            <w:pPr>
              <w:jc w:val="center"/>
            </w:pPr>
            <w:r/>
            <w:r>
              <w:rPr>
                <w:rFonts w:ascii="맑은 고딕" w:hAnsi="맑은 고딕" w:eastAsia="맑은 고딕"/>
                <w:b w:val="0"/>
                <w:sz w:val="18"/>
              </w:rPr>
              <w:t>개질기 단독 운전</w:t>
            </w:r>
          </w:p>
        </w:tc>
        <w:tc>
          <w:tcPr>
            <w:tcW w:type="dxa" w:w="4706"/>
            <w:vAlign w:val="center"/>
          </w:tcPr>
          <w:p>
            <w:pPr>
              <w:jc w:val="center"/>
            </w:pPr>
            <w:r/>
            <w:r>
              <w:rPr>
                <w:rFonts w:ascii="맑은 고딕" w:hAnsi="맑은 고딕" w:eastAsia="맑은 고딕"/>
                <w:b w:val="0"/>
                <w:sz w:val="18"/>
              </w:rPr>
              <w:t>기동시간, 촉매층 온도, 압력, 개질가스 조성</w:t>
            </w:r>
          </w:p>
        </w:tc>
      </w:tr>
      <w:tr>
        <w:tc>
          <w:tcPr>
            <w:tcW w:type="dxa" w:w="1247"/>
            <w:vAlign w:val="center"/>
          </w:tcPr>
          <w:p>
            <w:pPr>
              <w:jc w:val="center"/>
            </w:pPr>
            <w:r/>
            <w:r>
              <w:rPr>
                <w:rFonts w:ascii="맑은 고딕" w:hAnsi="맑은 고딕" w:eastAsia="맑은 고딕"/>
                <w:b w:val="0"/>
                <w:sz w:val="18"/>
              </w:rPr>
              <w:t>2일 차</w:t>
            </w:r>
          </w:p>
        </w:tc>
        <w:tc>
          <w:tcPr>
            <w:tcW w:type="dxa" w:w="2835"/>
            <w:vAlign w:val="center"/>
          </w:tcPr>
          <w:p>
            <w:pPr>
              <w:jc w:val="center"/>
            </w:pPr>
            <w:r/>
            <w:r>
              <w:rPr>
                <w:rFonts w:ascii="맑은 고딕" w:hAnsi="맑은 고딕" w:eastAsia="맑은 고딕"/>
                <w:b w:val="0"/>
                <w:sz w:val="18"/>
              </w:rPr>
              <w:t>개질기–PROX 연계 운전</w:t>
            </w:r>
          </w:p>
        </w:tc>
        <w:tc>
          <w:tcPr>
            <w:tcW w:type="dxa" w:w="4706"/>
            <w:vAlign w:val="center"/>
          </w:tcPr>
          <w:p>
            <w:pPr>
              <w:jc w:val="center"/>
            </w:pPr>
            <w:r/>
            <w:r>
              <w:rPr>
                <w:rFonts w:ascii="맑은 고딕" w:hAnsi="맑은 고딕" w:eastAsia="맑은 고딕"/>
                <w:b w:val="0"/>
                <w:sz w:val="18"/>
              </w:rPr>
              <w:t>냉각수 유로, PROX 온도, 최종 가스 조성, CO 농도</w:t>
            </w:r>
          </w:p>
        </w:tc>
      </w:tr>
    </w:tbl>
    <w:p/>
    <w:p>
      <w:pPr>
        <w:pStyle w:val="Heading2"/>
      </w:pPr>
      <w:r>
        <w:t>1.3 주요 운전 조건</w:t>
      </w:r>
    </w:p>
    <w:p>
      <w:pPr>
        <w:pStyle w:val="ListBullet"/>
        <w:spacing w:after="40"/>
      </w:pPr>
      <w:r>
        <w:t>PNG 공급량: 38 LPM</w:t>
      </w:r>
    </w:p>
    <w:p>
      <w:pPr>
        <w:pStyle w:val="ListBullet"/>
        <w:spacing w:after="40"/>
      </w:pPr>
      <w:r>
        <w:t>개질수 공급량: 120 g/min</w:t>
      </w:r>
    </w:p>
    <w:p>
      <w:pPr>
        <w:pStyle w:val="ListBullet"/>
        <w:spacing w:after="40"/>
      </w:pPr>
      <w:r>
        <w:t>개질수 및 NG 펌프 독립 외부 제어</w:t>
      </w:r>
    </w:p>
    <w:p>
      <w:pPr>
        <w:pStyle w:val="ListBullet"/>
        <w:spacing w:after="40"/>
      </w:pPr>
      <w:r>
        <w:t>기존 DRFC 운전 데이터를 비교 기준으로 활용</w:t>
      </w:r>
    </w:p>
    <w:p>
      <w:pPr>
        <w:pStyle w:val="Heading1"/>
      </w:pPr>
      <w:r>
        <w:t>2. 개질기 및 냉각수 계통 구조</w:t>
      </w:r>
    </w:p>
    <w:p>
      <w:pPr>
        <w:pStyle w:val="Heading2"/>
      </w:pPr>
      <w:r>
        <w:t>2.1 촉매층 인입 구조</w:t>
      </w:r>
    </w:p>
    <w:p>
      <w:r>
        <w:t>기존 DRFC 개질기는 반응가스가 촉매층 상단으로 유입되는 구조임. 신규 개질기는 반응가스가 촉매층 하단으로 유입되어 상단으로 이동하도록 구조를 변경함. 가스 인입 방향이 변경되면서 촉매층 내부의 열분포와 온도 구배도 기존 장비와 다르게 형성됨.</w:t>
      </w:r>
    </w:p>
    <w:p>
      <w:r>
        <w:t>SMR 내부 유로는 하단 내측 유입, 상단 내측 이동, 상단 외측 전환, 하단 외측 배출 순으로 구성됨. 다단 유로를 통해 내부 열교환 면적과 체류시간을 확보함.</w:t>
      </w:r>
    </w:p>
    <w:p>
      <w:pPr>
        <w:pStyle w:val="Heading2"/>
      </w:pPr>
      <w:r>
        <w:t>2.2 기존 개질수 냉각·예열 유로</w:t>
      </w:r>
    </w:p>
    <w:p>
      <w:pPr>
        <w:jc w:val="center"/>
      </w:pPr>
      <w:r>
        <w:drawing>
          <wp:inline xmlns:a="http://schemas.openxmlformats.org/drawingml/2006/main" xmlns:pic="http://schemas.openxmlformats.org/drawingml/2006/picture">
            <wp:extent cx="5688000" cy="3763210"/>
            <wp:docPr id="1" name="Picture 1"/>
            <wp:cNvGraphicFramePr>
              <a:graphicFrameLocks noChangeAspect="1"/>
            </wp:cNvGraphicFramePr>
            <a:graphic>
              <a:graphicData uri="http://schemas.openxmlformats.org/drawingml/2006/picture">
                <pic:pic>
                  <pic:nvPicPr>
                    <pic:cNvPr id="0" name="image1.png"/>
                    <pic:cNvPicPr/>
                  </pic:nvPicPr>
                  <pic:blipFill>
                    <a:blip r:embed="rId9"/>
                    <a:stretch>
                      <a:fillRect/>
                    </a:stretch>
                  </pic:blipFill>
                  <pic:spPr>
                    <a:xfrm>
                      <a:off x="0" y="0"/>
                      <a:ext cx="5688000" cy="3763210"/>
                    </a:xfrm>
                    <a:prstGeom prst="rect"/>
                  </pic:spPr>
                </pic:pic>
              </a:graphicData>
            </a:graphic>
          </wp:inline>
        </w:drawing>
      </w:r>
    </w:p>
    <w:p>
      <w:pPr>
        <w:spacing w:after="160"/>
        <w:jc w:val="center"/>
      </w:pPr>
      <w:r>
        <w:rPr>
          <w:b/>
          <w:sz w:val="18"/>
        </w:rPr>
        <w:t>그림 1. 기존 개질수 냉각·예열 유로</w:t>
      </w:r>
    </w:p>
    <w:tbl>
      <w:tblPr>
        <w:tblW w:type="auto" w:w="0"/>
        <w:jc w:val="center"/>
        <w:tblLook w:firstColumn="1" w:firstRow="1" w:lastColumn="0" w:lastRow="0" w:noHBand="0" w:noVBand="1" w:val="04A0"/>
      </w:tblPr>
      <w:tblGrid>
        <w:gridCol w:w="9972"/>
      </w:tblGrid>
      <w:tr>
        <w:tc>
          <w:tcPr>
            <w:tcW w:type="dxa" w:w="9972"/>
            <w:shd w:fill="EAF2F8"/>
          </w:tcPr>
          <w:p>
            <w:pPr>
              <w:jc w:val="left"/>
            </w:pPr>
            <w:r>
              <w:rPr>
                <w:b/>
                <w:sz w:val="18"/>
              </w:rPr>
              <w:t>도면의 청색 배관은 개질가스 배관이 아니라 개질수 배관임. 개질가스의 PROX 유입 경로는 본 도면에서 생략함.</w:t>
            </w:r>
          </w:p>
        </w:tc>
      </w:tr>
    </w:tbl>
    <w:p/>
    <w:p>
      <w:r>
        <w:t>Water Tank의 개질수는 펌프를 통해 공급되며, 배가스 열교환기(HEX)에서 1차로 열을 회수한 후 PROX 냉각부로 유입됨. 개질수는 PROX의 열을 흡수하면서 PROX 온도를 낮추고, 이후 개질기로 공급됨.</w:t>
      </w:r>
    </w:p>
    <w:p>
      <w:r>
        <w:t>PROX 냉각부 기준 개질수 온도는 입구 약 50℃, 출구 약 62℃로 확인됨. 따라서 50℃와 62℃는 개질가스 온도가 아니라 PROX 냉각 전·후의 개질수 온도를 의미함.</w:t>
      </w:r>
    </w:p>
    <w:p>
      <w:r>
        <w:t>배가스 폐열과 PROX 발생열을 개질수 예열에 이용하여 별도 냉각 부하를 줄이고, 개질기로 유입되는 물의 예열 효과를 확보하는 구조임.</w:t>
      </w:r>
    </w:p>
    <w:p>
      <w:pPr>
        <w:pStyle w:val="Heading2"/>
      </w:pPr>
      <w:r>
        <w:t>2.3 추가 HEX 적용 냉각수 구조</w:t>
      </w:r>
    </w:p>
    <w:p>
      <w:pPr>
        <w:jc w:val="center"/>
      </w:pPr>
      <w:r>
        <w:drawing>
          <wp:inline xmlns:a="http://schemas.openxmlformats.org/drawingml/2006/main" xmlns:pic="http://schemas.openxmlformats.org/drawingml/2006/picture">
            <wp:extent cx="5688000" cy="3404954"/>
            <wp:docPr id="2" name="Picture 2"/>
            <wp:cNvGraphicFramePr>
              <a:graphicFrameLocks noChangeAspect="1"/>
            </wp:cNvGraphicFramePr>
            <a:graphic>
              <a:graphicData uri="http://schemas.openxmlformats.org/drawingml/2006/picture">
                <pic:pic>
                  <pic:nvPicPr>
                    <pic:cNvPr id="0" name="image2.png"/>
                    <pic:cNvPicPr/>
                  </pic:nvPicPr>
                  <pic:blipFill>
                    <a:blip r:embed="rId10"/>
                    <a:stretch>
                      <a:fillRect/>
                    </a:stretch>
                  </pic:blipFill>
                  <pic:spPr>
                    <a:xfrm>
                      <a:off x="0" y="0"/>
                      <a:ext cx="5688000" cy="3404954"/>
                    </a:xfrm>
                    <a:prstGeom prst="rect"/>
                  </pic:spPr>
                </pic:pic>
              </a:graphicData>
            </a:graphic>
          </wp:inline>
        </w:drawing>
      </w:r>
    </w:p>
    <w:p>
      <w:pPr>
        <w:spacing w:after="160"/>
        <w:jc w:val="center"/>
      </w:pPr>
      <w:r>
        <w:rPr>
          <w:b/>
          <w:sz w:val="18"/>
        </w:rPr>
        <w:t>그림 2. 추가 HEX 적용 개질수 냉각 구조</w:t>
      </w:r>
    </w:p>
    <w:p>
      <w:r>
        <w:t>개선안은 기존 유로에 열교환기를 추가하여 PROX 냉각수 온도와 개질기 인입수 온도를 조절하는 구조임. 개질수로 PROX를 냉각한 뒤 개질기로 공급하는 기본 방식은 유지하며, 추가 HEX를 통해 기동 초기의 과도한 예열과 조기 기화를 줄이고자 함.</w:t>
      </w:r>
    </w:p>
    <w:p>
      <w:r>
        <w:t>본 도면 역시 개질수 및 배가스 열회수 계통을 중심으로 나타낸 개념도이며, NG와 개질가스의 공정 배관은 표시하지 않음.</w:t>
      </w:r>
    </w:p>
    <w:p>
      <w:pPr>
        <w:pStyle w:val="Heading2"/>
      </w:pPr>
      <w:r>
        <w:t>2.4 저압 운전 구조</w:t>
      </w:r>
    </w:p>
    <w:p>
      <w:r>
        <w:t>기존 DRFC는 개질수를 전단에서 스팀으로 기화한 후 공급하는 구조로 약 100 kPa 수준의 압력이 형성됨. 신규 개질기는 액상 개질수를 내부로 공급한 후 회수열을 이용해 기화하는 방식을 적용함. 이번 운전에서 개질수 계통 압력은 약 10~20 kPa로 나타남.</w:t>
      </w:r>
    </w:p>
    <w:p>
      <w:r>
        <w:t>공급압력이 낮아져 펌프 부하를 줄일 수 있으나, BOP 소비전력 절감량은 자체 메인보드와 펌프를 적용한 통합 운전에서 별도로 확인할 필요가 있음.</w:t>
      </w:r>
    </w:p>
    <w:p>
      <w:pPr>
        <w:pStyle w:val="Heading1"/>
      </w:pPr>
      <w:r>
        <w:t>3. 개질기 단독 운전 결과</w:t>
      </w:r>
    </w:p>
    <w:p>
      <w:pPr>
        <w:pStyle w:val="Heading2"/>
      </w:pPr>
      <w:r>
        <w:t>3.1 기동 특성</w:t>
      </w:r>
    </w:p>
    <w:p>
      <w:r>
        <w:t>신규 개질기는 운전 시작 후 약 1.5시간에 정격조건에 도달함. 기존 DRFC의 정격 도달시간인 약 2.0~2.5시간과 비교하면 기동시간이 단축됨.</w:t>
      </w:r>
    </w:p>
    <w:p>
      <w:r>
        <w:t>개질수 투입 후 스팀 기화와 촉매층 온도 안정화를 위한 대기시간이 필요했음. 기동 초기에는 개질수 기화시점과 촉매층 승온시점이 맞지 않으면서 FEED 온도가 일시적으로 하락하고 가스 조성이 변동하는 현상이 나타남.</w:t>
      </w:r>
    </w:p>
    <w:p>
      <w:pPr>
        <w:pStyle w:val="Heading2"/>
      </w:pPr>
      <w:r>
        <w:t>3.2 촉매층 온도</w:t>
      </w:r>
    </w:p>
    <w:p>
      <w:r>
        <w:t>정격조건에서 SMR 관련 측정온도는 약 501~680℃ 범위로 나타났으며, 운전 중 500℃ 이상을 유지함. 관리기준인 800℃ 이하 조건을 충족했으며, 하단 인입 및 다단 유로 적용에 따른 급격한 온도 변동이나 국부 과열은 확인되지 않음.</w:t>
      </w:r>
    </w:p>
    <w:p>
      <w:r>
        <w:t>[개질기 단독 운전 UI 및 온도·압력 그래프 삽입]</w:t>
      </w:r>
    </w:p>
    <w:p>
      <w:pPr>
        <w:pStyle w:val="Heading1"/>
      </w:pPr>
      <w:r>
        <w:t>4. PROX 연계 운전 결과</w:t>
      </w:r>
    </w:p>
    <w:p>
      <w:pPr>
        <w:pStyle w:val="Heading2"/>
      </w:pPr>
      <w:r>
        <w:t>4.1 연계 운전 구성</w:t>
      </w:r>
    </w:p>
    <w:p>
      <w:r>
        <w:t>2일 차에는 개질기 후단에 PROX를 연계하여 최종 가스 조성과 CO 제거 성능을 확인함. 개질가스는 별도 공정 배관을 통해 PROX로 공급되며, 그림 1과 그림 2에는 해당 가스 배관을 표시하지 않음.</w:t>
      </w:r>
    </w:p>
    <w:p>
      <w:r>
        <w:t>PROX 냉각에는 별도의 냉각매체 대신 개질수를 사용함. 개질수가 PROX 냉각부를 통과하면서 반응열을 흡수하고, 예열된 상태로 개질기에 공급되는 구조임.</w:t>
      </w:r>
    </w:p>
    <w:p>
      <w:pPr>
        <w:pStyle w:val="Heading2"/>
      </w:pPr>
      <w:r>
        <w:t>4.2 PROX 온도 및 최종 가스 조성</w:t>
      </w:r>
    </w:p>
    <w:p>
      <w:r>
        <w:t>PROX 온도는 약 120℃ 수준으로 유지되어 관리기준인 200℃ 이하를 충족함. 정상상태 구간에서 큰 온도 변동은 나타나지 않음.</w:t>
      </w:r>
    </w:p>
    <w:tbl>
      <w:tblPr>
        <w:tblStyle w:val="TableGrid"/>
        <w:tblW w:type="auto" w:w="0"/>
        <w:jc w:val="center"/>
        <w:tblLook w:firstColumn="1" w:firstRow="1" w:lastColumn="0" w:lastRow="0" w:noHBand="0" w:noVBand="1" w:val="04A0"/>
      </w:tblPr>
      <w:tblGrid>
        <w:gridCol w:w="3324"/>
        <w:gridCol w:w="3324"/>
        <w:gridCol w:w="3324"/>
      </w:tblGrid>
      <w:tr>
        <w:tc>
          <w:tcPr>
            <w:tcW w:type="dxa" w:w="1984"/>
            <w:vAlign w:val="center"/>
            <w:shd w:fill="1F4E78"/>
          </w:tcPr>
          <w:p>
            <w:pPr>
              <w:jc w:val="center"/>
            </w:pPr>
            <w:r/>
            <w:r>
              <w:rPr>
                <w:rFonts w:ascii="맑은 고딕" w:hAnsi="맑은 고딕" w:eastAsia="맑은 고딕"/>
                <w:b/>
                <w:color w:val="FFFFFF"/>
                <w:sz w:val="18"/>
              </w:rPr>
              <w:t>분석 항목</w:t>
            </w:r>
          </w:p>
        </w:tc>
        <w:tc>
          <w:tcPr>
            <w:tcW w:type="dxa" w:w="2268"/>
            <w:vAlign w:val="center"/>
            <w:shd w:fill="1F4E78"/>
          </w:tcPr>
          <w:p>
            <w:pPr>
              <w:jc w:val="center"/>
            </w:pPr>
            <w:r/>
            <w:r>
              <w:rPr>
                <w:rFonts w:ascii="맑은 고딕" w:hAnsi="맑은 고딕" w:eastAsia="맑은 고딕"/>
                <w:b/>
                <w:color w:val="FFFFFF"/>
                <w:sz w:val="18"/>
              </w:rPr>
              <w:t>측정 결과</w:t>
            </w:r>
          </w:p>
        </w:tc>
        <w:tc>
          <w:tcPr>
            <w:tcW w:type="dxa" w:w="4535"/>
            <w:vAlign w:val="center"/>
            <w:shd w:fill="1F4E78"/>
          </w:tcPr>
          <w:p>
            <w:pPr>
              <w:jc w:val="center"/>
            </w:pPr>
            <w:r/>
            <w:r>
              <w:rPr>
                <w:rFonts w:ascii="맑은 고딕" w:hAnsi="맑은 고딕" w:eastAsia="맑은 고딕"/>
                <w:b/>
                <w:color w:val="FFFFFF"/>
                <w:sz w:val="18"/>
              </w:rPr>
              <w:t>기준 및 평가</w:t>
            </w:r>
          </w:p>
        </w:tc>
      </w:tr>
      <w:tr>
        <w:tc>
          <w:tcPr>
            <w:tcW w:type="dxa" w:w="1984"/>
            <w:vAlign w:val="center"/>
          </w:tcPr>
          <w:p>
            <w:pPr>
              <w:jc w:val="center"/>
            </w:pPr>
            <w:r/>
            <w:r>
              <w:rPr>
                <w:rFonts w:ascii="맑은 고딕" w:hAnsi="맑은 고딕" w:eastAsia="맑은 고딕"/>
                <w:b w:val="0"/>
                <w:sz w:val="18"/>
              </w:rPr>
              <w:t>H₂</w:t>
            </w:r>
          </w:p>
        </w:tc>
        <w:tc>
          <w:tcPr>
            <w:tcW w:type="dxa" w:w="2268"/>
            <w:vAlign w:val="center"/>
          </w:tcPr>
          <w:p>
            <w:pPr>
              <w:jc w:val="center"/>
            </w:pPr>
            <w:r/>
            <w:r>
              <w:rPr>
                <w:rFonts w:ascii="맑은 고딕" w:hAnsi="맑은 고딕" w:eastAsia="맑은 고딕"/>
                <w:b w:val="0"/>
                <w:sz w:val="18"/>
              </w:rPr>
              <w:t>75.1%</w:t>
            </w:r>
          </w:p>
        </w:tc>
        <w:tc>
          <w:tcPr>
            <w:tcW w:type="dxa" w:w="4535"/>
            <w:vAlign w:val="center"/>
          </w:tcPr>
          <w:p>
            <w:pPr>
              <w:jc w:val="center"/>
            </w:pPr>
            <w:r/>
            <w:r>
              <w:rPr>
                <w:rFonts w:ascii="맑은 고딕" w:hAnsi="맑은 고딕" w:eastAsia="맑은 고딕"/>
                <w:b w:val="0"/>
                <w:sz w:val="18"/>
              </w:rPr>
              <w:t>정상 범위</w:t>
            </w:r>
          </w:p>
        </w:tc>
      </w:tr>
      <w:tr>
        <w:tc>
          <w:tcPr>
            <w:tcW w:type="dxa" w:w="1984"/>
            <w:vAlign w:val="center"/>
          </w:tcPr>
          <w:p>
            <w:pPr>
              <w:jc w:val="center"/>
            </w:pPr>
            <w:r/>
            <w:r>
              <w:rPr>
                <w:rFonts w:ascii="맑은 고딕" w:hAnsi="맑은 고딕" w:eastAsia="맑은 고딕"/>
                <w:b w:val="0"/>
                <w:sz w:val="18"/>
              </w:rPr>
              <w:t>CO₂</w:t>
            </w:r>
          </w:p>
        </w:tc>
        <w:tc>
          <w:tcPr>
            <w:tcW w:type="dxa" w:w="2268"/>
            <w:vAlign w:val="center"/>
          </w:tcPr>
          <w:p>
            <w:pPr>
              <w:jc w:val="center"/>
            </w:pPr>
            <w:r/>
            <w:r>
              <w:rPr>
                <w:rFonts w:ascii="맑은 고딕" w:hAnsi="맑은 고딕" w:eastAsia="맑은 고딕"/>
                <w:b w:val="0"/>
                <w:sz w:val="18"/>
              </w:rPr>
              <w:t>21.5%</w:t>
            </w:r>
          </w:p>
        </w:tc>
        <w:tc>
          <w:tcPr>
            <w:tcW w:type="dxa" w:w="4535"/>
            <w:vAlign w:val="center"/>
          </w:tcPr>
          <w:p>
            <w:pPr>
              <w:jc w:val="center"/>
            </w:pPr>
            <w:r/>
            <w:r>
              <w:rPr>
                <w:rFonts w:ascii="맑은 고딕" w:hAnsi="맑은 고딕" w:eastAsia="맑은 고딕"/>
                <w:b w:val="0"/>
                <w:sz w:val="18"/>
              </w:rPr>
              <w:t>정상 범위</w:t>
            </w:r>
          </w:p>
        </w:tc>
      </w:tr>
      <w:tr>
        <w:tc>
          <w:tcPr>
            <w:tcW w:type="dxa" w:w="1984"/>
            <w:vAlign w:val="center"/>
          </w:tcPr>
          <w:p>
            <w:pPr>
              <w:jc w:val="center"/>
            </w:pPr>
            <w:r/>
            <w:r>
              <w:rPr>
                <w:rFonts w:ascii="맑은 고딕" w:hAnsi="맑은 고딕" w:eastAsia="맑은 고딕"/>
                <w:b w:val="0"/>
                <w:sz w:val="18"/>
              </w:rPr>
              <w:t>CH₄</w:t>
            </w:r>
          </w:p>
        </w:tc>
        <w:tc>
          <w:tcPr>
            <w:tcW w:type="dxa" w:w="2268"/>
            <w:vAlign w:val="center"/>
          </w:tcPr>
          <w:p>
            <w:pPr>
              <w:jc w:val="center"/>
            </w:pPr>
            <w:r/>
            <w:r>
              <w:rPr>
                <w:rFonts w:ascii="맑은 고딕" w:hAnsi="맑은 고딕" w:eastAsia="맑은 고딕"/>
                <w:b w:val="0"/>
                <w:sz w:val="18"/>
              </w:rPr>
              <w:t>1.5%</w:t>
            </w:r>
          </w:p>
        </w:tc>
        <w:tc>
          <w:tcPr>
            <w:tcW w:type="dxa" w:w="4535"/>
            <w:vAlign w:val="center"/>
          </w:tcPr>
          <w:p>
            <w:pPr>
              <w:jc w:val="center"/>
            </w:pPr>
            <w:r/>
            <w:r>
              <w:rPr>
                <w:rFonts w:ascii="맑은 고딕" w:hAnsi="맑은 고딕" w:eastAsia="맑은 고딕"/>
                <w:b w:val="0"/>
                <w:sz w:val="18"/>
              </w:rPr>
              <w:t>기존 관리기준 3.0% 이하</w:t>
            </w:r>
          </w:p>
        </w:tc>
      </w:tr>
      <w:tr>
        <w:tc>
          <w:tcPr>
            <w:tcW w:type="dxa" w:w="1984"/>
            <w:vAlign w:val="center"/>
          </w:tcPr>
          <w:p>
            <w:pPr>
              <w:jc w:val="center"/>
            </w:pPr>
            <w:r/>
            <w:r>
              <w:rPr>
                <w:rFonts w:ascii="맑은 고딕" w:hAnsi="맑은 고딕" w:eastAsia="맑은 고딕"/>
                <w:b w:val="0"/>
                <w:sz w:val="18"/>
              </w:rPr>
              <w:t>CO</w:t>
            </w:r>
          </w:p>
        </w:tc>
        <w:tc>
          <w:tcPr>
            <w:tcW w:type="dxa" w:w="2268"/>
            <w:vAlign w:val="center"/>
          </w:tcPr>
          <w:p>
            <w:pPr>
              <w:jc w:val="center"/>
            </w:pPr>
            <w:r/>
            <w:r>
              <w:rPr>
                <w:rFonts w:ascii="맑은 고딕" w:hAnsi="맑은 고딕" w:eastAsia="맑은 고딕"/>
                <w:b w:val="0"/>
                <w:sz w:val="18"/>
              </w:rPr>
              <w:t>8.6 ppm</w:t>
            </w:r>
          </w:p>
        </w:tc>
        <w:tc>
          <w:tcPr>
            <w:tcW w:type="dxa" w:w="4535"/>
            <w:vAlign w:val="center"/>
          </w:tcPr>
          <w:p>
            <w:pPr>
              <w:jc w:val="center"/>
            </w:pPr>
            <w:r/>
            <w:r>
              <w:rPr>
                <w:rFonts w:ascii="맑은 고딕" w:hAnsi="맑은 고딕" w:eastAsia="맑은 고딕"/>
                <w:b w:val="0"/>
                <w:sz w:val="18"/>
              </w:rPr>
              <w:t>스택 인입기준 10 ppm 이하</w:t>
            </w:r>
          </w:p>
        </w:tc>
      </w:tr>
    </w:tbl>
    <w:p/>
    <w:p>
      <w:r>
        <w:t>미반응 CH₄ 농도는 1.5%로 기존 관리기준인 3.0% 이하를 충족함. PROX 후단 CO 농도는 8.6 ppm으로 측정되어 스택 인입기준인 10 ppm 이하를 충족함.</w:t>
      </w:r>
    </w:p>
    <w:p>
      <w:r>
        <w:t>[PROX 연계 운전 UI, 온도 추이 및 가스 조성 그래프 삽입]</w:t>
      </w:r>
    </w:p>
    <w:p>
      <w:pPr>
        <w:pStyle w:val="Heading1"/>
      </w:pPr>
      <w:r>
        <w:t>5. 기존 DRFC 대비 성능 비교</w:t>
      </w:r>
    </w:p>
    <w:tbl>
      <w:tblPr>
        <w:tblStyle w:val="TableGrid"/>
        <w:tblW w:type="auto" w:w="0"/>
        <w:jc w:val="center"/>
        <w:tblLook w:firstColumn="1" w:firstRow="1" w:lastColumn="0" w:lastRow="0" w:noHBand="0" w:noVBand="1" w:val="04A0"/>
      </w:tblPr>
      <w:tblGrid>
        <w:gridCol w:w="2493"/>
        <w:gridCol w:w="2493"/>
        <w:gridCol w:w="2493"/>
        <w:gridCol w:w="2493"/>
      </w:tblGrid>
      <w:tr>
        <w:tc>
          <w:tcPr>
            <w:tcW w:type="dxa" w:w="1984"/>
            <w:vAlign w:val="center"/>
            <w:shd w:fill="1F4E78"/>
          </w:tcPr>
          <w:p>
            <w:pPr>
              <w:jc w:val="center"/>
            </w:pPr>
            <w:r/>
            <w:r>
              <w:rPr>
                <w:rFonts w:ascii="맑은 고딕" w:hAnsi="맑은 고딕" w:eastAsia="맑은 고딕"/>
                <w:b/>
                <w:color w:val="FFFFFF"/>
                <w:sz w:val="18"/>
              </w:rPr>
              <w:t>비교 항목</w:t>
            </w:r>
          </w:p>
        </w:tc>
        <w:tc>
          <w:tcPr>
            <w:tcW w:type="dxa" w:w="1928"/>
            <w:vAlign w:val="center"/>
            <w:shd w:fill="1F4E78"/>
          </w:tcPr>
          <w:p>
            <w:pPr>
              <w:jc w:val="center"/>
            </w:pPr>
            <w:r/>
            <w:r>
              <w:rPr>
                <w:rFonts w:ascii="맑은 고딕" w:hAnsi="맑은 고딕" w:eastAsia="맑은 고딕"/>
                <w:b/>
                <w:color w:val="FFFFFF"/>
                <w:sz w:val="18"/>
              </w:rPr>
              <w:t>기존 DRFC</w:t>
            </w:r>
          </w:p>
        </w:tc>
        <w:tc>
          <w:tcPr>
            <w:tcW w:type="dxa" w:w="2438"/>
            <w:vAlign w:val="center"/>
            <w:shd w:fill="1F4E78"/>
          </w:tcPr>
          <w:p>
            <w:pPr>
              <w:jc w:val="center"/>
            </w:pPr>
            <w:r/>
            <w:r>
              <w:rPr>
                <w:rFonts w:ascii="맑은 고딕" w:hAnsi="맑은 고딕" w:eastAsia="맑은 고딕"/>
                <w:b/>
                <w:color w:val="FFFFFF"/>
                <w:sz w:val="18"/>
              </w:rPr>
              <w:t>신규 10 kW 개질기</w:t>
            </w:r>
          </w:p>
        </w:tc>
        <w:tc>
          <w:tcPr>
            <w:tcW w:type="dxa" w:w="2551"/>
            <w:vAlign w:val="center"/>
            <w:shd w:fill="1F4E78"/>
          </w:tcPr>
          <w:p>
            <w:pPr>
              <w:jc w:val="center"/>
            </w:pPr>
            <w:r/>
            <w:r>
              <w:rPr>
                <w:rFonts w:ascii="맑은 고딕" w:hAnsi="맑은 고딕" w:eastAsia="맑은 고딕"/>
                <w:b/>
                <w:color w:val="FFFFFF"/>
                <w:sz w:val="18"/>
              </w:rPr>
              <w:t>평가 결과</w:t>
            </w:r>
          </w:p>
        </w:tc>
      </w:tr>
      <w:tr>
        <w:tc>
          <w:tcPr>
            <w:tcW w:type="dxa" w:w="1984"/>
            <w:vAlign w:val="center"/>
          </w:tcPr>
          <w:p>
            <w:pPr>
              <w:jc w:val="center"/>
            </w:pPr>
            <w:r/>
            <w:r>
              <w:rPr>
                <w:rFonts w:ascii="맑은 고딕" w:hAnsi="맑은 고딕" w:eastAsia="맑은 고딕"/>
                <w:b w:val="0"/>
                <w:sz w:val="18"/>
              </w:rPr>
              <w:t>정격 도달시간</w:t>
            </w:r>
          </w:p>
        </w:tc>
        <w:tc>
          <w:tcPr>
            <w:tcW w:type="dxa" w:w="1928"/>
            <w:vAlign w:val="center"/>
          </w:tcPr>
          <w:p>
            <w:pPr>
              <w:jc w:val="center"/>
            </w:pPr>
            <w:r/>
            <w:r>
              <w:rPr>
                <w:rFonts w:ascii="맑은 고딕" w:hAnsi="맑은 고딕" w:eastAsia="맑은 고딕"/>
                <w:b w:val="0"/>
                <w:sz w:val="18"/>
              </w:rPr>
              <w:t>2.0~2.5시간</w:t>
            </w:r>
          </w:p>
        </w:tc>
        <w:tc>
          <w:tcPr>
            <w:tcW w:type="dxa" w:w="2438"/>
            <w:vAlign w:val="center"/>
          </w:tcPr>
          <w:p>
            <w:pPr>
              <w:jc w:val="center"/>
            </w:pPr>
            <w:r/>
            <w:r>
              <w:rPr>
                <w:rFonts w:ascii="맑은 고딕" w:hAnsi="맑은 고딕" w:eastAsia="맑은 고딕"/>
                <w:b w:val="0"/>
                <w:sz w:val="18"/>
              </w:rPr>
              <w:t>약 1.5시간</w:t>
            </w:r>
          </w:p>
        </w:tc>
        <w:tc>
          <w:tcPr>
            <w:tcW w:type="dxa" w:w="2551"/>
            <w:vAlign w:val="center"/>
          </w:tcPr>
          <w:p>
            <w:pPr>
              <w:jc w:val="center"/>
            </w:pPr>
            <w:r/>
            <w:r>
              <w:rPr>
                <w:rFonts w:ascii="맑은 고딕" w:hAnsi="맑은 고딕" w:eastAsia="맑은 고딕"/>
                <w:b w:val="0"/>
                <w:sz w:val="18"/>
              </w:rPr>
              <w:t>기동시간 단축</w:t>
            </w:r>
          </w:p>
        </w:tc>
      </w:tr>
      <w:tr>
        <w:tc>
          <w:tcPr>
            <w:tcW w:type="dxa" w:w="1984"/>
            <w:vAlign w:val="center"/>
          </w:tcPr>
          <w:p>
            <w:pPr>
              <w:jc w:val="center"/>
            </w:pPr>
            <w:r/>
            <w:r>
              <w:rPr>
                <w:rFonts w:ascii="맑은 고딕" w:hAnsi="맑은 고딕" w:eastAsia="맑은 고딕"/>
                <w:b w:val="0"/>
                <w:sz w:val="18"/>
              </w:rPr>
              <w:t>배가스 온도</w:t>
            </w:r>
          </w:p>
        </w:tc>
        <w:tc>
          <w:tcPr>
            <w:tcW w:type="dxa" w:w="1928"/>
            <w:vAlign w:val="center"/>
          </w:tcPr>
          <w:p>
            <w:pPr>
              <w:jc w:val="center"/>
            </w:pPr>
            <w:r/>
            <w:r>
              <w:rPr>
                <w:rFonts w:ascii="맑은 고딕" w:hAnsi="맑은 고딕" w:eastAsia="맑은 고딕"/>
                <w:b w:val="0"/>
                <w:sz w:val="18"/>
              </w:rPr>
              <w:t>약 250℃</w:t>
            </w:r>
          </w:p>
        </w:tc>
        <w:tc>
          <w:tcPr>
            <w:tcW w:type="dxa" w:w="2438"/>
            <w:vAlign w:val="center"/>
          </w:tcPr>
          <w:p>
            <w:pPr>
              <w:jc w:val="center"/>
            </w:pPr>
            <w:r/>
            <w:r>
              <w:rPr>
                <w:rFonts w:ascii="맑은 고딕" w:hAnsi="맑은 고딕" w:eastAsia="맑은 고딕"/>
                <w:b w:val="0"/>
                <w:sz w:val="18"/>
              </w:rPr>
              <w:t>약 120℃</w:t>
            </w:r>
          </w:p>
        </w:tc>
        <w:tc>
          <w:tcPr>
            <w:tcW w:type="dxa" w:w="2551"/>
            <w:vAlign w:val="center"/>
          </w:tcPr>
          <w:p>
            <w:pPr>
              <w:jc w:val="center"/>
            </w:pPr>
            <w:r/>
            <w:r>
              <w:rPr>
                <w:rFonts w:ascii="맑은 고딕" w:hAnsi="맑은 고딕" w:eastAsia="맑은 고딕"/>
                <w:b w:val="0"/>
                <w:sz w:val="18"/>
              </w:rPr>
              <w:t>내부 열회수 효과 확인</w:t>
            </w:r>
          </w:p>
        </w:tc>
      </w:tr>
      <w:tr>
        <w:tc>
          <w:tcPr>
            <w:tcW w:type="dxa" w:w="1984"/>
            <w:vAlign w:val="center"/>
          </w:tcPr>
          <w:p>
            <w:pPr>
              <w:jc w:val="center"/>
            </w:pPr>
            <w:r/>
            <w:r>
              <w:rPr>
                <w:rFonts w:ascii="맑은 고딕" w:hAnsi="맑은 고딕" w:eastAsia="맑은 고딕"/>
                <w:b w:val="0"/>
                <w:sz w:val="18"/>
              </w:rPr>
              <w:t>개질수 계통 압력</w:t>
            </w:r>
          </w:p>
        </w:tc>
        <w:tc>
          <w:tcPr>
            <w:tcW w:type="dxa" w:w="1928"/>
            <w:vAlign w:val="center"/>
          </w:tcPr>
          <w:p>
            <w:pPr>
              <w:jc w:val="center"/>
            </w:pPr>
            <w:r/>
            <w:r>
              <w:rPr>
                <w:rFonts w:ascii="맑은 고딕" w:hAnsi="맑은 고딕" w:eastAsia="맑은 고딕"/>
                <w:b w:val="0"/>
                <w:sz w:val="18"/>
              </w:rPr>
              <w:t>약 100 kPa</w:t>
            </w:r>
          </w:p>
        </w:tc>
        <w:tc>
          <w:tcPr>
            <w:tcW w:type="dxa" w:w="2438"/>
            <w:vAlign w:val="center"/>
          </w:tcPr>
          <w:p>
            <w:pPr>
              <w:jc w:val="center"/>
            </w:pPr>
            <w:r/>
            <w:r>
              <w:rPr>
                <w:rFonts w:ascii="맑은 고딕" w:hAnsi="맑은 고딕" w:eastAsia="맑은 고딕"/>
                <w:b w:val="0"/>
                <w:sz w:val="18"/>
              </w:rPr>
              <w:t>약 10~20 kPa</w:t>
            </w:r>
          </w:p>
        </w:tc>
        <w:tc>
          <w:tcPr>
            <w:tcW w:type="dxa" w:w="2551"/>
            <w:vAlign w:val="center"/>
          </w:tcPr>
          <w:p>
            <w:pPr>
              <w:jc w:val="center"/>
            </w:pPr>
            <w:r/>
            <w:r>
              <w:rPr>
                <w:rFonts w:ascii="맑은 고딕" w:hAnsi="맑은 고딕" w:eastAsia="맑은 고딕"/>
                <w:b w:val="0"/>
                <w:sz w:val="18"/>
              </w:rPr>
              <w:t>저압 운전 확인</w:t>
            </w:r>
          </w:p>
        </w:tc>
      </w:tr>
      <w:tr>
        <w:tc>
          <w:tcPr>
            <w:tcW w:type="dxa" w:w="1984"/>
            <w:vAlign w:val="center"/>
          </w:tcPr>
          <w:p>
            <w:pPr>
              <w:jc w:val="center"/>
            </w:pPr>
            <w:r/>
            <w:r>
              <w:rPr>
                <w:rFonts w:ascii="맑은 고딕" w:hAnsi="맑은 고딕" w:eastAsia="맑은 고딕"/>
                <w:b w:val="0"/>
                <w:sz w:val="18"/>
              </w:rPr>
              <w:t>미반응 CH₄</w:t>
            </w:r>
          </w:p>
        </w:tc>
        <w:tc>
          <w:tcPr>
            <w:tcW w:type="dxa" w:w="1928"/>
            <w:vAlign w:val="center"/>
          </w:tcPr>
          <w:p>
            <w:pPr>
              <w:jc w:val="center"/>
            </w:pPr>
            <w:r/>
            <w:r>
              <w:rPr>
                <w:rFonts w:ascii="맑은 고딕" w:hAnsi="맑은 고딕" w:eastAsia="맑은 고딕"/>
                <w:b w:val="0"/>
                <w:sz w:val="18"/>
              </w:rPr>
              <w:t>3.0% 이하</w:t>
            </w:r>
          </w:p>
        </w:tc>
        <w:tc>
          <w:tcPr>
            <w:tcW w:type="dxa" w:w="2438"/>
            <w:vAlign w:val="center"/>
          </w:tcPr>
          <w:p>
            <w:pPr>
              <w:jc w:val="center"/>
            </w:pPr>
            <w:r/>
            <w:r>
              <w:rPr>
                <w:rFonts w:ascii="맑은 고딕" w:hAnsi="맑은 고딕" w:eastAsia="맑은 고딕"/>
                <w:b w:val="0"/>
                <w:sz w:val="18"/>
              </w:rPr>
              <w:t>1.5%</w:t>
            </w:r>
          </w:p>
        </w:tc>
        <w:tc>
          <w:tcPr>
            <w:tcW w:type="dxa" w:w="2551"/>
            <w:vAlign w:val="center"/>
          </w:tcPr>
          <w:p>
            <w:pPr>
              <w:jc w:val="center"/>
            </w:pPr>
            <w:r/>
            <w:r>
              <w:rPr>
                <w:rFonts w:ascii="맑은 고딕" w:hAnsi="맑은 고딕" w:eastAsia="맑은 고딕"/>
                <w:b w:val="0"/>
                <w:sz w:val="18"/>
              </w:rPr>
              <w:t>관리기준 충족</w:t>
            </w:r>
          </w:p>
        </w:tc>
      </w:tr>
      <w:tr>
        <w:tc>
          <w:tcPr>
            <w:tcW w:type="dxa" w:w="1984"/>
            <w:vAlign w:val="center"/>
          </w:tcPr>
          <w:p>
            <w:pPr>
              <w:jc w:val="center"/>
            </w:pPr>
            <w:r/>
            <w:r>
              <w:rPr>
                <w:rFonts w:ascii="맑은 고딕" w:hAnsi="맑은 고딕" w:eastAsia="맑은 고딕"/>
                <w:b w:val="0"/>
                <w:sz w:val="18"/>
              </w:rPr>
              <w:t>PROX 후단 CO</w:t>
            </w:r>
          </w:p>
        </w:tc>
        <w:tc>
          <w:tcPr>
            <w:tcW w:type="dxa" w:w="1928"/>
            <w:vAlign w:val="center"/>
          </w:tcPr>
          <w:p>
            <w:pPr>
              <w:jc w:val="center"/>
            </w:pPr>
            <w:r/>
            <w:r>
              <w:rPr>
                <w:rFonts w:ascii="맑은 고딕" w:hAnsi="맑은 고딕" w:eastAsia="맑은 고딕"/>
                <w:b w:val="0"/>
                <w:sz w:val="18"/>
              </w:rPr>
              <w:t>10 ppm 이하</w:t>
            </w:r>
          </w:p>
        </w:tc>
        <w:tc>
          <w:tcPr>
            <w:tcW w:type="dxa" w:w="2438"/>
            <w:vAlign w:val="center"/>
          </w:tcPr>
          <w:p>
            <w:pPr>
              <w:jc w:val="center"/>
            </w:pPr>
            <w:r/>
            <w:r>
              <w:rPr>
                <w:rFonts w:ascii="맑은 고딕" w:hAnsi="맑은 고딕" w:eastAsia="맑은 고딕"/>
                <w:b w:val="0"/>
                <w:sz w:val="18"/>
              </w:rPr>
              <w:t>8.6 ppm</w:t>
            </w:r>
          </w:p>
        </w:tc>
        <w:tc>
          <w:tcPr>
            <w:tcW w:type="dxa" w:w="2551"/>
            <w:vAlign w:val="center"/>
          </w:tcPr>
          <w:p>
            <w:pPr>
              <w:jc w:val="center"/>
            </w:pPr>
            <w:r/>
            <w:r>
              <w:rPr>
                <w:rFonts w:ascii="맑은 고딕" w:hAnsi="맑은 고딕" w:eastAsia="맑은 고딕"/>
                <w:b w:val="0"/>
                <w:sz w:val="18"/>
              </w:rPr>
              <w:t>스택 인입기준 충족</w:t>
            </w:r>
          </w:p>
        </w:tc>
      </w:tr>
      <w:tr>
        <w:tc>
          <w:tcPr>
            <w:tcW w:type="dxa" w:w="1984"/>
            <w:vAlign w:val="center"/>
          </w:tcPr>
          <w:p>
            <w:pPr>
              <w:jc w:val="center"/>
            </w:pPr>
            <w:r/>
            <w:r>
              <w:rPr>
                <w:rFonts w:ascii="맑은 고딕" w:hAnsi="맑은 고딕" w:eastAsia="맑은 고딕"/>
                <w:b w:val="0"/>
                <w:sz w:val="18"/>
              </w:rPr>
              <w:t>PROX 온도</w:t>
            </w:r>
          </w:p>
        </w:tc>
        <w:tc>
          <w:tcPr>
            <w:tcW w:type="dxa" w:w="1928"/>
            <w:vAlign w:val="center"/>
          </w:tcPr>
          <w:p>
            <w:pPr>
              <w:jc w:val="center"/>
            </w:pPr>
            <w:r/>
            <w:r>
              <w:rPr>
                <w:rFonts w:ascii="맑은 고딕" w:hAnsi="맑은 고딕" w:eastAsia="맑은 고딕"/>
                <w:b w:val="0"/>
                <w:sz w:val="18"/>
              </w:rPr>
              <w:t>200℃ 이하</w:t>
            </w:r>
          </w:p>
        </w:tc>
        <w:tc>
          <w:tcPr>
            <w:tcW w:type="dxa" w:w="2438"/>
            <w:vAlign w:val="center"/>
          </w:tcPr>
          <w:p>
            <w:pPr>
              <w:jc w:val="center"/>
            </w:pPr>
            <w:r/>
            <w:r>
              <w:rPr>
                <w:rFonts w:ascii="맑은 고딕" w:hAnsi="맑은 고딕" w:eastAsia="맑은 고딕"/>
                <w:b w:val="0"/>
                <w:sz w:val="18"/>
              </w:rPr>
              <w:t>약 120℃</w:t>
            </w:r>
          </w:p>
        </w:tc>
        <w:tc>
          <w:tcPr>
            <w:tcW w:type="dxa" w:w="2551"/>
            <w:vAlign w:val="center"/>
          </w:tcPr>
          <w:p>
            <w:pPr>
              <w:jc w:val="center"/>
            </w:pPr>
            <w:r/>
            <w:r>
              <w:rPr>
                <w:rFonts w:ascii="맑은 고딕" w:hAnsi="맑은 고딕" w:eastAsia="맑은 고딕"/>
                <w:b w:val="0"/>
                <w:sz w:val="18"/>
              </w:rPr>
              <w:t>정상 범위 유지</w:t>
            </w:r>
          </w:p>
        </w:tc>
      </w:tr>
      <w:tr>
        <w:tc>
          <w:tcPr>
            <w:tcW w:type="dxa" w:w="1984"/>
            <w:vAlign w:val="center"/>
          </w:tcPr>
          <w:p>
            <w:pPr>
              <w:jc w:val="center"/>
            </w:pPr>
            <w:r/>
            <w:r>
              <w:rPr>
                <w:rFonts w:ascii="맑은 고딕" w:hAnsi="맑은 고딕" w:eastAsia="맑은 고딕"/>
                <w:b w:val="0"/>
                <w:sz w:val="18"/>
              </w:rPr>
              <w:t>LTS 온도</w:t>
            </w:r>
          </w:p>
        </w:tc>
        <w:tc>
          <w:tcPr>
            <w:tcW w:type="dxa" w:w="1928"/>
            <w:vAlign w:val="center"/>
          </w:tcPr>
          <w:p>
            <w:pPr>
              <w:jc w:val="center"/>
            </w:pPr>
            <w:r/>
            <w:r>
              <w:rPr>
                <w:rFonts w:ascii="맑은 고딕" w:hAnsi="맑은 고딕" w:eastAsia="맑은 고딕"/>
                <w:b w:val="0"/>
                <w:sz w:val="18"/>
              </w:rPr>
              <w:t>180~260℃</w:t>
            </w:r>
          </w:p>
        </w:tc>
        <w:tc>
          <w:tcPr>
            <w:tcW w:type="dxa" w:w="2438"/>
            <w:vAlign w:val="center"/>
          </w:tcPr>
          <w:p>
            <w:pPr>
              <w:jc w:val="center"/>
            </w:pPr>
            <w:r/>
            <w:r>
              <w:rPr>
                <w:rFonts w:ascii="맑은 고딕" w:hAnsi="맑은 고딕" w:eastAsia="맑은 고딕"/>
                <w:b w:val="0"/>
                <w:sz w:val="18"/>
              </w:rPr>
              <w:t>260~282℃</w:t>
            </w:r>
          </w:p>
        </w:tc>
        <w:tc>
          <w:tcPr>
            <w:tcW w:type="dxa" w:w="2551"/>
            <w:vAlign w:val="center"/>
          </w:tcPr>
          <w:p>
            <w:pPr>
              <w:jc w:val="center"/>
            </w:pPr>
            <w:r/>
            <w:r>
              <w:rPr>
                <w:rFonts w:ascii="맑은 고딕" w:hAnsi="맑은 고딕" w:eastAsia="맑은 고딕"/>
                <w:b w:val="0"/>
                <w:sz w:val="18"/>
              </w:rPr>
              <w:t>냉각조건 보완 필요</w:t>
            </w:r>
          </w:p>
        </w:tc>
      </w:tr>
    </w:tbl>
    <w:p/>
    <w:p>
      <w:r>
        <w:t>신규 개질기는 기존 DRFC보다 정격 도달시간이 짧았으며, 내부 열회수 구조 적용으로 배가스 온도가 낮게 형성됨. 미반응 CH₄와 PROX 후단 CO 농도는 관리기준을 충족함.</w:t>
      </w:r>
    </w:p>
    <w:p>
      <w:r>
        <w:t>LTS 온도는 최대 약 282℃까지 상승하여 정상 운전범위 상한인 260℃를 일부 초과함. 후단 냉각조건과 개질수 유로 보완이 필요함.</w:t>
      </w:r>
    </w:p>
    <w:p>
      <w:pPr>
        <w:pStyle w:val="Heading1"/>
      </w:pPr>
      <w:r>
        <w:t>6. 운전 중 확인사항 및 개선 계획</w:t>
      </w:r>
    </w:p>
    <w:p>
      <w:pPr>
        <w:pStyle w:val="Heading2"/>
      </w:pPr>
      <w:r>
        <w:t>6.1 초기 가스 조성 변동 및 FEED 온도 하락</w:t>
      </w:r>
    </w:p>
    <w:p>
      <w:r>
        <w:t>기동 초기에 가스 조성이 일시적으로 변동하고 FEED 온도가 하락하는 현상이 확인됨. 개질수가 배가스 HEX와 PROX 냉각부를 통과하면서 예상보다 높은 온도로 개질기에 유입되고, SR 촉매층이 충분히 승온되기 전에 내부 기화가 시작된 영향으로 추정함.</w:t>
      </w:r>
    </w:p>
    <w:p>
      <w:r>
        <w:t>현재 단계에서는 기동 시퀀스와 개질수 온도조건의 영향으로 판단하고 있으며, 추가 HEX 적용 전·후 비교시험을 통해 원인을 확인할 예정임.</w:t>
      </w:r>
    </w:p>
    <w:p>
      <w:pPr>
        <w:pStyle w:val="Heading2"/>
      </w:pPr>
      <w:r>
        <w:t>6.2 LTS 온도 상승</w:t>
      </w:r>
    </w:p>
    <w:p>
      <w:r>
        <w:t>LTS 온도는 운전 중 약 260~282℃로 나타남. 기존 정상범위인 180~260℃의 상한을 일부 초과하여 개질수 온도와 유량, 추가 HEX의 냉각조건을 조정할 필요가 있음.</w:t>
      </w:r>
    </w:p>
    <w:p>
      <w:pPr>
        <w:pStyle w:val="Heading2"/>
      </w:pPr>
      <w:r>
        <w:t>6.3 후속 조치</w:t>
      </w:r>
    </w:p>
    <w:p>
      <w:pPr>
        <w:pStyle w:val="ListNumber"/>
        <w:spacing w:after="40"/>
      </w:pPr>
      <w:r>
        <w:t>추가 HEX를 적용하여 PROX 냉각수 및 개질기 인입수 온도를 조정함.</w:t>
      </w:r>
    </w:p>
    <w:p>
      <w:pPr>
        <w:pStyle w:val="ListNumber"/>
        <w:spacing w:after="40"/>
      </w:pPr>
      <w:r>
        <w:t>SR 승온시점과 개질수 기화시점이 맞도록 개질수 투입 시퀀스를 조정함.</w:t>
      </w:r>
    </w:p>
    <w:p>
      <w:pPr>
        <w:pStyle w:val="ListNumber"/>
        <w:spacing w:after="40"/>
      </w:pPr>
      <w:r>
        <w:t>FEED 및 SR 구간 단열을 보강하여 외부 방산에 따른 온도 편차를 줄임.</w:t>
      </w:r>
    </w:p>
    <w:p>
      <w:pPr>
        <w:pStyle w:val="ListNumber"/>
        <w:spacing w:after="40"/>
      </w:pPr>
      <w:r>
        <w:t>변경 전·후의 초기 가스 조성, FEED 온도 및 LTS 온도를 동일 조건에서 비교함.</w:t>
      </w:r>
    </w:p>
    <w:p>
      <w:pPr>
        <w:pStyle w:val="ListNumber"/>
        <w:spacing w:after="40"/>
      </w:pPr>
      <w:r>
        <w:t>자체 메인보드 적용 후 유량 추종성, 인터록 및 부하변동 운전을 추가 확인함.</w:t>
      </w:r>
    </w:p>
    <w:p>
      <w:pPr>
        <w:pStyle w:val="Heading1"/>
      </w:pPr>
      <w:r>
        <w:t>7. 종합 결론</w:t>
      </w:r>
    </w:p>
    <w:p>
      <w:r>
        <w:t>신규 10 kW급 개질기의 단독 및 PROX 연계 운전을 실시한 결과, 정격조건에서 SMR 온도는 약 501~680℃, PROX 온도는 약 120℃로 유지됨. 정격 도달시간은 약 1.5시간으로 기존 DRFC의 2.0~2.5시간보다 짧게 나타남.</w:t>
      </w:r>
    </w:p>
    <w:p>
      <w:r>
        <w:t>최종 가스 조성은 H₂ 75.1%, CO₂ 21.5%, CH₄ 1.5%, CO 8.6 ppm으로 측정됨. 미반응 CH₄와 PROX 후단 CO 농도는 기존 관리기준 및 스택 인입기준을 충족함.</w:t>
      </w:r>
    </w:p>
    <w:p>
      <w:r>
        <w:t>PROX 냉각에는 개질수를 사용했으며, PROX에서 열을 흡수한 개질수는 예열된 상태로 개질기에 공급됨. 첨부된 배관도는 이 개질수 냉각·예열 유로를 나타낸 것으로, 개질가스 배관은 포함하지 않음.</w:t>
      </w:r>
    </w:p>
    <w:p>
      <w:r>
        <w:t>기동 초기 가스 조성 변동, FEED 온도 하락 및 LTS 온도 상승은 추가 확인이 필요함. 다음 평가에서는 추가 HEX와 변경된 개질수 투입 시퀀스를 적용하여 개선 여부를 확인하고, 반복 기동 및 장시간 운전 후 시스템 적용 여부를 판단할 예정임.</w:t>
      </w:r>
    </w:p>
    <w:sectPr w:rsidR="00FC693F" w:rsidRPr="0006063C" w:rsidSect="00034616">
      <w:footerReference w:type="default" r:id="rId11"/>
      <w:pgSz w:w="12240" w:h="15840"/>
      <w:pgMar w:top="1020" w:right="1134" w:bottom="1020"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신규 10 kW급 개질기 단독 및 PROX 연계 운전 평가 보고서</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00"/>
    </w:pPr>
    <w:rPr>
      <w:rFonts w:ascii="맑은 고딕" w:hAnsi="맑은 고딕" w:eastAsia="맑은 고딕"/>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맑은 고딕" w:hAnsi="맑은 고딕" w:eastAsia="맑은 고딕"/>
      <w:b/>
      <w:bCs/>
      <w:color w:val="17365D"/>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맑은 고딕" w:hAnsi="맑은 고딕" w:eastAsia="맑은 고딕"/>
      <w:b/>
      <w:bCs/>
      <w:color w:val="1F4E78"/>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맑은 고딕" w:hAnsi="맑은 고딕" w:eastAsia="맑은 고딕"/>
      <w:b/>
      <w:bCs/>
      <w:color w:val="1F4E78"/>
      <w:sz w:val="2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맑은 고딕" w:hAnsi="맑은 고딕" w:eastAsia="맑은 고딕"/>
      <w:b/>
      <w:color w:val="17365D"/>
      <w:spacing w:val="5"/>
      <w:kern w:val="28"/>
      <w:sz w:val="4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