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3A067D" w:rsidRDefault="00393989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ПРАГА – КУРТНА ГОРА</w:t>
      </w:r>
    </w:p>
    <w:p w:rsidR="005175A2" w:rsidRPr="00823E1B" w:rsidRDefault="005175A2" w:rsidP="00393989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B46EC3">
        <w:rPr>
          <w:rFonts w:ascii="Georgia" w:hAnsi="Georgia" w:cs="Georgia"/>
          <w:b/>
          <w:bCs/>
          <w:sz w:val="28"/>
          <w:szCs w:val="28"/>
        </w:rPr>
        <w:t>7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D04442">
        <w:rPr>
          <w:rFonts w:ascii="Georgia" w:hAnsi="Georgia" w:cs="Georgia"/>
          <w:b/>
          <w:bCs/>
          <w:sz w:val="28"/>
          <w:szCs w:val="28"/>
        </w:rPr>
        <w:t>дн</w:t>
      </w:r>
      <w:r w:rsidR="003A067D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 / </w:t>
      </w:r>
      <w:r w:rsidR="00B46EC3">
        <w:rPr>
          <w:rFonts w:ascii="Georgia" w:hAnsi="Georgia" w:cs="Georgia"/>
          <w:b/>
          <w:bCs/>
          <w:sz w:val="28"/>
          <w:szCs w:val="28"/>
        </w:rPr>
        <w:t>6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11269E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11269E">
        <w:rPr>
          <w:rFonts w:ascii="Georgia" w:hAnsi="Georgia" w:cs="Georgia"/>
          <w:b/>
          <w:bCs/>
          <w:sz w:val="28"/>
          <w:szCs w:val="28"/>
        </w:rPr>
        <w:t>3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3A067D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D04442">
        <w:rPr>
          <w:rFonts w:ascii="Georgia" w:hAnsi="Georgia" w:cs="Georgia"/>
          <w:b/>
          <w:bCs/>
          <w:sz w:val="28"/>
          <w:szCs w:val="28"/>
        </w:rPr>
        <w:t xml:space="preserve"> с теплоходной прогулкой по Влтаве</w:t>
      </w:r>
      <w:r w:rsidR="003A067D">
        <w:rPr>
          <w:rFonts w:ascii="Georgia" w:hAnsi="Georgia" w:cs="Georgia"/>
          <w:b/>
          <w:bCs/>
          <w:sz w:val="28"/>
          <w:szCs w:val="28"/>
        </w:rPr>
        <w:t>, Пражский Град</w:t>
      </w:r>
      <w:r w:rsidR="0011269E">
        <w:rPr>
          <w:rFonts w:ascii="Georgia" w:hAnsi="Georgia" w:cs="Georgia"/>
          <w:b/>
          <w:bCs/>
          <w:sz w:val="28"/>
          <w:szCs w:val="28"/>
        </w:rPr>
        <w:t xml:space="preserve">, </w:t>
      </w:r>
      <w:proofErr w:type="spellStart"/>
      <w:r w:rsidR="00393989">
        <w:rPr>
          <w:rFonts w:ascii="Georgia" w:hAnsi="Georgia" w:cs="Georgia"/>
          <w:b/>
          <w:bCs/>
          <w:sz w:val="28"/>
          <w:szCs w:val="28"/>
        </w:rPr>
        <w:t>Кутна</w:t>
      </w:r>
      <w:proofErr w:type="spellEnd"/>
      <w:r w:rsidR="00393989">
        <w:rPr>
          <w:rFonts w:ascii="Georgia" w:hAnsi="Georgia" w:cs="Georgia"/>
          <w:b/>
          <w:bCs/>
          <w:sz w:val="28"/>
          <w:szCs w:val="28"/>
        </w:rPr>
        <w:t xml:space="preserve"> Гора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Вылеты </w:t>
      </w:r>
      <w:r w:rsidR="00D46470">
        <w:rPr>
          <w:rFonts w:ascii="Georgia" w:hAnsi="Georgia" w:cs="Georgia"/>
          <w:b/>
          <w:bCs/>
          <w:sz w:val="28"/>
          <w:szCs w:val="28"/>
        </w:rPr>
        <w:t xml:space="preserve">по </w:t>
      </w:r>
      <w:r w:rsidR="00997D61">
        <w:rPr>
          <w:rFonts w:ascii="Georgia" w:hAnsi="Georgia" w:cs="Georgia"/>
          <w:b/>
          <w:bCs/>
          <w:sz w:val="28"/>
          <w:szCs w:val="28"/>
        </w:rPr>
        <w:t xml:space="preserve">вторникам и </w:t>
      </w:r>
      <w:r w:rsidR="00393989">
        <w:rPr>
          <w:rFonts w:ascii="Georgia" w:hAnsi="Georgia" w:cs="Georgia"/>
          <w:b/>
          <w:bCs/>
          <w:sz w:val="28"/>
          <w:szCs w:val="28"/>
        </w:rPr>
        <w:t>четвергам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00325C" w:rsidRDefault="00393989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перелет Киев-Прага-Киев, а/к </w:t>
      </w:r>
      <w:r w:rsidR="00997D61">
        <w:rPr>
          <w:rFonts w:ascii="Georgia" w:hAnsi="Georgia" w:cs="Georgia"/>
          <w:b/>
          <w:bCs/>
          <w:sz w:val="28"/>
          <w:szCs w:val="28"/>
          <w:lang w:val="en-US"/>
        </w:rPr>
        <w:t>CSA</w:t>
      </w:r>
      <w:r w:rsidR="00997D61"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997D61" w:rsidRPr="00997D61">
        <w:rPr>
          <w:rFonts w:ascii="Georgia" w:hAnsi="Georgia" w:cs="Georgia"/>
          <w:b/>
          <w:bCs/>
          <w:color w:val="FF0000"/>
          <w:sz w:val="28"/>
          <w:szCs w:val="28"/>
        </w:rPr>
        <w:t>(прямой рейс!!!)</w:t>
      </w:r>
    </w:p>
    <w:p w:rsidR="00393989" w:rsidRDefault="00393989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00325C" w:rsidRDefault="0000325C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00325C" w:rsidRPr="00C761E4" w:rsidRDefault="0000325C" w:rsidP="00997D61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997D61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>, в терминале 1. Стенд находится напротив выхода из зала получения багажа. Групповой трансфер в отель. Поселение.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179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 Св.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179" w:type="dxa"/>
          </w:tcPr>
          <w:p w:rsidR="0000325C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 xml:space="preserve">Город </w:t>
            </w:r>
            <w:proofErr w:type="spellStart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Кутна</w:t>
            </w:r>
            <w:proofErr w:type="spellEnd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 xml:space="preserve"> Гора, памятник ЮНЕСКО, прославлен историей добычи серебра и чеканки серебряной монеты. Богатая история города и сохраненные уникальные памятники истории и архитектуры делают этот город всемирным культурным достоянием. Экскурсия в город </w:t>
            </w:r>
            <w:proofErr w:type="spellStart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Кутна</w:t>
            </w:r>
            <w:proofErr w:type="spellEnd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 xml:space="preserve"> Гора начнется с осмотра кафедрального собора </w:t>
            </w:r>
            <w:proofErr w:type="spellStart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св</w:t>
            </w:r>
            <w:proofErr w:type="gramStart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.В</w:t>
            </w:r>
            <w:proofErr w:type="gramEnd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арвары</w:t>
            </w:r>
            <w:proofErr w:type="spellEnd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 xml:space="preserve"> - второго по величине и значимости готического кафедрального храма в Чехии. После прогулки средневековыми улочками города, вы посетите </w:t>
            </w:r>
            <w:proofErr w:type="spellStart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Влашский</w:t>
            </w:r>
            <w:proofErr w:type="spellEnd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 xml:space="preserve"> двор - бывший монетный двор чешского королевства, где познакомитесь с историей </w:t>
            </w:r>
            <w:proofErr w:type="spellStart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Кутногорской</w:t>
            </w:r>
            <w:proofErr w:type="spellEnd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монеточеканки</w:t>
            </w:r>
            <w:proofErr w:type="spellEnd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. Посещение готической часовни</w:t>
            </w:r>
            <w:proofErr w:type="gramStart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 xml:space="preserve"> В</w:t>
            </w:r>
            <w:proofErr w:type="gramEnd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 xml:space="preserve">сех Святых с </w:t>
            </w:r>
            <w:proofErr w:type="spellStart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костехранилищем</w:t>
            </w:r>
            <w:proofErr w:type="spellEnd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 xml:space="preserve">.                                                                                                                                           Хотите повстречаться с настоящим приведением?  Тогда вам непременно нужно побывать в замке </w:t>
            </w:r>
            <w:proofErr w:type="spellStart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Жлебы</w:t>
            </w:r>
            <w:proofErr w:type="spellEnd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 xml:space="preserve">.   Замок </w:t>
            </w:r>
            <w:proofErr w:type="spellStart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>Жлебы</w:t>
            </w:r>
            <w:proofErr w:type="spellEnd"/>
            <w:r w:rsidR="00393989" w:rsidRPr="00393989">
              <w:rPr>
                <w:rFonts w:ascii="Georgia" w:hAnsi="Georgia" w:cs="Georgia"/>
                <w:bCs/>
                <w:sz w:val="22"/>
                <w:szCs w:val="22"/>
              </w:rPr>
              <w:t xml:space="preserve"> - один из уникальных памятников эпохи романтизма.  Своей архитектурой замок напоминает жилище средневекового рыцаря.  Переступив порог замка, вы окажетесь в старинной сказке с бесстрашными рыцарями, прекрасными дамами, сладкоголосыми трубадурами и мудрыми королями.  Замковая экспозиция, расположенная не только в основных помещениях замка, но еще и на кухне, в подвале и смотровой башне, богата собранием монгольского, английского, турецкого оружия и рыцарских доспехов. Здесь можно увидеть коллекцию живописи 16-19 веков, а так же коллекцию чешского и немецкого стекла и фарфора. Интерьеры замка впечатляют богатством убранства.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179" w:type="dxa"/>
          </w:tcPr>
          <w:p w:rsidR="0000325C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997D61" w:rsidRPr="00C761E4" w:rsidTr="004B45D0">
        <w:trPr>
          <w:jc w:val="center"/>
        </w:trPr>
        <w:tc>
          <w:tcPr>
            <w:tcW w:w="1702" w:type="dxa"/>
          </w:tcPr>
          <w:p w:rsidR="00997D61" w:rsidRDefault="00997D61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6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179" w:type="dxa"/>
          </w:tcPr>
          <w:p w:rsidR="00997D61" w:rsidRDefault="00997D61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997D61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7</w:t>
            </w:r>
            <w:r w:rsidR="0000325C"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179" w:type="dxa"/>
          </w:tcPr>
          <w:p w:rsidR="0000325C" w:rsidRPr="00C761E4" w:rsidRDefault="0000325C" w:rsidP="00997D61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997D61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00325C" w:rsidRDefault="0000325C" w:rsidP="0000325C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lastRenderedPageBreak/>
        <w:t>Порядок проведения экскурсий может меняться, точная программа будет предоставлена по приезду</w:t>
      </w:r>
    </w:p>
    <w:p w:rsidR="005175A2" w:rsidRPr="0000325C" w:rsidRDefault="00AE7FFE" w:rsidP="005175A2">
      <w:pPr>
        <w:jc w:val="center"/>
        <w:rPr>
          <w:rFonts w:ascii="Georgia" w:hAnsi="Georgia" w:cs="Georgia"/>
          <w:bCs/>
          <w:color w:val="FF0000"/>
          <w:sz w:val="32"/>
          <w:szCs w:val="3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AE7FFE" w:rsidRDefault="00AE7FFE" w:rsidP="00026F3C">
      <w:pPr>
        <w:rPr>
          <w:rFonts w:ascii="Georgia" w:hAnsi="Georgia" w:cs="Georgia"/>
        </w:rPr>
      </w:pPr>
    </w:p>
    <w:p w:rsidR="005175A2" w:rsidRPr="00AE7FFE" w:rsidRDefault="00026F3C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D46470">
        <w:rPr>
          <w:rFonts w:ascii="Georgia" w:hAnsi="Georgia" w:cs="Georgia"/>
        </w:rPr>
        <w:t>1 ЧЕЛ</w:t>
      </w:r>
      <w:r>
        <w:rPr>
          <w:rFonts w:ascii="Georgia" w:hAnsi="Georgia" w:cs="Georgia"/>
        </w:rPr>
        <w:t xml:space="preserve"> в ЕВРО!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  <w:gridCol w:w="960"/>
      </w:tblGrid>
      <w:tr w:rsidR="008663EC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Default="008663EC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Default="008663EC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8663EC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Default="008663EC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8663EC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Pr="00436D0E" w:rsidRDefault="008663EC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START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EC2C6E" w:rsidRDefault="008663EC" w:rsidP="00AF7BD0">
            <w:pPr>
              <w:jc w:val="center"/>
              <w:rPr>
                <w:rFonts w:ascii="Georgia" w:hAnsi="Georgia" w:cs="Georgia"/>
                <w:b/>
              </w:rPr>
            </w:pPr>
            <w:r w:rsidRPr="008663EC">
              <w:rPr>
                <w:rFonts w:ascii="Georgia" w:hAnsi="Georgia" w:cs="Georgia"/>
                <w:b/>
                <w:color w:val="FF0000"/>
              </w:rPr>
              <w:t>345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430</w:t>
            </w:r>
          </w:p>
        </w:tc>
      </w:tr>
      <w:tr w:rsidR="008663EC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Default="008663EC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176F60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405</w:t>
            </w:r>
          </w:p>
        </w:tc>
      </w:tr>
      <w:tr w:rsidR="008663EC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Pr="00353179" w:rsidRDefault="008663EC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JUNO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176F60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430</w:t>
            </w:r>
          </w:p>
        </w:tc>
      </w:tr>
      <w:tr w:rsidR="008663EC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176F60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550</w:t>
            </w:r>
          </w:p>
        </w:tc>
      </w:tr>
      <w:tr w:rsidR="008663EC" w:rsidTr="00AF7BD0">
        <w:trPr>
          <w:trHeight w:val="310"/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Default="008663EC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8663EC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Default="008663EC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176F60" w:rsidRDefault="008663EC" w:rsidP="00AF7BD0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390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480</w:t>
            </w:r>
          </w:p>
        </w:tc>
      </w:tr>
      <w:tr w:rsidR="008663EC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EMMY REZIDENCE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176F60" w:rsidRDefault="008663EC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530</w:t>
            </w:r>
          </w:p>
        </w:tc>
      </w:tr>
      <w:tr w:rsidR="008663EC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176F60" w:rsidRDefault="008663EC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550</w:t>
            </w:r>
          </w:p>
        </w:tc>
      </w:tr>
      <w:tr w:rsidR="008663EC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176F60" w:rsidRDefault="008663EC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710</w:t>
            </w:r>
          </w:p>
        </w:tc>
      </w:tr>
      <w:tr w:rsidR="008663EC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Default="008663EC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8663EC" w:rsidRPr="004F442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Default="008663EC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HOFFMEISTER &amp; SPA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8663EC" w:rsidRDefault="008663EC" w:rsidP="00AF7BD0">
            <w:pPr>
              <w:jc w:val="center"/>
              <w:rPr>
                <w:rFonts w:ascii="Georgia" w:hAnsi="Georgia" w:cs="Georgia"/>
                <w:bCs/>
                <w:color w:val="FF0000"/>
              </w:rPr>
            </w:pPr>
            <w:r w:rsidRPr="008663EC">
              <w:rPr>
                <w:rFonts w:ascii="Georgia" w:hAnsi="Georgia" w:cs="Georgia"/>
                <w:bCs/>
              </w:rPr>
              <w:t>685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4F4423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1110</w:t>
            </w:r>
          </w:p>
        </w:tc>
      </w:tr>
      <w:tr w:rsidR="008663EC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Default="008663EC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8663EC" w:rsidRDefault="008663EC" w:rsidP="00AF7BD0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8663EC">
              <w:rPr>
                <w:rFonts w:ascii="Georgia" w:hAnsi="Georgia" w:cs="Georgia"/>
                <w:b/>
                <w:bCs/>
                <w:color w:val="FF0000"/>
              </w:rPr>
              <w:t>620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910</w:t>
            </w:r>
          </w:p>
        </w:tc>
      </w:tr>
      <w:tr w:rsidR="008663EC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3EC" w:rsidRDefault="008663EC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Pr="00176F60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3EC" w:rsidRDefault="008663EC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1230</w:t>
            </w:r>
          </w:p>
        </w:tc>
      </w:tr>
    </w:tbl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bookmarkStart w:id="0" w:name="_GoBack"/>
      <w:bookmarkEnd w:id="0"/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DE6BB5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AE7FFE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393989" w:rsidRDefault="00393989" w:rsidP="00393989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</w:t>
      </w:r>
      <w:r w:rsidR="00997D61">
        <w:rPr>
          <w:rFonts w:ascii="Georgia" w:hAnsi="Georgia" w:cs="Georgia"/>
        </w:rPr>
        <w:t>ЧСА</w:t>
      </w:r>
      <w:r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997D61">
        <w:rPr>
          <w:rFonts w:ascii="Georgia" w:hAnsi="Georgia" w:cs="Georgia"/>
        </w:rPr>
        <w:t>7</w:t>
      </w:r>
      <w:r w:rsidR="003A067D">
        <w:rPr>
          <w:rFonts w:ascii="Georgia" w:hAnsi="Georgia" w:cs="Georgia"/>
        </w:rPr>
        <w:t xml:space="preserve"> дней</w:t>
      </w:r>
      <w:r>
        <w:rPr>
          <w:rFonts w:ascii="Georgia" w:hAnsi="Georgia" w:cs="Georgia"/>
        </w:rPr>
        <w:t>/</w:t>
      </w:r>
      <w:r w:rsidR="00997D61">
        <w:rPr>
          <w:rFonts w:ascii="Georgia" w:hAnsi="Georgia" w:cs="Georgia"/>
        </w:rPr>
        <w:t>6</w:t>
      </w:r>
      <w:r>
        <w:rPr>
          <w:rFonts w:ascii="Georgia" w:hAnsi="Georgia" w:cs="Georgia"/>
        </w:rPr>
        <w:t xml:space="preserve"> ноч</w:t>
      </w:r>
      <w:r w:rsidR="00D46470">
        <w:rPr>
          <w:rFonts w:ascii="Georgia" w:hAnsi="Georgia" w:cs="Georgia"/>
        </w:rPr>
        <w:t>ей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BD43BE" w:rsidRDefault="00BD43BE" w:rsidP="00BD43BE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11%</w:t>
      </w:r>
    </w:p>
    <w:p w:rsidR="00BD43BE" w:rsidRPr="00FF3F79" w:rsidRDefault="00BD43BE" w:rsidP="005175A2">
      <w:pPr>
        <w:suppressAutoHyphens w:val="0"/>
        <w:ind w:left="360"/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0325C"/>
    <w:rsid w:val="00022EE3"/>
    <w:rsid w:val="00026F3C"/>
    <w:rsid w:val="0011269E"/>
    <w:rsid w:val="0017382C"/>
    <w:rsid w:val="0036219C"/>
    <w:rsid w:val="00367D5D"/>
    <w:rsid w:val="003732C2"/>
    <w:rsid w:val="00393989"/>
    <w:rsid w:val="003A067D"/>
    <w:rsid w:val="0043080A"/>
    <w:rsid w:val="0045401C"/>
    <w:rsid w:val="00472FC4"/>
    <w:rsid w:val="005175A2"/>
    <w:rsid w:val="00647266"/>
    <w:rsid w:val="007C2AA1"/>
    <w:rsid w:val="00805F4E"/>
    <w:rsid w:val="008663EC"/>
    <w:rsid w:val="008C3F40"/>
    <w:rsid w:val="0090361C"/>
    <w:rsid w:val="0096183B"/>
    <w:rsid w:val="0097486F"/>
    <w:rsid w:val="00975E76"/>
    <w:rsid w:val="00997D61"/>
    <w:rsid w:val="009C7FB2"/>
    <w:rsid w:val="00A509C9"/>
    <w:rsid w:val="00A60E78"/>
    <w:rsid w:val="00A64BA9"/>
    <w:rsid w:val="00A67D35"/>
    <w:rsid w:val="00A9577B"/>
    <w:rsid w:val="00AA0094"/>
    <w:rsid w:val="00AE7FFE"/>
    <w:rsid w:val="00B271BA"/>
    <w:rsid w:val="00B46EC3"/>
    <w:rsid w:val="00BD43BE"/>
    <w:rsid w:val="00CA751D"/>
    <w:rsid w:val="00D04442"/>
    <w:rsid w:val="00D46470"/>
    <w:rsid w:val="00DE6BB5"/>
    <w:rsid w:val="00E336C9"/>
    <w:rsid w:val="00E74826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97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7D6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97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7D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D6BC6-4179-460F-A492-0EDA94D0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39</cp:revision>
  <dcterms:created xsi:type="dcterms:W3CDTF">2015-06-18T08:04:00Z</dcterms:created>
  <dcterms:modified xsi:type="dcterms:W3CDTF">2016-09-09T09:03:00Z</dcterms:modified>
</cp:coreProperties>
</file>