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E79"/>
        </w:rPr>
        <w:t>Bitácora de Cambios</w:t>
      </w:r>
    </w:p>
    <w:p>
      <w:pPr>
        <w:pStyle w:val="Heading2"/>
      </w:pPr>
      <w:r>
        <w:rPr>
          <w:color w:val="1F4E79"/>
        </w:rPr>
        <w:t>Recepción Electrónica (RE) — Base</w:t>
      </w:r>
    </w:p>
    <w:p>
      <w:r>
        <w:t>Registro histórico de cambios y liberaciones del producto.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Bitácora de Cambios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BC-RE-001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>
        <w:rPr>
          <w:color w:val="1F4E79"/>
        </w:rPr>
        <w:t>1. Propósito</w:t>
      </w:r>
    </w:p>
    <w:p>
      <w:r>
        <w:t>Mantener la trazabilidad de los cambios relevantes del sistema (funcionales, técnicos y de seguridad), conforme al control de cambios de la política de desarrollo seguro (PSI.12).</w:t>
      </w:r>
    </w:p>
    <w:p>
      <w:pPr>
        <w:pStyle w:val="Heading2"/>
      </w:pPr>
      <w:r>
        <w:rPr>
          <w:color w:val="1F4E79"/>
        </w:rPr>
        <w:t>2. Formato de registro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Fecha del cambio.</w:t>
            </w:r>
          </w:p>
        </w:tc>
      </w:tr>
      <w:tr>
        <w:tc>
          <w:tcPr>
            <w:tcW w:type="dxa" w:w="4320"/>
          </w:tcPr>
          <w:p>
            <w:r/>
            <w:r>
              <w:t>Referencia</w:t>
            </w:r>
          </w:p>
        </w:tc>
        <w:tc>
          <w:tcPr>
            <w:tcW w:type="dxa" w:w="4320"/>
          </w:tcPr>
          <w:p>
            <w:r/>
            <w:r>
              <w:t>Identificador del cambio (commit/ticket).</w:t>
            </w:r>
          </w:p>
        </w:tc>
      </w:tr>
      <w:tr>
        <w:tc>
          <w:tcPr>
            <w:tcW w:type="dxa" w:w="4320"/>
          </w:tcPr>
          <w:p>
            <w:r/>
            <w:r>
              <w:t>Tipo</w:t>
            </w:r>
          </w:p>
        </w:tc>
        <w:tc>
          <w:tcPr>
            <w:tcW w:type="dxa" w:w="4320"/>
          </w:tcPr>
          <w:p>
            <w:r/>
            <w:r>
              <w:t>Funcional / Técnico / Corrección / Seguridad / Documentación.</w:t>
            </w:r>
          </w:p>
        </w:tc>
      </w:tr>
      <w:tr>
        <w:tc>
          <w:tcPr>
            <w:tcW w:type="dxa" w:w="4320"/>
          </w:tcPr>
          <w:p>
            <w:r/>
            <w:r>
              <w:t>Descripción</w:t>
            </w:r>
          </w:p>
        </w:tc>
        <w:tc>
          <w:tcPr>
            <w:tcW w:type="dxa" w:w="4320"/>
          </w:tcPr>
          <w:p>
            <w:r/>
            <w:r>
              <w:t>Resumen del cambio.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Persona que realizó el cambio.</w:t>
            </w:r>
          </w:p>
        </w:tc>
      </w:tr>
      <w:tr>
        <w:tc>
          <w:tcPr>
            <w:tcW w:type="dxa" w:w="4320"/>
          </w:tcPr>
          <w:p>
            <w:r/>
            <w:r>
              <w:t>Validación</w:t>
            </w:r>
          </w:p>
        </w:tc>
        <w:tc>
          <w:tcPr>
            <w:tcW w:type="dxa" w:w="4320"/>
          </w:tcPr>
          <w:p>
            <w:r/>
            <w:r>
              <w:t>Evidencia o resultado de pruebas.</w:t>
            </w:r>
          </w:p>
        </w:tc>
      </w:tr>
    </w:tbl>
    <w:p/>
    <w:p>
      <w:pPr>
        <w:pStyle w:val="Heading2"/>
      </w:pPr>
      <w:r>
        <w:rPr>
          <w:color w:val="1F4E79"/>
        </w:rPr>
        <w:t>3. Histórico de cambios</w:t>
      </w:r>
    </w:p>
    <w:p>
      <w:pPr>
        <w:ind w:left="360"/>
      </w:pPr>
      <w:r>
        <w:t>Histórico inicial derivado del control de versiones del repositorio.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2026-06-23</w:t>
            </w:r>
          </w:p>
        </w:tc>
        <w:tc>
          <w:tcPr>
            <w:tcW w:type="dxa" w:w="2160"/>
          </w:tcPr>
          <w:p>
            <w:r/>
            <w:r>
              <w:t>1477cec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Ajuste de diseño responsivo.</w:t>
            </w:r>
          </w:p>
        </w:tc>
      </w:tr>
      <w:tr>
        <w:tc>
          <w:tcPr>
            <w:tcW w:type="dxa" w:w="2160"/>
          </w:tcPr>
          <w:p>
            <w:r/>
            <w:r>
              <w:t>2026-06-16</w:t>
            </w:r>
          </w:p>
        </w:tc>
        <w:tc>
          <w:tcPr>
            <w:tcW w:type="dxa" w:w="2160"/>
          </w:tcPr>
          <w:p>
            <w:r/>
            <w:r>
              <w:t>a5cfc4e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Respeta visibilidad de visitantes avanzado.</w:t>
            </w:r>
          </w:p>
        </w:tc>
      </w:tr>
      <w:tr>
        <w:tc>
          <w:tcPr>
            <w:tcW w:type="dxa" w:w="2160"/>
          </w:tcPr>
          <w:p>
            <w:r/>
            <w:r>
              <w:t>2026-06-16</w:t>
            </w:r>
          </w:p>
        </w:tc>
        <w:tc>
          <w:tcPr>
            <w:tcW w:type="dxa" w:w="2160"/>
          </w:tcPr>
          <w:p>
            <w:r/>
            <w:r>
              <w:t>d3e9640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Actualización de reporte Excel.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c69d914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de reportes y exportación Excel.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24db493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Diferencia iconos de contratistas.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4fdde5c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Actualiza título de capacitación pública.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deca37e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del editor de capacitaciones públicas.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29faf53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Agrega módulo de capacitaciones públicas.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d0e5b2c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Crea integración de Capacitación.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00a7f0d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Ajuste de tabla responsive de eventos.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d47c93c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Ajusta integración BioStar y reportes de eventos.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8efe117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reportes e integraciones de acceso.</w:t>
            </w:r>
          </w:p>
        </w:tc>
      </w:tr>
      <w:tr>
        <w:tc>
          <w:tcPr>
            <w:tcW w:type="dxa" w:w="2160"/>
          </w:tcPr>
          <w:p>
            <w:r/>
            <w:r>
              <w:t>2026-06-15</w:t>
            </w:r>
          </w:p>
        </w:tc>
        <w:tc>
          <w:tcPr>
            <w:tcW w:type="dxa" w:w="2160"/>
          </w:tcPr>
          <w:p>
            <w:r/>
            <w:r>
              <w:t>4051a23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Integra solicitudes de contratistas en visitantes.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2ee7f3c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Ajusta timeout de paneles y spinner.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920f170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OCR de INE y spinner global.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3b5d7f2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Corrige parseo de nombre en OCR de INE.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88e928d</w:t>
            </w:r>
          </w:p>
        </w:tc>
        <w:tc>
          <w:tcPr>
            <w:tcW w:type="dxa" w:w="2160"/>
          </w:tcPr>
          <w:p>
            <w:r/>
            <w:r>
              <w:t>Técnico</w:t>
            </w:r>
          </w:p>
        </w:tc>
        <w:tc>
          <w:tcPr>
            <w:tcW w:type="dxa" w:w="2160"/>
          </w:tcPr>
          <w:p>
            <w:r/>
            <w:r>
              <w:t>Cambia OCR de INE a Tesseract.js.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09448d4</w:t>
            </w:r>
          </w:p>
        </w:tc>
        <w:tc>
          <w:tcPr>
            <w:tcW w:type="dxa" w:w="2160"/>
          </w:tcPr>
          <w:p>
            <w:r/>
            <w:r>
              <w:t>Corrección</w:t>
            </w:r>
          </w:p>
        </w:tc>
        <w:tc>
          <w:tcPr>
            <w:tcW w:type="dxa" w:w="2160"/>
          </w:tcPr>
          <w:p>
            <w:r/>
            <w:r>
              <w:t>Estabiliza OCR de INE en visitantes.</w:t>
            </w:r>
          </w:p>
        </w:tc>
      </w:tr>
      <w:tr>
        <w:tc>
          <w:tcPr>
            <w:tcW w:type="dxa" w:w="2160"/>
          </w:tcPr>
          <w:p>
            <w:r/>
            <w:r>
              <w:t>2026-06-12</w:t>
            </w:r>
          </w:p>
        </w:tc>
        <w:tc>
          <w:tcPr>
            <w:tcW w:type="dxa" w:w="2160"/>
          </w:tcPr>
          <w:p>
            <w:r/>
            <w:r>
              <w:t>8c3ea49</w:t>
            </w:r>
          </w:p>
        </w:tc>
        <w:tc>
          <w:tcPr>
            <w:tcW w:type="dxa" w:w="2160"/>
          </w:tcPr>
          <w:p>
            <w:r/>
            <w:r>
              <w:t>Funcional</w:t>
            </w:r>
          </w:p>
        </w:tc>
        <w:tc>
          <w:tcPr>
            <w:tcW w:type="dxa" w:w="2160"/>
          </w:tcPr>
          <w:p>
            <w:r/>
            <w:r>
              <w:t>Mejora flujo de visitantes y validaciones de formularios.</w:t>
            </w:r>
          </w:p>
        </w:tc>
      </w:tr>
    </w:tbl>
    <w:p/>
    <w:p>
      <w:pPr>
        <w:ind w:left="360"/>
      </w:pPr>
      <w:r>
        <w:t>Para el histórico completo, consúltese el control de versiones del repositorio.</w:t>
      </w:r>
    </w:p>
    <w:p>
      <w:pPr>
        <w:pStyle w:val="Heading2"/>
      </w:pPr>
      <w:r>
        <w:rPr>
          <w:color w:val="1F4E79"/>
        </w:rPr>
        <w:t>4. Registro de nuevos cambios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Referencia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Descripción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Validación</w:t>
            </w:r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rPr>
          <w:color w:val="1F4E79"/>
        </w:rPr>
        <w:t>5.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  <w:color w:val="1F4E79"/>
              </w:rPr>
            </w:r>
            <w:r>
              <w:rPr>
                <w:b/>
                <w:color w:val="1F4E79"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Bitácora de Cambios — RE</w:t>
            </w:r>
          </w:p>
        </w:tc>
        <w:tc>
          <w:tcPr>
            <w:tcW w:type="dxa" w:w="1440"/>
          </w:tcPr>
          <w:p>
            <w:r/>
            <w:r>
              <w:t>BC-RE-001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/>
  <dcterms:created xsi:type="dcterms:W3CDTF">2013-12-23T23:15:00Z</dcterms:created>
  <dcterms:modified xsi:type="dcterms:W3CDTF">2013-12-23T23:15:00Z</dcterms:modified>
  <cp:category/>
</cp:coreProperties>
</file>