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Matriz de Trazabilidad ISO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Matriz de trazabilidad ISO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TR-RE-001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 la matriz de trazabilidad ISO.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</w:t>
      </w:r>
    </w:p>
    <w:p>
      <w:pPr>
        <w:pStyle w:val="ListNumber"/>
      </w:pPr>
      <w:r>
        <w:t>Documentos de referencia</w:t>
      </w:r>
    </w:p>
    <w:p>
      <w:pPr>
        <w:pStyle w:val="ListNumber"/>
      </w:pPr>
      <w:r>
        <w:t>Cómo leer esta matriz</w:t>
      </w:r>
    </w:p>
    <w:p>
      <w:pPr>
        <w:pStyle w:val="ListNumber"/>
      </w:pPr>
      <w:r>
        <w:t>Matriz de trazabilidad</w:t>
      </w:r>
    </w:p>
    <w:p>
      <w:pPr>
        <w:pStyle w:val="ListBullet"/>
      </w:pPr>
      <w:r>
        <w:t>5.1 PSI.05 — Control de accesos</w:t>
      </w:r>
    </w:p>
    <w:p>
      <w:pPr>
        <w:pStyle w:val="ListBullet"/>
      </w:pPr>
      <w:r>
        <w:t>5.2 PSI.05 — Enmascaramiento y protección de datos</w:t>
      </w:r>
    </w:p>
    <w:p>
      <w:pPr>
        <w:pStyle w:val="ListBullet"/>
      </w:pPr>
      <w:r>
        <w:t>5.3 PSI.12 — Desarrollo seguro</w:t>
      </w:r>
    </w:p>
    <w:p>
      <w:pPr>
        <w:pStyle w:val="ListBullet"/>
      </w:pPr>
      <w:r>
        <w:t>5.4 PSI.01 — Requisitos de seguridad en los proyectos</w:t>
      </w:r>
    </w:p>
    <w:p>
      <w:pPr>
        <w:pStyle w:val="ListNumber"/>
      </w:pPr>
      <w:r>
        <w:t>Resumen de alineación</w:t>
      </w:r>
    </w:p>
    <w:p>
      <w:pPr>
        <w:pStyle w:val="ListNumber"/>
      </w:pPr>
      <w:r>
        <w:t>Acciones de control y seguimiento</w:t>
      </w:r>
    </w:p>
    <w:p>
      <w:pPr>
        <w:pStyle w:val="ListNumber"/>
      </w:pPr>
      <w:r>
        <w:t>Conclusión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Inicio de sesión (evidencia de autenticación)</w:t>
      </w:r>
    </w:p>
    <w:p>
      <w:pPr>
        <w:pStyle w:val="ListBullet"/>
      </w:pPr>
      <w:r>
        <w:t>Ilustración 2. Configuración de roles y permisos</w:t>
      </w:r>
    </w:p>
    <w:p>
      <w:pPr>
        <w:pStyle w:val="ListBullet"/>
      </w:pPr>
      <w:r>
        <w:t>Ilustración 3. Listado de usuarios activos / inactivos (revisión de accesos)</w:t>
      </w:r>
    </w:p>
    <w:p>
      <w:pPr>
        <w:pStyle w:val="ListBullet"/>
      </w:pPr>
      <w:r>
        <w:t>Ilustración 4. Acción de desbloqueo de cuenta</w:t>
      </w:r>
    </w:p>
    <w:p>
      <w:pPr>
        <w:pStyle w:val="ListBullet"/>
      </w:pPr>
      <w:r>
        <w:t>Ilustración 5. Restricción de acceso por rol a datos completos</w:t>
      </w:r>
    </w:p>
    <w:p>
      <w:pPr>
        <w:pStyle w:val="ListBullet"/>
      </w:pPr>
      <w:r>
        <w:t>Ilustración 6. Configuración de documentos requeridos (minimización)</w:t>
      </w:r>
    </w:p>
    <w:p>
      <w:pPr>
        <w:pStyle w:val="ListBullet"/>
      </w:pPr>
      <w:r>
        <w:t>Ilustración 7. Exportación de reporte (control de datos en PDF/Excel)</w:t>
      </w:r>
    </w:p>
    <w:p>
      <w:pPr>
        <w:pStyle w:val="ListBullet"/>
      </w:pPr>
      <w:r>
        <w:t>Ilustración 8. Arquitectura del sistema (separación de capas)</w:t>
      </w:r>
    </w:p>
    <w:p>
      <w:pPr>
        <w:pStyle w:val="ListBullet"/>
      </w:pPr>
      <w:r>
        <w:t>Ilustración 9. Validación de formulario (campos obligatorios en rojo)</w:t>
      </w:r>
    </w:p>
    <w:p>
      <w:pPr>
        <w:pStyle w:val="ListBullet"/>
      </w:pPr>
      <w:r>
        <w:t>Ilustración 10. Bitácora / control de cambios</w:t>
      </w:r>
    </w:p>
    <w:p>
      <w:pPr>
        <w:ind w:left="360"/>
      </w:pPr>
      <w:r>
        <w:rPr>
          <w:b/>
        </w:rPr>
        <w:t>Nota:</w:t>
      </w:r>
      <w:r>
        <w:t xml:space="preserve"> Las imágenes de este documento corresponden a </w:t>
      </w:r>
      <w:r>
        <w:rPr>
          <w:b/>
        </w:rPr>
        <w:t>evidencias documentales</w:t>
      </w:r>
      <w:r>
        <w:t xml:space="preserve"> para auditoría. Las capturas no exponen datos sensibles (contraseñas, tokens, identificadores de sesión, direcciones IP ni datos personales reales) y se generan con datos de prueba o datos enmascarados.</w:t>
      </w:r>
    </w:p>
    <w:p>
      <w:pPr>
        <w:pStyle w:val="Heading2"/>
      </w:pPr>
      <w:r>
        <w:rPr>
          <w:color w:val="1F4E79"/>
        </w:rPr>
        <w:t>1. Objetivo</w:t>
      </w:r>
    </w:p>
    <w:p>
      <w:r>
        <w:t xml:space="preserve">El presente documento establece la </w:t>
      </w:r>
      <w:r>
        <w:rPr>
          <w:b/>
        </w:rPr>
        <w:t>trazabilidad</w:t>
      </w:r>
      <w:r>
        <w:t xml:space="preserve"> entre los lineamientos de seguridad de la información definidos por la organización —</w:t>
      </w:r>
      <w:r>
        <w:rPr>
          <w:b/>
        </w:rPr>
        <w:t>PSI.01 (Política de Requisitos de Seguridad en los Proyectos)</w:t>
      </w:r>
      <w:r>
        <w:t xml:space="preserve">, </w:t>
      </w:r>
      <w:r>
        <w:rPr>
          <w:b/>
        </w:rPr>
        <w:t>PSI.05 (Política de Control de Accesos, que incluye el enmascaramiento de datos)</w:t>
      </w:r>
      <w:r>
        <w:t xml:space="preserve"> y </w:t>
      </w:r>
      <w:r>
        <w:rPr>
          <w:b/>
        </w:rPr>
        <w:t>PSI.12 (Política de Desarrollo Seguro)</w:t>
      </w:r>
      <w:r>
        <w:t xml:space="preserve">— y la forma en que el sistema </w:t>
      </w:r>
      <w:r>
        <w:rPr>
          <w:b/>
        </w:rPr>
        <w:t>Recepción Electrónica (RE)</w:t>
      </w:r>
      <w:r>
        <w:t xml:space="preserve"> y su documentación </w:t>
      </w:r>
      <w:r>
        <w:rPr>
          <w:b/>
        </w:rPr>
        <w:t>se alinean</w:t>
      </w:r>
      <w:r>
        <w:t xml:space="preserve"> con dichos lineamientos.</w:t>
      </w:r>
    </w:p>
    <w:p>
      <w:r>
        <w:t xml:space="preserve">Las políticas representan el </w:t>
      </w:r>
      <w:r>
        <w:rPr>
          <w:b/>
        </w:rPr>
        <w:t>“deber ser”</w:t>
      </w:r>
      <w:r>
        <w:t xml:space="preserve"> (los requisitos que la organización ha definido), mientras que la documentación funcional, técnica, administrativa y operativa de RE describe el </w:t>
      </w:r>
      <w:r>
        <w:rPr>
          <w:b/>
        </w:rPr>
        <w:t>“cómo se aplica”</w:t>
      </w:r>
      <w:r>
        <w:t xml:space="preserve"> en el sistema. Esta matriz sirve como </w:t>
      </w:r>
      <w:r>
        <w:rPr>
          <w:b/>
        </w:rPr>
        <w:t>puente para auditoría</w:t>
      </w:r>
      <w:r>
        <w:t>, permitiendo verificar, control por control, dónde se evidencia su aplicación.</w:t>
      </w:r>
    </w:p>
    <w:p>
      <w:pPr>
        <w:ind w:left="360"/>
      </w:pPr>
      <w:r>
        <w:t xml:space="preserve">Este documento utiliza un lenguaje de </w:t>
      </w:r>
      <w:r>
        <w:rPr>
          <w:b/>
        </w:rPr>
        <w:t>alineación</w:t>
      </w:r>
      <w:r>
        <w:t xml:space="preserve"> (“se alinea”, “soporta”, “contribuye a cumplir”) y </w:t>
      </w:r>
      <w:r>
        <w:rPr>
          <w:b/>
        </w:rPr>
        <w:t>no constituye una declaración de cumplimiento legal o normativo absoluto</w:t>
      </w:r>
      <w:r>
        <w:t>. La verificación final corresponde al proceso de auditoría y a la evidencia operativa que se conserve.</w:t>
      </w:r>
    </w:p>
    <w:p>
      <w:pPr>
        <w:pStyle w:val="Heading2"/>
      </w:pPr>
      <w:r>
        <w:rPr>
          <w:color w:val="1F4E79"/>
        </w:rPr>
        <w:t>2. Alcance</w:t>
      </w:r>
    </w:p>
    <w:p>
      <w:pPr>
        <w:pStyle w:val="ListBullet"/>
      </w:pPr>
      <w:r>
        <w:t xml:space="preserve">Aplica al sistema </w:t>
      </w:r>
      <w:r>
        <w:rPr>
          <w:b/>
        </w:rPr>
        <w:t>Recepción Electrónica (RE) base</w:t>
      </w:r>
      <w:r>
        <w:t xml:space="preserve"> y a sus documentos relacionados (funcional, técnico, administrativo, de base de datos, de API y de pruebas).</w:t>
      </w:r>
    </w:p>
    <w:p>
      <w:pPr>
        <w:pStyle w:val="ListBullet"/>
      </w:pPr>
      <w:r>
        <w:t xml:space="preserve">Cubre los controles contenidos en 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(incluido su apartado de </w:t>
      </w:r>
      <w:r>
        <w:rPr>
          <w:b/>
        </w:rPr>
        <w:t>enmascaramiento de datos</w:t>
      </w:r>
      <w:r>
        <w:t xml:space="preserve">) y </w:t>
      </w:r>
      <w:r>
        <w:rPr>
          <w:b/>
        </w:rPr>
        <w:t>PSI.12</w:t>
      </w:r>
      <w:r>
        <w:t>.</w:t>
      </w:r>
    </w:p>
    <w:p>
      <w:pPr>
        <w:pStyle w:val="ListBullet"/>
      </w:pPr>
      <w:r>
        <w:rPr>
          <w:b/>
        </w:rPr>
        <w:t>No</w:t>
      </w:r>
      <w:r>
        <w:t xml:space="preserve"> cubre los </w:t>
      </w:r>
      <w:r>
        <w:rPr>
          <w:b/>
        </w:rPr>
        <w:t>módulos opcionales</w:t>
      </w:r>
      <w:r>
        <w:t xml:space="preserve"> (integraciones), que se documentan por separado y, cuando se contratan, cuentan con su propia trazabilidad.</w:t>
      </w:r>
    </w:p>
    <w:p>
      <w:pPr>
        <w:pStyle w:val="ListBullet"/>
      </w:pPr>
      <w:r>
        <w:t xml:space="preserve">La matriz refleja el estado del sistema y de la documentación a la </w:t>
      </w:r>
      <w:r>
        <w:rPr>
          <w:b/>
        </w:rPr>
        <w:t>fecha</w:t>
      </w:r>
      <w:r>
        <w:t xml:space="preserve"> indicada en la portada; su revisión se realiza ante cambios relevantes.</w:t>
      </w:r>
    </w:p>
    <w:p>
      <w:pPr>
        <w:pStyle w:val="Heading2"/>
      </w:pPr>
      <w:r>
        <w:rPr>
          <w:color w:val="1F4E79"/>
        </w:rPr>
        <w:t>3. Documentos de referencia</w:t>
      </w:r>
    </w:p>
    <w:p>
      <w:r>
        <w:rPr>
          <w:b/>
        </w:rPr>
        <w:t>Lineamientos (deber ser):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Tema</w:t>
            </w:r>
          </w:p>
        </w:tc>
      </w:tr>
      <w:tr>
        <w:tc>
          <w:tcPr>
            <w:tcW w:type="dxa" w:w="2880"/>
          </w:tcPr>
          <w:p>
            <w:r/>
            <w:r>
              <w:t>PSI.01</w:t>
            </w:r>
          </w:p>
        </w:tc>
        <w:tc>
          <w:tcPr>
            <w:tcW w:type="dxa" w:w="2880"/>
          </w:tcPr>
          <w:p>
            <w:r/>
            <w:r>
              <w:t>Política de Requisitos de Seguridad en los Proyectos</w:t>
            </w:r>
          </w:p>
        </w:tc>
        <w:tc>
          <w:tcPr>
            <w:tcW w:type="dxa" w:w="2880"/>
          </w:tcPr>
          <w:p>
            <w:r/>
            <w:r>
              <w:t>Medidas de seguridad en la gestión de proyectos (comunicaciones, accesos, software, hardware y respaldos).</w:t>
            </w:r>
          </w:p>
        </w:tc>
      </w:tr>
      <w:tr>
        <w:tc>
          <w:tcPr>
            <w:tcW w:type="dxa" w:w="2880"/>
          </w:tcPr>
          <w:p>
            <w:r/>
            <w:r>
              <w:t>PSI.05</w:t>
            </w:r>
          </w:p>
        </w:tc>
        <w:tc>
          <w:tcPr>
            <w:tcW w:type="dxa" w:w="2880"/>
          </w:tcPr>
          <w:p>
            <w:r/>
            <w:r>
              <w:t>Política de Control de Accesos</w:t>
            </w:r>
          </w:p>
        </w:tc>
        <w:tc>
          <w:tcPr>
            <w:tcW w:type="dxa" w:w="2880"/>
          </w:tcPr>
          <w:p>
            <w:r/>
            <w:r>
              <w:t xml:space="preserve">Gestión de identidades, accesos, roles y privilegios; incluye el </w:t>
            </w:r>
            <w:r>
              <w:rPr>
                <w:b/>
              </w:rPr>
              <w:t>enmascaramiento de datos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PSI.12</w:t>
            </w:r>
          </w:p>
        </w:tc>
        <w:tc>
          <w:tcPr>
            <w:tcW w:type="dxa" w:w="2880"/>
          </w:tcPr>
          <w:p>
            <w:r/>
            <w:r>
              <w:t>Política de Desarrollo Seguro</w:t>
            </w:r>
          </w:p>
        </w:tc>
        <w:tc>
          <w:tcPr>
            <w:tcW w:type="dxa" w:w="2880"/>
          </w:tcPr>
          <w:p>
            <w:r/>
            <w:r>
              <w:t>Prácticas seguras de desarrollo, pruebas, separación de ambientes y control de cambios.</w:t>
            </w:r>
          </w:p>
        </w:tc>
      </w:tr>
    </w:tbl>
    <w:p/>
    <w:p>
      <w:r>
        <w:rPr>
          <w:b/>
        </w:rPr>
        <w:t>Documentación del sistema RE (cómo se aplica):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</w:tr>
      <w:tr>
        <w:tc>
          <w:tcPr>
            <w:tcW w:type="dxa" w:w="4320"/>
          </w:tcPr>
          <w:p>
            <w:r/>
            <w:r>
              <w:t>MU-RE-001</w:t>
            </w:r>
          </w:p>
        </w:tc>
        <w:tc>
          <w:tcPr>
            <w:tcW w:type="dxa" w:w="4320"/>
          </w:tcPr>
          <w:p>
            <w:r/>
            <w:r>
              <w:t>Manual de Usuario</w:t>
            </w:r>
          </w:p>
        </w:tc>
      </w:tr>
      <w:tr>
        <w:tc>
          <w:tcPr>
            <w:tcW w:type="dxa" w:w="4320"/>
          </w:tcPr>
          <w:p>
            <w:r/>
            <w:r>
              <w:t>MA-RE-001</w:t>
            </w:r>
          </w:p>
        </w:tc>
        <w:tc>
          <w:tcPr>
            <w:tcW w:type="dxa" w:w="4320"/>
          </w:tcPr>
          <w:p>
            <w:r/>
            <w:r>
              <w:t>Manual de Administración</w:t>
            </w:r>
          </w:p>
        </w:tc>
      </w:tr>
      <w:tr>
        <w:tc>
          <w:tcPr>
            <w:tcW w:type="dxa" w:w="4320"/>
          </w:tcPr>
          <w:p>
            <w:r/>
            <w:r>
              <w:t>DF-RE-001</w:t>
            </w:r>
          </w:p>
        </w:tc>
        <w:tc>
          <w:tcPr>
            <w:tcW w:type="dxa" w:w="4320"/>
          </w:tcPr>
          <w:p>
            <w:r/>
            <w:r>
              <w:t>Documento Funcional</w:t>
            </w:r>
          </w:p>
        </w:tc>
      </w:tr>
      <w:tr>
        <w:tc>
          <w:tcPr>
            <w:tcW w:type="dxa" w:w="4320"/>
          </w:tcPr>
          <w:p>
            <w:r/>
            <w:r>
              <w:t>MT-RE-001</w:t>
            </w:r>
          </w:p>
        </w:tc>
        <w:tc>
          <w:tcPr>
            <w:tcW w:type="dxa" w:w="4320"/>
          </w:tcPr>
          <w:p>
            <w:r/>
            <w:r>
              <w:t>Manual Técnico</w:t>
            </w:r>
          </w:p>
        </w:tc>
      </w:tr>
      <w:tr>
        <w:tc>
          <w:tcPr>
            <w:tcW w:type="dxa" w:w="4320"/>
          </w:tcPr>
          <w:p>
            <w:r/>
            <w:r>
              <w:t>DB-RE-001</w:t>
            </w:r>
          </w:p>
        </w:tc>
        <w:tc>
          <w:tcPr>
            <w:tcW w:type="dxa" w:w="4320"/>
          </w:tcPr>
          <w:p>
            <w:r/>
            <w:r>
              <w:t>Diccionario de Base de Datos</w:t>
            </w:r>
          </w:p>
        </w:tc>
      </w:tr>
      <w:tr>
        <w:tc>
          <w:tcPr>
            <w:tcW w:type="dxa" w:w="4320"/>
          </w:tcPr>
          <w:p>
            <w:r/>
            <w:r>
              <w:t>API-RE-001</w:t>
            </w:r>
          </w:p>
        </w:tc>
        <w:tc>
          <w:tcPr>
            <w:tcW w:type="dxa" w:w="4320"/>
          </w:tcPr>
          <w:p>
            <w:r/>
            <w:r>
              <w:t>Documentación de API</w:t>
            </w:r>
          </w:p>
        </w:tc>
      </w:tr>
      <w:tr>
        <w:tc>
          <w:tcPr>
            <w:tcW w:type="dxa" w:w="4320"/>
          </w:tcPr>
          <w:p>
            <w:r/>
            <w:r>
              <w:t>PT-RE-001</w:t>
            </w:r>
          </w:p>
        </w:tc>
        <w:tc>
          <w:tcPr>
            <w:tcW w:type="dxa" w:w="4320"/>
          </w:tcPr>
          <w:p>
            <w:r/>
            <w:r>
              <w:t>Plan / Evidencia de Pruebas</w:t>
            </w:r>
          </w:p>
        </w:tc>
      </w:tr>
      <w:tr>
        <w:tc>
          <w:tcPr>
            <w:tcW w:type="dxa" w:w="4320"/>
          </w:tcPr>
          <w:p>
            <w:r/>
            <w:r>
              <w:t>MI-RE-001</w:t>
            </w:r>
          </w:p>
        </w:tc>
        <w:tc>
          <w:tcPr>
            <w:tcW w:type="dxa" w:w="4320"/>
          </w:tcPr>
          <w:p>
            <w:r/>
            <w:r>
              <w:t>Manual de Instalación / Despliegue</w:t>
            </w:r>
          </w:p>
        </w:tc>
      </w:tr>
      <w:tr>
        <w:tc>
          <w:tcPr>
            <w:tcW w:type="dxa" w:w="4320"/>
          </w:tcPr>
          <w:p>
            <w:r/>
            <w:r>
              <w:t>BC-RE-001</w:t>
            </w:r>
          </w:p>
        </w:tc>
        <w:tc>
          <w:tcPr>
            <w:tcW w:type="dxa" w:w="4320"/>
          </w:tcPr>
          <w:p>
            <w:r/>
            <w:r>
              <w:t>Bitácora / Control de Cambios</w:t>
            </w:r>
          </w:p>
        </w:tc>
      </w:tr>
    </w:tbl>
    <w:p/>
    <w:p>
      <w:pPr>
        <w:pStyle w:val="Heading2"/>
      </w:pPr>
      <w:r>
        <w:rPr>
          <w:color w:val="1F4E79"/>
        </w:rPr>
        <w:t>4. Cómo leer esta matriz</w:t>
      </w:r>
    </w:p>
    <w:p>
      <w:r>
        <w:t>Cada control se desglosa en una tabla con las siguientes columnas: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Columna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Política / Control</w:t>
            </w:r>
          </w:p>
        </w:tc>
        <w:tc>
          <w:tcPr>
            <w:tcW w:type="dxa" w:w="4320"/>
          </w:tcPr>
          <w:p>
            <w:r/>
            <w:r>
              <w:t>Lineamiento de referencia (PSI.01, PSI.05 o PSI.12).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Requisito o lineamiento</w:t>
            </w:r>
          </w:p>
        </w:tc>
        <w:tc>
          <w:tcPr>
            <w:tcW w:type="dxa" w:w="4320"/>
          </w:tcPr>
          <w:p>
            <w:r/>
            <w:r>
              <w:t>El requisito específico esperado por la política.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Cómo lo cumple RE</w:t>
            </w:r>
          </w:p>
        </w:tc>
        <w:tc>
          <w:tcPr>
            <w:tcW w:type="dxa" w:w="4320"/>
          </w:tcPr>
          <w:p>
            <w:r/>
            <w:r>
              <w:t>La capacidad, comportamiento o práctica del sistema que se alinea con el requisito.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 RE relacionado</w:t>
            </w:r>
          </w:p>
        </w:tc>
        <w:tc>
          <w:tcPr>
            <w:tcW w:type="dxa" w:w="4320"/>
          </w:tcPr>
          <w:p>
            <w:r/>
            <w:r>
              <w:t>Dónde está documentado dentro del conjunto 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Evidencia / referencia</w:t>
            </w:r>
          </w:p>
        </w:tc>
        <w:tc>
          <w:tcPr>
            <w:tcW w:type="dxa" w:w="4320"/>
          </w:tcPr>
          <w:p>
            <w:r/>
            <w:r>
              <w:t>Evidencia documental u operativa asociada al control.</w:t>
            </w:r>
          </w:p>
        </w:tc>
      </w:tr>
    </w:tbl>
    <w:p/>
    <w:p>
      <w:pPr>
        <w:pStyle w:val="Heading2"/>
      </w:pPr>
      <w:r>
        <w:rPr>
          <w:color w:val="1F4E79"/>
        </w:rPr>
        <w:t>5. Matriz de trazabilidad</w:t>
      </w:r>
    </w:p>
    <w:p>
      <w:pPr>
        <w:pStyle w:val="Heading3"/>
      </w:pPr>
      <w:r>
        <w:rPr>
          <w:color w:val="1F4E79"/>
        </w:rPr>
        <w:t>5.1 PSI.05 — Control de accesos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Autenticación de usuarios</w:t>
            </w:r>
          </w:p>
        </w:tc>
        <w:tc>
          <w:tcPr>
            <w:tcW w:type="dxa" w:w="1728"/>
          </w:tcPr>
          <w:p>
            <w:r/>
            <w:r>
              <w:t xml:space="preserve">El acceso requiere </w:t>
            </w:r>
            <w:r>
              <w:rPr>
                <w:b/>
              </w:rPr>
              <w:t>correo y contraseña</w:t>
            </w:r>
            <w:r>
              <w:t>; el sistema valida credenciales, estado activo de la cuenta y emite una sesión con vigencia limitada.</w:t>
            </w:r>
          </w:p>
        </w:tc>
        <w:tc>
          <w:tcPr>
            <w:tcW w:type="dxa" w:w="1728"/>
          </w:tcPr>
          <w:p>
            <w:r/>
            <w:r>
              <w:t>DF-RE-001 (5.1, 6.1), MU-RE-001 (4.1)</w:t>
            </w:r>
          </w:p>
        </w:tc>
        <w:tc>
          <w:tcPr>
            <w:tcW w:type="dxa" w:w="1728"/>
          </w:tcPr>
          <w:p>
            <w:r/>
            <w:r>
              <w:t>Captura de inicio de sesión (ver Ilustración 1); política de contraseñas.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Identificador y contraseña únicos; prohibición de compartirlos</w:t>
            </w:r>
          </w:p>
        </w:tc>
        <w:tc>
          <w:tcPr>
            <w:tcW w:type="dxa" w:w="1728"/>
          </w:tcPr>
          <w:p>
            <w:r/>
            <w:r>
              <w:t xml:space="preserve">Cada usuario se identifica con un </w:t>
            </w:r>
            <w:r>
              <w:rPr>
                <w:b/>
              </w:rPr>
              <w:t>correo único</w:t>
            </w:r>
            <w:r>
              <w:t>; el sistema rechaza correos duplicados y cada cuenta tiene sus propias credenciales.</w:t>
            </w:r>
          </w:p>
        </w:tc>
        <w:tc>
          <w:tcPr>
            <w:tcW w:type="dxa" w:w="1728"/>
          </w:tcPr>
          <w:p>
            <w:r/>
            <w:r>
              <w:t>DF-RE-001 (6.6), MA-RE-001 (9.1)</w:t>
            </w:r>
          </w:p>
        </w:tc>
        <w:tc>
          <w:tcPr>
            <w:tcW w:type="dxa" w:w="1728"/>
          </w:tcPr>
          <w:p>
            <w:r/>
            <w:r>
              <w:t>Listado de usuarios con correos únicos.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Contraseñas robustas y cambio controlado</w:t>
            </w:r>
          </w:p>
        </w:tc>
        <w:tc>
          <w:tcPr>
            <w:tcW w:type="dxa" w:w="1728"/>
          </w:tcPr>
          <w:p>
            <w:r/>
            <w:r>
              <w:t xml:space="preserve">El alta de usuario exige </w:t>
            </w:r>
            <w:r>
              <w:rPr>
                <w:b/>
              </w:rPr>
              <w:t>contraseña con combinación de mayúsculas, minúsculas, números y símbolos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MU-RE-001 (10.1), DF-RE-001 (6.6)</w:t>
            </w:r>
          </w:p>
        </w:tc>
        <w:tc>
          <w:tcPr>
            <w:tcW w:type="dxa" w:w="1728"/>
          </w:tcPr>
          <w:p>
            <w:r/>
            <w:r>
              <w:t>Configuración/validación de contraseña (ver recomendación 1, sección 7).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Roles y permisos</w:t>
            </w:r>
          </w:p>
        </w:tc>
        <w:tc>
          <w:tcPr>
            <w:tcW w:type="dxa" w:w="1728"/>
          </w:tcPr>
          <w:p>
            <w:r/>
            <w:r>
              <w:t xml:space="preserve">El sistema maneja </w:t>
            </w:r>
            <w:r>
              <w:rPr>
                <w:b/>
              </w:rPr>
              <w:t>roles</w:t>
            </w:r>
            <w:r>
              <w:t xml:space="preserve"> (Administrador, Recepción, Interno, Reportes, Visitante, Tablet y personalizados) que determinan los módulos y acciones visibles.</w:t>
            </w:r>
          </w:p>
        </w:tc>
        <w:tc>
          <w:tcPr>
            <w:tcW w:type="dxa" w:w="1728"/>
          </w:tcPr>
          <w:p>
            <w:r/>
            <w:r>
              <w:t>MA-RE-001 (4, 5), DF-RE-001 (9)</w:t>
            </w:r>
          </w:p>
        </w:tc>
        <w:tc>
          <w:tcPr>
            <w:tcW w:type="dxa" w:w="1728"/>
          </w:tcPr>
          <w:p>
            <w:r/>
            <w:r>
              <w:t>Matriz de roles; configuración de permisos por rol (ver Ilustración 2).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Privilegios mínimos, necesidad de saber y de usar</w:t>
            </w:r>
          </w:p>
        </w:tc>
        <w:tc>
          <w:tcPr>
            <w:tcW w:type="dxa" w:w="1728"/>
          </w:tcPr>
          <w:p>
            <w:r/>
            <w:r>
              <w:t xml:space="preserve">La visibilidad de módulos y acciones se restringe por rol y configuración de permisos; las rutas críticas exigen condición de </w:t>
            </w:r>
            <w:r>
              <w:rPr>
                <w:b/>
              </w:rPr>
              <w:t>usuario maestro (root)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MA-RE-001 (5.1), DF-RE-001 (5.1)</w:t>
            </w:r>
          </w:p>
        </w:tc>
        <w:tc>
          <w:tcPr>
            <w:tcW w:type="dxa" w:w="1728"/>
          </w:tcPr>
          <w:p>
            <w:r/>
            <w:r>
              <w:t>Configuración de permisos; lista de cuentas con privilegios elevados.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Ciclo de vida y baja de cuentas</w:t>
            </w:r>
          </w:p>
        </w:tc>
        <w:tc>
          <w:tcPr>
            <w:tcW w:type="dxa" w:w="1728"/>
          </w:tcPr>
          <w:p>
            <w:r/>
            <w:r>
              <w:t xml:space="preserve">RE permite </w:t>
            </w:r>
            <w:r>
              <w:rPr>
                <w:b/>
              </w:rPr>
              <w:t>crear, editar, bloquear/desbloquear, activar/inactivar</w:t>
            </w:r>
            <w:r>
              <w:t xml:space="preserve"> y dar de baja usuarios; el bloqueo por intentos fallidos es temporal (predeterminado 30 min) y el administrador puede desbloquear.</w:t>
            </w:r>
          </w:p>
        </w:tc>
        <w:tc>
          <w:tcPr>
            <w:tcW w:type="dxa" w:w="1728"/>
          </w:tcPr>
          <w:p>
            <w:r/>
            <w:r>
              <w:t>MA-RE-001 (9), MU-RE-001 (10)</w:t>
            </w:r>
          </w:p>
        </w:tc>
        <w:tc>
          <w:tcPr>
            <w:tcW w:type="dxa" w:w="1728"/>
          </w:tcPr>
          <w:p>
            <w:r/>
            <w:r>
              <w:t>Bitácora de altas/bajas; evidencia de desbloqueos (ver Ilustración 4).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Revisión periódica de accesos de administrador (cada 5 meses)</w:t>
            </w:r>
          </w:p>
        </w:tc>
        <w:tc>
          <w:tcPr>
            <w:tcW w:type="dxa" w:w="1728"/>
          </w:tcPr>
          <w:p>
            <w:r/>
            <w:r>
              <w:t xml:space="preserve">El sistema distingue usuarios </w:t>
            </w:r>
            <w:r>
              <w:rPr>
                <w:b/>
              </w:rPr>
              <w:t>activos / inactivos</w:t>
            </w:r>
            <w:r>
              <w:t xml:space="preserve"> y registra cuentas con privilegios; la revisión cada 5 meses se establece como actividad administrativa.</w:t>
            </w:r>
          </w:p>
        </w:tc>
        <w:tc>
          <w:tcPr>
            <w:tcW w:type="dxa" w:w="1728"/>
          </w:tcPr>
          <w:p>
            <w:r/>
            <w:r>
              <w:t>MA-RE-001 (11, 14)</w:t>
            </w:r>
          </w:p>
        </w:tc>
        <w:tc>
          <w:tcPr>
            <w:tcW w:type="dxa" w:w="1728"/>
          </w:tcPr>
          <w:p>
            <w:r/>
            <w:r>
              <w:t>Reporte/lista de usuarios activos e inactivos por periodo (ver Ilustración 3).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Doble factor / MFA cuando la tecnología lo permita</w:t>
            </w:r>
          </w:p>
        </w:tc>
        <w:tc>
          <w:tcPr>
            <w:tcW w:type="dxa" w:w="1728"/>
          </w:tcPr>
          <w:p>
            <w:r/>
            <w:r>
              <w:t xml:space="preserve">El acceso base es por contraseña; el MFA se considera </w:t>
            </w:r>
            <w:r>
              <w:rPr>
                <w:b/>
              </w:rPr>
              <w:t>cuando la tecnología lo permita</w:t>
            </w:r>
            <w:r>
              <w:t xml:space="preserve"> (ver recomendación 2, sección 7).</w:t>
            </w:r>
          </w:p>
        </w:tc>
        <w:tc>
          <w:tcPr>
            <w:tcW w:type="dxa" w:w="1728"/>
          </w:tcPr>
          <w:p>
            <w:r/>
            <w:r>
              <w:t>DF-RE-001 (5.1)</w:t>
            </w:r>
          </w:p>
        </w:tc>
        <w:tc>
          <w:tcPr>
            <w:tcW w:type="dxa" w:w="1728"/>
          </w:tcPr>
          <w:p>
            <w:r/>
            <w:r>
              <w:t>Configuración de autenticación.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Restricción de acceso a módulos y reportes</w:t>
            </w:r>
          </w:p>
        </w:tc>
        <w:tc>
          <w:tcPr>
            <w:tcW w:type="dxa" w:w="1728"/>
          </w:tcPr>
          <w:p>
            <w:r/>
            <w:r>
              <w:t xml:space="preserve">Cada módulo (incluidos </w:t>
            </w:r>
            <w:r>
              <w:rPr>
                <w:b/>
              </w:rPr>
              <w:t>Reportes</w:t>
            </w:r>
            <w:r>
              <w:t>) se muestra según el rol; las exportaciones respetan los permisos del usuario.</w:t>
            </w:r>
          </w:p>
        </w:tc>
        <w:tc>
          <w:tcPr>
            <w:tcW w:type="dxa" w:w="1728"/>
          </w:tcPr>
          <w:p>
            <w:r/>
            <w:r>
              <w:t>DF-RE-001 (6.7–6.9), MU-RE-001 (13)</w:t>
            </w:r>
          </w:p>
        </w:tc>
        <w:tc>
          <w:tcPr>
            <w:tcW w:type="dxa" w:w="1728"/>
          </w:tcPr>
          <w:p>
            <w:r/>
            <w:r>
              <w:t>Pruebas de visibilidad por rol; revisión de exportaciones.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Expiración de sesión</w:t>
            </w:r>
          </w:p>
        </w:tc>
        <w:tc>
          <w:tcPr>
            <w:tcW w:type="dxa" w:w="1728"/>
          </w:tcPr>
          <w:p>
            <w:r/>
            <w:r>
              <w:t xml:space="preserve">La sesión tiene </w:t>
            </w:r>
            <w:r>
              <w:rPr>
                <w:b/>
              </w:rPr>
              <w:t>vigencia limitada</w:t>
            </w:r>
            <w:r>
              <w:t xml:space="preserve"> (predeterminado 7 días) y el sistema valida periódicamente su validez, cerrando sesión y solicitando reautenticación al expirar.</w:t>
            </w:r>
          </w:p>
        </w:tc>
        <w:tc>
          <w:tcPr>
            <w:tcW w:type="dxa" w:w="1728"/>
          </w:tcPr>
          <w:p>
            <w:r/>
            <w:r>
              <w:t>DF-RE-001 (5.1), MU-RE-001 (4.3)</w:t>
            </w:r>
          </w:p>
        </w:tc>
        <w:tc>
          <w:tcPr>
            <w:tcW w:type="dxa" w:w="1728"/>
          </w:tcPr>
          <w:p>
            <w:r/>
            <w:r>
              <w:t>Configuración de tiempos de sesión.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Trazabilidad de acciones relevantes</w:t>
            </w:r>
          </w:p>
        </w:tc>
        <w:tc>
          <w:tcPr>
            <w:tcW w:type="dxa" w:w="1728"/>
          </w:tcPr>
          <w:p>
            <w:r/>
            <w:r>
              <w:t>El sistema conserva registro de la operación (por ejemplo, eventos de acceso y bitácora técnica) que soporta la trazabilidad.</w:t>
            </w:r>
          </w:p>
        </w:tc>
        <w:tc>
          <w:tcPr>
            <w:tcW w:type="dxa" w:w="1728"/>
          </w:tcPr>
          <w:p>
            <w:r/>
            <w:r>
              <w:t>MT-RE-001, DF-RE-001 (6.7), PT-RE-001</w:t>
            </w:r>
          </w:p>
        </w:tc>
        <w:tc>
          <w:tcPr>
            <w:tcW w:type="dxa" w:w="1728"/>
          </w:tcPr>
          <w:p>
            <w:r/>
            <w:r>
              <w:t>Muestra de bitácora; eventos de acceso.</w:t>
            </w:r>
          </w:p>
        </w:tc>
      </w:tr>
    </w:tbl>
    <w:p/>
    <w:p>
      <w:r>
        <w:rPr>
          <w:b/>
        </w:rPr>
        <w:t>Evidencias documentales para PSI.05 (control de accesos):</w:t>
      </w:r>
    </w:p>
    <w:p>
      <w:r>
        <w:rPr>
          <w:rFonts w:ascii="Consolas" w:hAnsi="Consolas"/>
        </w:rPr>
        <w:t>[Foto: pantalla de inicio de sesión]</w:t>
      </w:r>
    </w:p>
    <w:p>
      <w:r>
        <w:rPr>
          <w:b/>
        </w:rPr>
        <w:t>Ilustración 1.</w:t>
      </w:r>
      <w:r>
        <w:t xml:space="preserve"> Inicio de sesión (evidencia de autenticación)</w:t>
      </w:r>
    </w:p>
    <w:p>
      <w:r>
        <w:rPr>
          <w:rFonts w:ascii="Consolas" w:hAnsi="Consolas"/>
        </w:rPr>
        <w:t>[Foto: configuración de roles y permisos por rol]</w:t>
      </w:r>
    </w:p>
    <w:p>
      <w:r>
        <w:rPr>
          <w:b/>
        </w:rPr>
        <w:t>Ilustración 2.</w:t>
      </w:r>
      <w:r>
        <w:t xml:space="preserve"> Configuración de roles y permisos</w:t>
      </w:r>
    </w:p>
    <w:p>
      <w:r>
        <w:rPr>
          <w:rFonts w:ascii="Consolas" w:hAnsi="Consolas"/>
        </w:rPr>
        <w:t>[Foto: listado de usuarios con filtro Activos/Inactivos]</w:t>
      </w:r>
    </w:p>
    <w:p>
      <w:r>
        <w:rPr>
          <w:b/>
        </w:rPr>
        <w:t>Ilustración 3.</w:t>
      </w:r>
      <w:r>
        <w:t xml:space="preserve"> Listado de usuarios activos / inactivos (revisión de accesos)</w:t>
      </w:r>
    </w:p>
    <w:p>
      <w:r>
        <w:rPr>
          <w:rFonts w:ascii="Consolas" w:hAnsi="Consolas"/>
        </w:rPr>
        <w:t>[Foto: acción de desbloqueo de una cuenta]</w:t>
      </w:r>
    </w:p>
    <w:p>
      <w:r>
        <w:rPr>
          <w:b/>
        </w:rPr>
        <w:t>Ilustración 4.</w:t>
      </w:r>
      <w:r>
        <w:t xml:space="preserve"> Acción de desbloqueo de cuenta</w:t>
      </w:r>
    </w:p>
    <w:p>
      <w:pPr>
        <w:pStyle w:val="Heading3"/>
      </w:pPr>
      <w:r>
        <w:rPr>
          <w:color w:val="1F4E79"/>
        </w:rPr>
        <w:t>5.2 PSI.05 — Enmascaramiento y protección de datos</w:t>
      </w:r>
    </w:p>
    <w:p>
      <w:pPr>
        <w:ind w:left="360"/>
      </w:pPr>
      <w:r>
        <w:t xml:space="preserve">El apartado de </w:t>
      </w:r>
      <w:r>
        <w:rPr>
          <w:b/>
        </w:rPr>
        <w:t>enmascaramiento de datos</w:t>
      </w:r>
      <w:r>
        <w:t xml:space="preserve"> forma parte de la política </w:t>
      </w:r>
      <w:r>
        <w:rPr>
          <w:b/>
        </w:rPr>
        <w:t>PSI.05</w:t>
      </w:r>
      <w:r>
        <w:t>. RE aplica estos lineamientos sobre los datos personales que administra.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Minimización de datos personales</w:t>
            </w:r>
          </w:p>
        </w:tc>
        <w:tc>
          <w:tcPr>
            <w:tcW w:type="dxa" w:w="1728"/>
          </w:tcPr>
          <w:p>
            <w:r/>
            <w:r>
              <w:t>RE captura únicamente los datos necesarios para la operación (identificación, contacto, documentos según configuración) y permite definir qué documentos se solicitan.</w:t>
            </w:r>
          </w:p>
        </w:tc>
        <w:tc>
          <w:tcPr>
            <w:tcW w:type="dxa" w:w="1728"/>
          </w:tcPr>
          <w:p>
            <w:r/>
            <w:r>
              <w:t>DF-RE-001 (6.2, 6.3), MA-RE-001 (6.4)</w:t>
            </w:r>
          </w:p>
        </w:tc>
        <w:tc>
          <w:tcPr>
            <w:tcW w:type="dxa" w:w="1728"/>
          </w:tcPr>
          <w:p>
            <w:r/>
            <w:r>
              <w:t>Definición de campos y documentos requeridos (ver Ilustración 6).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Acceso restringido a datos completos</w:t>
            </w:r>
          </w:p>
        </w:tc>
        <w:tc>
          <w:tcPr>
            <w:tcW w:type="dxa" w:w="1728"/>
          </w:tcPr>
          <w:p>
            <w:r/>
            <w:r>
              <w:t>El acceso a la información detallada (visitantes, empleados, documentos) está condicionado por rol y permisos.</w:t>
            </w:r>
          </w:p>
        </w:tc>
        <w:tc>
          <w:tcPr>
            <w:tcW w:type="dxa" w:w="1728"/>
          </w:tcPr>
          <w:p>
            <w:r/>
            <w:r>
              <w:t>MA-RE-001 (5), DF-RE-001 (9)</w:t>
            </w:r>
          </w:p>
        </w:tc>
        <w:tc>
          <w:tcPr>
            <w:tcW w:type="dxa" w:w="1728"/>
          </w:tcPr>
          <w:p>
            <w:r/>
            <w:r>
              <w:t>Pruebas de acceso por rol a datos completos (ver Ilustración 5).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Protección de documentos, fotografías e identificaciones</w:t>
            </w:r>
          </w:p>
        </w:tc>
        <w:tc>
          <w:tcPr>
            <w:tcW w:type="dxa" w:w="1728"/>
          </w:tcPr>
          <w:p>
            <w:r/>
            <w:r>
              <w:t>Las imágenes y documentos asociados a visitantes/empleados se tratan como datos personales y su acceso se restringe por rol.</w:t>
            </w:r>
          </w:p>
        </w:tc>
        <w:tc>
          <w:tcPr>
            <w:tcW w:type="dxa" w:w="1728"/>
          </w:tcPr>
          <w:p>
            <w:r/>
            <w:r>
              <w:t>DF-RE-001 (6.2), DB-RE-001</w:t>
            </w:r>
          </w:p>
        </w:tc>
        <w:tc>
          <w:tcPr>
            <w:tcW w:type="dxa" w:w="1728"/>
          </w:tcPr>
          <w:p>
            <w:r/>
            <w:r>
              <w:t>Revisión de permisos sobre documentos.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Anonimización de empleados dados de baja (física, no lógica)</w:t>
            </w:r>
          </w:p>
        </w:tc>
        <w:tc>
          <w:tcPr>
            <w:tcW w:type="dxa" w:w="1728"/>
          </w:tcPr>
          <w:p>
            <w:r/>
            <w:r>
              <w:t xml:space="preserve">RE cuenta con la acción de </w:t>
            </w:r>
            <w:r>
              <w:rPr>
                <w:b/>
              </w:rPr>
              <w:t>anonimizar</w:t>
            </w:r>
            <w:r>
              <w:t>, que sobrescribe los datos personales —</w:t>
            </w:r>
            <w:r>
              <w:rPr>
                <w:b/>
              </w:rPr>
              <w:t>correo, nombre y teléfono</w:t>
            </w:r>
            <w:r>
              <w:t>— como parte de la baja del empleado, para evitar su identificación y recuperación.</w:t>
            </w:r>
          </w:p>
        </w:tc>
        <w:tc>
          <w:tcPr>
            <w:tcW w:type="dxa" w:w="1728"/>
          </w:tcPr>
          <w:p>
            <w:r/>
            <w:r>
              <w:t>MA-RE-001 (9.3, 10), DF-RE-001 (5.2), API-RE-001</w:t>
            </w:r>
          </w:p>
        </w:tc>
        <w:tc>
          <w:tcPr>
            <w:tcW w:type="dxa" w:w="1728"/>
          </w:tcPr>
          <w:p>
            <w:r/>
            <w:r>
              <w:t>Evidencia de anonimización en la baja de un empleado.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Contraseñas almacenadas de forma cifrada</w:t>
            </w:r>
          </w:p>
        </w:tc>
        <w:tc>
          <w:tcPr>
            <w:tcW w:type="dxa" w:w="1728"/>
          </w:tcPr>
          <w:p>
            <w:r/>
            <w:r>
              <w:t xml:space="preserve">Las contraseñas del Sistema de Recepción Electrónica se almacenan </w:t>
            </w:r>
            <w:r>
              <w:rPr>
                <w:b/>
              </w:rPr>
              <w:t>cifradas/encriptadas</w:t>
            </w:r>
            <w:r>
              <w:t>, de modo que ante una vulneración de la base de datos no se divulguen.</w:t>
            </w:r>
          </w:p>
        </w:tc>
        <w:tc>
          <w:tcPr>
            <w:tcW w:type="dxa" w:w="1728"/>
          </w:tcPr>
          <w:p>
            <w:r/>
            <w:r>
              <w:t>MT-RE-001, API-RE-001</w:t>
            </w:r>
          </w:p>
        </w:tc>
        <w:tc>
          <w:tcPr>
            <w:tcW w:type="dxa" w:w="1728"/>
          </w:tcPr>
          <w:p>
            <w:r/>
            <w:r>
              <w:t>Revisión del manejo de credenciales.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Cuidado con exportaciones (PDF/Excel)</w:t>
            </w:r>
          </w:p>
        </w:tc>
        <w:tc>
          <w:tcPr>
            <w:tcW w:type="dxa" w:w="1728"/>
          </w:tcPr>
          <w:p>
            <w:r/>
            <w:r>
              <w:t>Las exportaciones respetan los permisos del usuario; la documentación establece que no deben incluirse ni compartirse datos personales innecesarios.</w:t>
            </w:r>
          </w:p>
        </w:tc>
        <w:tc>
          <w:tcPr>
            <w:tcW w:type="dxa" w:w="1728"/>
          </w:tcPr>
          <w:p>
            <w:r/>
            <w:r>
              <w:t>MU-RE-001 (13), MA-RE-001 (11)</w:t>
            </w:r>
          </w:p>
        </w:tc>
        <w:tc>
          <w:tcPr>
            <w:tcW w:type="dxa" w:w="1728"/>
          </w:tcPr>
          <w:p>
            <w:r/>
            <w:r>
              <w:t>Lineamiento de exportaciones; revisión de reportes compartidos (ver Ilustración 7).</w:t>
            </w:r>
          </w:p>
        </w:tc>
      </w:tr>
      <w:tr>
        <w:tc>
          <w:tcPr>
            <w:tcW w:type="dxa" w:w="1728"/>
          </w:tcPr>
          <w:p>
            <w:r/>
            <w:r>
              <w:t>PSI.05</w:t>
            </w:r>
          </w:p>
        </w:tc>
        <w:tc>
          <w:tcPr>
            <w:tcW w:type="dxa" w:w="1728"/>
          </w:tcPr>
          <w:p>
            <w:r/>
            <w:r>
              <w:t>Registros (logs) sin datos sensibles completos</w:t>
            </w:r>
          </w:p>
        </w:tc>
        <w:tc>
          <w:tcPr>
            <w:tcW w:type="dxa" w:w="1728"/>
          </w:tcPr>
          <w:p>
            <w:r/>
            <w:r>
              <w:t xml:space="preserve">La bitácora técnica está orientada a la trazabilidad de la operación y </w:t>
            </w:r>
            <w:r>
              <w:rPr>
                <w:b/>
              </w:rPr>
              <w:t>no debe</w:t>
            </w:r>
            <w:r>
              <w:t xml:space="preserve"> almacenar contraseñas, tokens ni datos personales completos.</w:t>
            </w:r>
          </w:p>
        </w:tc>
        <w:tc>
          <w:tcPr>
            <w:tcW w:type="dxa" w:w="1728"/>
          </w:tcPr>
          <w:p>
            <w:r/>
            <w:r>
              <w:t>MT-RE-001, PT-RE-001</w:t>
            </w:r>
          </w:p>
        </w:tc>
        <w:tc>
          <w:tcPr>
            <w:tcW w:type="dxa" w:w="1728"/>
          </w:tcPr>
          <w:p>
            <w:r/>
            <w:r>
              <w:t>Muestra de logs verificando ausencia de datos sensibles.</w:t>
            </w:r>
          </w:p>
        </w:tc>
      </w:tr>
    </w:tbl>
    <w:p/>
    <w:p>
      <w:r>
        <w:rPr>
          <w:b/>
        </w:rPr>
        <w:t>Evidencias documentales para PSI.05 (enmascaramiento):</w:t>
      </w:r>
    </w:p>
    <w:p>
      <w:r>
        <w:rPr>
          <w:rFonts w:ascii="Consolas" w:hAnsi="Consolas"/>
        </w:rPr>
        <w:t>[Foto: restricción de acceso por rol a datos completos]</w:t>
      </w:r>
    </w:p>
    <w:p>
      <w:r>
        <w:rPr>
          <w:b/>
        </w:rPr>
        <w:t>Ilustración 5.</w:t>
      </w:r>
      <w:r>
        <w:t xml:space="preserve"> Restricción de acceso por rol a datos completos</w:t>
      </w:r>
    </w:p>
    <w:p>
      <w:r>
        <w:rPr>
          <w:rFonts w:ascii="Consolas" w:hAnsi="Consolas"/>
        </w:rPr>
        <w:t>[Foto: configuración de documentos requeridos (minimización)]</w:t>
      </w:r>
    </w:p>
    <w:p>
      <w:r>
        <w:rPr>
          <w:b/>
        </w:rPr>
        <w:t>Ilustración 6.</w:t>
      </w:r>
      <w:r>
        <w:t xml:space="preserve"> Configuración de documentos requeridos (minimización)</w:t>
      </w:r>
    </w:p>
    <w:p>
      <w:r>
        <w:rPr>
          <w:rFonts w:ascii="Consolas" w:hAnsi="Consolas"/>
        </w:rPr>
        <w:t>[Foto: exportación de reporte mostrando solo datos necesarios]</w:t>
      </w:r>
    </w:p>
    <w:p>
      <w:r>
        <w:rPr>
          <w:b/>
        </w:rPr>
        <w:t>Ilustración 7.</w:t>
      </w:r>
      <w:r>
        <w:t xml:space="preserve"> Exportación de reporte (control de datos en PDF/Excel)</w:t>
      </w:r>
    </w:p>
    <w:p>
      <w:pPr>
        <w:pStyle w:val="Heading3"/>
      </w:pPr>
      <w:r>
        <w:rPr>
          <w:color w:val="1F4E79"/>
        </w:rPr>
        <w:t>5.3 PSI.12 — Desarrollo seguro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Requerimientos de seguridad en el documento funcional</w:t>
            </w:r>
          </w:p>
        </w:tc>
        <w:tc>
          <w:tcPr>
            <w:tcW w:type="dxa" w:w="1728"/>
          </w:tcPr>
          <w:p>
            <w:r/>
            <w:r>
              <w:t>Los requisitos de seguridad del sistema se definen y documentan junto con su funcionalidad.</w:t>
            </w:r>
          </w:p>
        </w:tc>
        <w:tc>
          <w:tcPr>
            <w:tcW w:type="dxa" w:w="1728"/>
          </w:tcPr>
          <w:p>
            <w:r/>
            <w:r>
              <w:t>DF-RE-001 (5), DR-RE-001 (8)</w:t>
            </w:r>
          </w:p>
        </w:tc>
        <w:tc>
          <w:tcPr>
            <w:tcW w:type="dxa" w:w="1728"/>
          </w:tcPr>
          <w:p>
            <w:r/>
            <w:r>
              <w:t>Sección de seguridad del documento funcional/requerimientos.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Separación de capas (frontend / backend / base de datos)</w:t>
            </w:r>
          </w:p>
        </w:tc>
        <w:tc>
          <w:tcPr>
            <w:tcW w:type="dxa" w:w="1728"/>
          </w:tcPr>
          <w:p>
            <w:r/>
            <w:r>
              <w:t xml:space="preserve">RE está construido con </w:t>
            </w:r>
            <w:r>
              <w:rPr>
                <w:b/>
              </w:rPr>
              <w:t>frontend, backend y base de datos</w:t>
            </w:r>
            <w:r>
              <w:t xml:space="preserve"> separados, con responsabilidades definidas.</w:t>
            </w:r>
          </w:p>
        </w:tc>
        <w:tc>
          <w:tcPr>
            <w:tcW w:type="dxa" w:w="1728"/>
          </w:tcPr>
          <w:p>
            <w:r/>
            <w:r>
              <w:t>MT-RE-001, DF-RE-001 (1)</w:t>
            </w:r>
          </w:p>
        </w:tc>
        <w:tc>
          <w:tcPr>
            <w:tcW w:type="dxa" w:w="1728"/>
          </w:tcPr>
          <w:p>
            <w:r/>
            <w:r>
              <w:t>Arquitectura del Manual Técnico (ver Ilustración 8).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Uso de variables de entorno</w:t>
            </w:r>
          </w:p>
        </w:tc>
        <w:tc>
          <w:tcPr>
            <w:tcW w:type="dxa" w:w="1728"/>
          </w:tcPr>
          <w:p>
            <w:r/>
            <w:r>
              <w:t xml:space="preserve">La configuración sensible se gestiona mediante </w:t>
            </w:r>
            <w:r>
              <w:rPr>
                <w:b/>
              </w:rPr>
              <w:t>variables de entorno</w:t>
            </w:r>
            <w:r>
              <w:t>, sin incluir valores reales en la documentación.</w:t>
            </w:r>
          </w:p>
        </w:tc>
        <w:tc>
          <w:tcPr>
            <w:tcW w:type="dxa" w:w="1728"/>
          </w:tcPr>
          <w:p>
            <w:r/>
            <w:r>
              <w:t>MT-RE-001, MI-RE-001</w:t>
            </w:r>
          </w:p>
        </w:tc>
        <w:tc>
          <w:tcPr>
            <w:tcW w:type="dxa" w:w="1728"/>
          </w:tcPr>
          <w:p>
            <w:r/>
            <w:r>
              <w:t>Lista de variables (por nombre, sin valores).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Validación de entradas en cliente y servidor (sintáctica y semántica)</w:t>
            </w:r>
          </w:p>
        </w:tc>
        <w:tc>
          <w:tcPr>
            <w:tcW w:type="dxa" w:w="1728"/>
          </w:tcPr>
          <w:p>
            <w:r/>
            <w:r>
              <w:t xml:space="preserve">RE valida los datos de entrada tanto en los </w:t>
            </w:r>
            <w:r>
              <w:rPr>
                <w:b/>
              </w:rPr>
              <w:t>formularios</w:t>
            </w:r>
            <w:r>
              <w:t xml:space="preserve"> (campos obligatorios, formato, unicidad, resaltado en rojo) como en las </w:t>
            </w:r>
            <w:r>
              <w:rPr>
                <w:b/>
              </w:rPr>
              <w:t>APIs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DF-RE-001 (5.3), MU-RE-001 (6.1, 10.1), API-RE-001</w:t>
            </w:r>
          </w:p>
        </w:tc>
        <w:tc>
          <w:tcPr>
            <w:tcW w:type="dxa" w:w="1728"/>
          </w:tcPr>
          <w:p>
            <w:r/>
            <w:r>
              <w:t>Casos de validación en PT-RE-001 (ver Ilustración 9).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Manejo controlado de errores</w:t>
            </w:r>
          </w:p>
        </w:tc>
        <w:tc>
          <w:tcPr>
            <w:tcW w:type="dxa" w:w="1728"/>
          </w:tcPr>
          <w:p>
            <w:r/>
            <w:r>
              <w:t>El sistema gestiona los errores de forma controlada (mensajes de validación, estados HTTP), sin filtrar información técnica sensible.</w:t>
            </w:r>
          </w:p>
        </w:tc>
        <w:tc>
          <w:tcPr>
            <w:tcW w:type="dxa" w:w="1728"/>
          </w:tcPr>
          <w:p>
            <w:r/>
            <w:r>
              <w:t>API-RE-001, DF-RE-001 (5.3)</w:t>
            </w:r>
          </w:p>
        </w:tc>
        <w:tc>
          <w:tcPr>
            <w:tcW w:type="dxa" w:w="1728"/>
          </w:tcPr>
          <w:p>
            <w:r/>
            <w:r>
              <w:t>Pruebas de manejo de errores.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Bitácoras asociadas a usuarios</w:t>
            </w:r>
          </w:p>
        </w:tc>
        <w:tc>
          <w:tcPr>
            <w:tcW w:type="dxa" w:w="1728"/>
          </w:tcPr>
          <w:p>
            <w:r/>
            <w:r>
              <w:t>El sistema registra operaciones y eventos que pueden asociarse a los usuarios que las ejecutan.</w:t>
            </w:r>
          </w:p>
        </w:tc>
        <w:tc>
          <w:tcPr>
            <w:tcW w:type="dxa" w:w="1728"/>
          </w:tcPr>
          <w:p>
            <w:r/>
            <w:r>
              <w:t>MT-RE-001, DF-RE-001 (6.7)</w:t>
            </w:r>
          </w:p>
        </w:tc>
        <w:tc>
          <w:tcPr>
            <w:tcW w:type="dxa" w:w="1728"/>
          </w:tcPr>
          <w:p>
            <w:r/>
            <w:r>
              <w:t>Muestra de bitácora con usuario y operación.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Control de cambios y control de versiones</w:t>
            </w:r>
          </w:p>
        </w:tc>
        <w:tc>
          <w:tcPr>
            <w:tcW w:type="dxa" w:w="1728"/>
          </w:tcPr>
          <w:p>
            <w:r/>
            <w:r>
              <w:t>Los cambios se registran y la documentación se versiona; el control de cambios se alinea con la política de gestión del cambio.</w:t>
            </w:r>
          </w:p>
        </w:tc>
        <w:tc>
          <w:tcPr>
            <w:tcW w:type="dxa" w:w="1728"/>
          </w:tcPr>
          <w:p>
            <w:r/>
            <w:r>
              <w:t>BC-RE-001, todos los documentos (control documental)</w:t>
            </w:r>
          </w:p>
        </w:tc>
        <w:tc>
          <w:tcPr>
            <w:tcW w:type="dxa" w:w="1728"/>
          </w:tcPr>
          <w:p>
            <w:r/>
            <w:r>
              <w:t>Bitácora de cambios; historial de versiones (ver Ilustración 10).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Separación de ambientes y datos de prueba</w:t>
            </w:r>
          </w:p>
        </w:tc>
        <w:tc>
          <w:tcPr>
            <w:tcW w:type="dxa" w:w="1728"/>
          </w:tcPr>
          <w:p>
            <w:r/>
            <w:r>
              <w:t xml:space="preserve">La configuración por variables de entorno permite </w:t>
            </w:r>
            <w:r>
              <w:rPr>
                <w:b/>
              </w:rPr>
              <w:t>separar ambientes</w:t>
            </w:r>
            <w:r>
              <w:t>; las pruebas no deben usar datos reales de producción.</w:t>
            </w:r>
          </w:p>
        </w:tc>
        <w:tc>
          <w:tcPr>
            <w:tcW w:type="dxa" w:w="1728"/>
          </w:tcPr>
          <w:p>
            <w:r/>
            <w:r>
              <w:t>MI-RE-001, MT-RE-001, PT-RE-001</w:t>
            </w:r>
          </w:p>
        </w:tc>
        <w:tc>
          <w:tcPr>
            <w:tcW w:type="dxa" w:w="1728"/>
          </w:tcPr>
          <w:p>
            <w:r/>
            <w:r>
              <w:t>Configuración por ambiente; set de datos de prueba.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Pruebas funcionales, de seguridad y de aceptación</w:t>
            </w:r>
          </w:p>
        </w:tc>
        <w:tc>
          <w:tcPr>
            <w:tcW w:type="dxa" w:w="1728"/>
          </w:tcPr>
          <w:p>
            <w:r/>
            <w:r>
              <w:t xml:space="preserve">Existe un </w:t>
            </w:r>
            <w:r>
              <w:rPr>
                <w:b/>
              </w:rPr>
              <w:t>plan/evidencia de pruebas</w:t>
            </w:r>
            <w:r>
              <w:t xml:space="preserve"> que cubre escenarios funcionales y de control de acceso.</w:t>
            </w:r>
          </w:p>
        </w:tc>
        <w:tc>
          <w:tcPr>
            <w:tcW w:type="dxa" w:w="1728"/>
          </w:tcPr>
          <w:p>
            <w:r/>
            <w:r>
              <w:t>PT-RE-001</w:t>
            </w:r>
          </w:p>
        </w:tc>
        <w:tc>
          <w:tcPr>
            <w:tcW w:type="dxa" w:w="1728"/>
          </w:tcPr>
          <w:p>
            <w:r/>
            <w:r>
              <w:t>Resultados de pruebas por versión.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Pruebas de seguridad (SAST/DAST, OWASP)</w:t>
            </w:r>
          </w:p>
        </w:tc>
        <w:tc>
          <w:tcPr>
            <w:tcW w:type="dxa" w:w="1728"/>
          </w:tcPr>
          <w:p>
            <w:r/>
            <w:r>
              <w:t xml:space="preserve">Las prácticas de seguridad se apoyan en estándares </w:t>
            </w:r>
            <w:r>
              <w:rPr>
                <w:b/>
              </w:rPr>
              <w:t>OWASP Top 10</w:t>
            </w:r>
            <w:r>
              <w:t xml:space="preserve"> y </w:t>
            </w:r>
            <w:r>
              <w:rPr>
                <w:b/>
              </w:rPr>
              <w:t>API Security Top 10</w:t>
            </w:r>
            <w:r>
              <w:t>, con análisis estático/dinámico cuando aplique.</w:t>
            </w:r>
          </w:p>
        </w:tc>
        <w:tc>
          <w:tcPr>
            <w:tcW w:type="dxa" w:w="1728"/>
          </w:tcPr>
          <w:p>
            <w:r/>
            <w:r>
              <w:t>PT-RE-001, MT-RE-001</w:t>
            </w:r>
          </w:p>
        </w:tc>
        <w:tc>
          <w:tcPr>
            <w:tcW w:type="dxa" w:w="1728"/>
          </w:tcPr>
          <w:p>
            <w:r/>
            <w:r>
              <w:t>Reporte de análisis de seguridad.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Protección de credenciales y datos confidenciales</w:t>
            </w:r>
          </w:p>
        </w:tc>
        <w:tc>
          <w:tcPr>
            <w:tcW w:type="dxa" w:w="1728"/>
          </w:tcPr>
          <w:p>
            <w:r/>
            <w:r>
              <w:t>Las contraseñas se almacenan cifradas y la información sensible se protege; los secretos se mantienen fuera del código fuente.</w:t>
            </w:r>
          </w:p>
        </w:tc>
        <w:tc>
          <w:tcPr>
            <w:tcW w:type="dxa" w:w="1728"/>
          </w:tcPr>
          <w:p>
            <w:r/>
            <w:r>
              <w:t>MT-RE-001, API-RE-001</w:t>
            </w:r>
          </w:p>
        </w:tc>
        <w:tc>
          <w:tcPr>
            <w:tcW w:type="dxa" w:w="1728"/>
          </w:tcPr>
          <w:p>
            <w:r/>
            <w:r>
              <w:t>Revisión del manejo de credenciales.</w:t>
            </w:r>
          </w:p>
        </w:tc>
      </w:tr>
      <w:tr>
        <w:tc>
          <w:tcPr>
            <w:tcW w:type="dxa" w:w="1728"/>
          </w:tcPr>
          <w:p>
            <w:r/>
            <w:r>
              <w:t>PSI.12</w:t>
            </w:r>
          </w:p>
        </w:tc>
        <w:tc>
          <w:tcPr>
            <w:tcW w:type="dxa" w:w="1728"/>
          </w:tcPr>
          <w:p>
            <w:r/>
            <w:r>
              <w:t>Documentación técnica, de API, de BD y de pruebas</w:t>
            </w:r>
          </w:p>
        </w:tc>
        <w:tc>
          <w:tcPr>
            <w:tcW w:type="dxa" w:w="1728"/>
          </w:tcPr>
          <w:p>
            <w:r/>
            <w:r>
              <w:t xml:space="preserve">El proyecto cuenta con documentación </w:t>
            </w:r>
            <w:r>
              <w:rPr>
                <w:b/>
              </w:rPr>
              <w:t>técnica, de API, de base de datos y de pruebas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MT-RE-001, API-RE-001, DB-RE-001, PT-RE-001</w:t>
            </w:r>
          </w:p>
        </w:tc>
        <w:tc>
          <w:tcPr>
            <w:tcW w:type="dxa" w:w="1728"/>
          </w:tcPr>
          <w:p>
            <w:r/>
            <w:r>
              <w:t>Conjunto documental entregado.</w:t>
            </w:r>
          </w:p>
        </w:tc>
      </w:tr>
    </w:tbl>
    <w:p/>
    <w:p>
      <w:r>
        <w:rPr>
          <w:b/>
        </w:rPr>
        <w:t>Evidencias documentales para PSI.12:</w:t>
      </w:r>
    </w:p>
    <w:p>
      <w:r>
        <w:rPr>
          <w:rFonts w:ascii="Consolas" w:hAnsi="Consolas"/>
        </w:rPr>
        <w:t>[Foto: diagrama de arquitectura del sistema (separación de capas)]</w:t>
      </w:r>
    </w:p>
    <w:p>
      <w:r>
        <w:rPr>
          <w:b/>
        </w:rPr>
        <w:t>Ilustración 8.</w:t>
      </w:r>
      <w:r>
        <w:t xml:space="preserve"> Arquitectura del sistema (separación de capas)</w:t>
      </w:r>
    </w:p>
    <w:p>
      <w:r>
        <w:rPr>
          <w:rFonts w:ascii="Consolas" w:hAnsi="Consolas"/>
        </w:rPr>
        <w:t>[Foto: validación de un formulario con campos obligatorios en rojo]</w:t>
      </w:r>
    </w:p>
    <w:p>
      <w:r>
        <w:rPr>
          <w:b/>
        </w:rPr>
        <w:t>Ilustración 9.</w:t>
      </w:r>
      <w:r>
        <w:t xml:space="preserve"> Validación de formulario (campos obligatorios en rojo)</w:t>
      </w:r>
    </w:p>
    <w:p>
      <w:r>
        <w:rPr>
          <w:rFonts w:ascii="Consolas" w:hAnsi="Consolas"/>
        </w:rPr>
        <w:t>[Foto: bitácora / control de cambios]</w:t>
      </w:r>
    </w:p>
    <w:p>
      <w:r>
        <w:rPr>
          <w:b/>
        </w:rPr>
        <w:t>Ilustración 10.</w:t>
      </w:r>
      <w:r>
        <w:t xml:space="preserve"> Bitácora / control de cambios</w:t>
      </w:r>
    </w:p>
    <w:p>
      <w:pPr>
        <w:pStyle w:val="Heading3"/>
      </w:pPr>
      <w:r>
        <w:rPr>
          <w:color w:val="1F4E79"/>
        </w:rPr>
        <w:t>5.4 PSI.01 — Requisitos de seguridad en los proyectos</w:t>
      </w:r>
    </w:p>
    <w:p>
      <w:pPr>
        <w:ind w:left="360"/>
      </w:pPr>
      <w:r>
        <w:t xml:space="preserve">PSI.01 define medidas de seguridad para la </w:t>
      </w:r>
      <w:r>
        <w:rPr>
          <w:b/>
        </w:rPr>
        <w:t>gestión de proyectos</w:t>
      </w:r>
      <w:r>
        <w:t xml:space="preserve"> (comunicaciones, accesos, software, hardware y respaldos). En el contexto de RE, aplica a su </w:t>
      </w:r>
      <w:r>
        <w:rPr>
          <w:b/>
        </w:rPr>
        <w:t>instalación, despliegue y operación</w:t>
      </w:r>
      <w:r>
        <w:t xml:space="preserve"> en sitio.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Política / Control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Requisito o lineamiento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Cómo lo cumple RE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 RE relacionado</w:t>
            </w:r>
          </w:p>
        </w:tc>
        <w:tc>
          <w:tcPr>
            <w:tcW w:type="dxa" w:w="1728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Evidencia / referencia</w:t>
            </w:r>
          </w:p>
        </w:tc>
      </w:tr>
      <w:tr>
        <w:tc>
          <w:tcPr>
            <w:tcW w:type="dxa" w:w="1728"/>
          </w:tcPr>
          <w:p>
            <w:r/>
            <w:r>
              <w:t>PSI.01</w:t>
            </w:r>
          </w:p>
        </w:tc>
        <w:tc>
          <w:tcPr>
            <w:tcW w:type="dxa" w:w="1728"/>
          </w:tcPr>
          <w:p>
            <w:r/>
            <w:r>
              <w:t>Requisitos de seguridad considerados en el proyecto</w:t>
            </w:r>
          </w:p>
        </w:tc>
        <w:tc>
          <w:tcPr>
            <w:tcW w:type="dxa" w:w="1728"/>
          </w:tcPr>
          <w:p>
            <w:r/>
            <w:r>
              <w:t>La instalación y el despliegue siguen un procedimiento documentado, con configuración por ambiente y resguardo de secretos.</w:t>
            </w:r>
          </w:p>
        </w:tc>
        <w:tc>
          <w:tcPr>
            <w:tcW w:type="dxa" w:w="1728"/>
          </w:tcPr>
          <w:p>
            <w:r/>
            <w:r>
              <w:t>MI-RE-001, MT-RE-001</w:t>
            </w:r>
          </w:p>
        </w:tc>
        <w:tc>
          <w:tcPr>
            <w:tcW w:type="dxa" w:w="1728"/>
          </w:tcPr>
          <w:p>
            <w:r/>
            <w:r>
              <w:t>Procedimiento de instalación/despliegue.</w:t>
            </w:r>
          </w:p>
        </w:tc>
      </w:tr>
      <w:tr>
        <w:tc>
          <w:tcPr>
            <w:tcW w:type="dxa" w:w="1728"/>
          </w:tcPr>
          <w:p>
            <w:r/>
            <w:r>
              <w:t>PSI.01</w:t>
            </w:r>
          </w:p>
        </w:tc>
        <w:tc>
          <w:tcPr>
            <w:tcW w:type="dxa" w:w="1728"/>
          </w:tcPr>
          <w:p>
            <w:r/>
            <w:r>
              <w:t>Control de accesos del proyecto</w:t>
            </w:r>
          </w:p>
        </w:tc>
        <w:tc>
          <w:tcPr>
            <w:tcW w:type="dxa" w:w="1728"/>
          </w:tcPr>
          <w:p>
            <w:r/>
            <w:r>
              <w:t>El acceso al sistema, a la configuración y a las rutas críticas se gestiona por rol y por usuario maestro (root).</w:t>
            </w:r>
          </w:p>
        </w:tc>
        <w:tc>
          <w:tcPr>
            <w:tcW w:type="dxa" w:w="1728"/>
          </w:tcPr>
          <w:p>
            <w:r/>
            <w:r>
              <w:t>MA-RE-001 (5), DF-RE-001 (9)</w:t>
            </w:r>
          </w:p>
        </w:tc>
        <w:tc>
          <w:tcPr>
            <w:tcW w:type="dxa" w:w="1728"/>
          </w:tcPr>
          <w:p>
            <w:r/>
            <w:r>
              <w:t>Inventario de accesos del proyecto.</w:t>
            </w:r>
          </w:p>
        </w:tc>
      </w:tr>
      <w:tr>
        <w:tc>
          <w:tcPr>
            <w:tcW w:type="dxa" w:w="1728"/>
          </w:tcPr>
          <w:p>
            <w:r/>
            <w:r>
              <w:t>PSI.01</w:t>
            </w:r>
          </w:p>
        </w:tc>
        <w:tc>
          <w:tcPr>
            <w:tcW w:type="dxa" w:w="1728"/>
          </w:tcPr>
          <w:p>
            <w:r/>
            <w:r>
              <w:t>Resguardo y respaldos (alineado con PSI.09)</w:t>
            </w:r>
          </w:p>
        </w:tc>
        <w:tc>
          <w:tcPr>
            <w:tcW w:type="dxa" w:w="1728"/>
          </w:tcPr>
          <w:p>
            <w:r/>
            <w:r>
              <w:t>Se establecen respaldos periódicos de la base de datos y resguardo de archivos de configuración y certificados, con registro de responsable y fecha.</w:t>
            </w:r>
          </w:p>
        </w:tc>
        <w:tc>
          <w:tcPr>
            <w:tcW w:type="dxa" w:w="1728"/>
          </w:tcPr>
          <w:p>
            <w:r/>
            <w:r>
              <w:t>MA-RE-001 (12), MI-RE-001 (10)</w:t>
            </w:r>
          </w:p>
        </w:tc>
        <w:tc>
          <w:tcPr>
            <w:tcW w:type="dxa" w:w="1728"/>
          </w:tcPr>
          <w:p>
            <w:r/>
            <w:r>
              <w:t>Evidencia de respaldos y de pruebas de restauración.</w:t>
            </w:r>
          </w:p>
        </w:tc>
      </w:tr>
      <w:tr>
        <w:tc>
          <w:tcPr>
            <w:tcW w:type="dxa" w:w="1728"/>
          </w:tcPr>
          <w:p>
            <w:r/>
            <w:r>
              <w:t>PSI.01</w:t>
            </w:r>
          </w:p>
        </w:tc>
        <w:tc>
          <w:tcPr>
            <w:tcW w:type="dxa" w:w="1728"/>
          </w:tcPr>
          <w:p>
            <w:r/>
            <w:r>
              <w:t>Documentación del proyecto</w:t>
            </w:r>
          </w:p>
        </w:tc>
        <w:tc>
          <w:tcPr>
            <w:tcW w:type="dxa" w:w="1728"/>
          </w:tcPr>
          <w:p>
            <w:r/>
            <w:r>
              <w:t>El proyecto se entrega con un conjunto documental (funcional, técnico, administrativo, de pruebas e instalación).</w:t>
            </w:r>
          </w:p>
        </w:tc>
        <w:tc>
          <w:tcPr>
            <w:tcW w:type="dxa" w:w="1728"/>
          </w:tcPr>
          <w:p>
            <w:r/>
            <w:r>
              <w:t>Conjunto documental RE</w:t>
            </w:r>
          </w:p>
        </w:tc>
        <w:tc>
          <w:tcPr>
            <w:tcW w:type="dxa" w:w="1728"/>
          </w:tcPr>
          <w:p>
            <w:r/>
            <w:r>
              <w:t>Entregable documental versionado.</w:t>
            </w:r>
          </w:p>
        </w:tc>
      </w:tr>
    </w:tbl>
    <w:p/>
    <w:p>
      <w:pPr>
        <w:pStyle w:val="Heading2"/>
      </w:pPr>
      <w:r>
        <w:rPr>
          <w:color w:val="1F4E79"/>
        </w:rPr>
        <w:t>6. Resumen de alineación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Nivel de alineación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Comentario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PSI.01 — Requisitos de seguridad en proyectos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Medio-Alto</w:t>
            </w:r>
          </w:p>
        </w:tc>
        <w:tc>
          <w:tcPr>
            <w:tcW w:type="dxa" w:w="2880"/>
          </w:tcPr>
          <w:p>
            <w:r/>
            <w:r>
              <w:t>RE se instala y opera con procedimiento documentado, control de accesos y respaldos. La alineación se sostiene conservando evidencia de instalación, accesos y respaldos del proyecto.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PSI.05 — Control de accesos (incl. enmascaramiento)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Medio-Alto</w:t>
            </w:r>
          </w:p>
        </w:tc>
        <w:tc>
          <w:tcPr>
            <w:tcW w:type="dxa" w:w="2880"/>
          </w:tcPr>
          <w:p>
            <w:r/>
            <w:r>
              <w:t>El sistema soporta autenticación, identificadores únicos, roles, mínimo privilegio, expiración de sesión, baja de cuentas, anonimización de empleados dados de baja y cifrado de contraseñas. La alineación se sostiene con las acciones de seguimiento sobre longitud de contraseña, MFA y revisión periódica de accesos.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PSI.12 — Desarrollo seguro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Alto</w:t>
            </w:r>
          </w:p>
        </w:tc>
        <w:tc>
          <w:tcPr>
            <w:tcW w:type="dxa" w:w="2880"/>
          </w:tcPr>
          <w:p>
            <w:r/>
            <w:r>
              <w:t>Arquitectura separada, validación de entradas, manejo de errores, bitácoras, control de cambios, pruebas y documentación completa contribuyen a una alineación alta.</w:t>
            </w:r>
          </w:p>
        </w:tc>
      </w:tr>
    </w:tbl>
    <w:p/>
    <w:p>
      <w:pPr>
        <w:ind w:left="360"/>
      </w:pPr>
      <w:r>
        <w:t xml:space="preserve">Los niveles de alineación son una </w:t>
      </w:r>
      <w:r>
        <w:rPr>
          <w:b/>
        </w:rPr>
        <w:t>valoración orientativa</w:t>
      </w:r>
      <w:r>
        <w:t xml:space="preserve"> para auditoría y deben confirmarse con la evidencia operativa conservada.</w:t>
      </w:r>
    </w:p>
    <w:p>
      <w:pPr>
        <w:pStyle w:val="Heading2"/>
      </w:pPr>
      <w:r>
        <w:rPr>
          <w:color w:val="1F4E79"/>
        </w:rPr>
        <w:t>7. Acciones de control y seguimiento</w:t>
      </w:r>
    </w:p>
    <w:p>
      <w:r>
        <w:t>Para sostener y reforzar la alineación con las políticas, se mantienen las siguientes acciones de control:</w:t>
      </w:r>
    </w:p>
    <w:p>
      <w:pPr>
        <w:pStyle w:val="ListNumber"/>
      </w:pPr>
      <w:r>
        <w:rPr>
          <w:b/>
        </w:rPr>
        <w:t>Longitud de contraseña.</w:t>
      </w:r>
      <w:r>
        <w:t xml:space="preserve"> Revisar y, cuando aplique, </w:t>
      </w:r>
      <w:r>
        <w:rPr>
          <w:b/>
        </w:rPr>
        <w:t>alinear la longitud mínima de contraseña</w:t>
      </w:r>
      <w:r>
        <w:t xml:space="preserve"> del sistema con lo establecido en PSI.05 (al menos 12 caracteres con combinación de mayúsculas, minúsculas, números y símbolos).</w:t>
      </w:r>
    </w:p>
    <w:p>
      <w:pPr>
        <w:pStyle w:val="ListNumber"/>
      </w:pPr>
      <w:r>
        <w:rPr>
          <w:b/>
        </w:rPr>
        <w:t>MFA.</w:t>
      </w:r>
      <w:r>
        <w:t xml:space="preserve"> Evaluar la habilitación de </w:t>
      </w:r>
      <w:r>
        <w:rPr>
          <w:b/>
        </w:rPr>
        <w:t>autenticación multifactor (MFA)</w:t>
      </w:r>
      <w:r>
        <w:t xml:space="preserve"> cuando la tecnología y el entorno del cliente lo permitan.</w:t>
      </w:r>
    </w:p>
    <w:p>
      <w:pPr>
        <w:pStyle w:val="ListNumber"/>
      </w:pPr>
      <w:r>
        <w:rPr>
          <w:b/>
        </w:rPr>
        <w:t>Revisión de accesos.</w:t>
      </w:r>
      <w:r>
        <w:t xml:space="preserve"> Conservar evidencia documentada de las revisiones de accesos de administrador </w:t>
      </w:r>
      <w:r>
        <w:rPr>
          <w:b/>
        </w:rPr>
        <w:t>cada 5 meses</w:t>
      </w:r>
      <w:r>
        <w:t xml:space="preserve"> y ante cambios mayores, realizadas por personal ajeno a la asignación de accesos.</w:t>
      </w:r>
    </w:p>
    <w:p>
      <w:pPr>
        <w:pStyle w:val="ListNumber"/>
      </w:pPr>
      <w:r>
        <w:rPr>
          <w:b/>
        </w:rPr>
        <w:t>Anonimización en bajas.</w:t>
      </w:r>
      <w:r>
        <w:t xml:space="preserve"> Conservar evidencia de la </w:t>
      </w:r>
      <w:r>
        <w:rPr>
          <w:b/>
        </w:rPr>
        <w:t>anonimización (correo, nombre y teléfono)</w:t>
      </w:r>
      <w:r>
        <w:t xml:space="preserve"> de empleados dados de baja, conforme a PSI.05.</w:t>
      </w:r>
    </w:p>
    <w:p>
      <w:pPr>
        <w:pStyle w:val="ListNumber"/>
      </w:pPr>
      <w:r>
        <w:rPr>
          <w:b/>
        </w:rPr>
        <w:t>Configuración de roles.</w:t>
      </w:r>
      <w:r>
        <w:t xml:space="preserve"> Conservar capturas o reportes de la configuración vigente de roles y permisos, especialmente de cuentas privilegiadas.</w:t>
      </w:r>
    </w:p>
    <w:p>
      <w:pPr>
        <w:pStyle w:val="ListNumber"/>
      </w:pPr>
      <w:r>
        <w:rPr>
          <w:b/>
        </w:rPr>
        <w:t>Secretos.</w:t>
      </w:r>
      <w:r>
        <w:t xml:space="preserve"> No incluir valores reales de variables de entorno, llaves ni contraseñas en documentación ni evidencias; referenciarlos solo por nombre.</w:t>
      </w:r>
    </w:p>
    <w:p>
      <w:pPr>
        <w:pStyle w:val="ListNumber"/>
      </w:pPr>
      <w:r>
        <w:rPr>
          <w:b/>
        </w:rPr>
        <w:t>Respaldos.</w:t>
      </w:r>
      <w:r>
        <w:t xml:space="preserve"> Mantener respaldos periódicos y evidencia de pruebas de restauración (PSI.01 / PSI.09).</w:t>
      </w:r>
    </w:p>
    <w:p>
      <w:pPr>
        <w:pStyle w:val="ListNumber"/>
      </w:pPr>
      <w:r>
        <w:rPr>
          <w:b/>
        </w:rPr>
        <w:t>Pruebas y ambientes.</w:t>
      </w:r>
      <w:r>
        <w:t xml:space="preserve"> Conservar evidencia de pruebas funcionales y de seguridad antes de liberar, sin usar datos reales de producción en ambientes de prueba (PSI.12).</w:t>
      </w:r>
    </w:p>
    <w:p>
      <w:pPr>
        <w:pStyle w:val="ListNumber"/>
      </w:pPr>
      <w:r>
        <w:rPr>
          <w:b/>
        </w:rPr>
        <w:t>Exportaciones.</w:t>
      </w:r>
      <w:r>
        <w:t xml:space="preserve"> Revisar las exportaciones PDF/Excel antes de compartirlas para no divulgar datos personales innecesarios.</w:t>
      </w:r>
    </w:p>
    <w:p>
      <w:pPr>
        <w:pStyle w:val="Heading2"/>
      </w:pPr>
      <w:r>
        <w:rPr>
          <w:color w:val="1F4E79"/>
        </w:rPr>
        <w:t>8. Conclusión</w:t>
      </w:r>
    </w:p>
    <w:p>
      <w:r>
        <w:t xml:space="preserve">La documentación y el comportamiento del sistema </w:t>
      </w:r>
      <w:r>
        <w:rPr>
          <w:b/>
        </w:rPr>
        <w:t>Recepción Electrónica (RE)</w:t>
      </w:r>
      <w:r>
        <w:t xml:space="preserve"> </w:t>
      </w:r>
      <w:r>
        <w:rPr>
          <w:b/>
        </w:rPr>
        <w:t>se alinean</w:t>
      </w:r>
      <w:r>
        <w:t xml:space="preserve"> con los lineamientos establecidos en </w:t>
      </w:r>
      <w:r>
        <w:rPr>
          <w:b/>
        </w:rPr>
        <w:t>PSI.01</w:t>
      </w:r>
      <w:r>
        <w:t xml:space="preserve">, </w:t>
      </w:r>
      <w:r>
        <w:rPr>
          <w:b/>
        </w:rPr>
        <w:t>PSI.05</w:t>
      </w:r>
      <w:r>
        <w:t xml:space="preserve"> (incluido su apartado de enmascaramiento) y </w:t>
      </w:r>
      <w:r>
        <w:rPr>
          <w:b/>
        </w:rPr>
        <w:t>PSI.12</w:t>
      </w:r>
      <w:r>
        <w:t>, soportando los requisitos de seguridad del proyecto, los controles de acceso, la protección de datos y las prácticas de desarrollo seguro definidos por la organización.</w:t>
      </w:r>
    </w:p>
    <w:p>
      <w:r>
        <w:t xml:space="preserve">Esta matriz </w:t>
      </w:r>
      <w:r>
        <w:rPr>
          <w:b/>
        </w:rPr>
        <w:t>contribuye a cumplir</w:t>
      </w:r>
      <w:r>
        <w:t xml:space="preserve"> dichos lineamientos al servir como </w:t>
      </w:r>
      <w:r>
        <w:rPr>
          <w:b/>
        </w:rPr>
        <w:t>puente para auditoría</w:t>
      </w:r>
      <w:r>
        <w:t xml:space="preserve">, vinculando cada requisito con la capacidad del sistema, el documento donde se describe y la evidencia asociada. El mantenimiento de las acciones de control señaladas en la sección 7 permite </w:t>
      </w:r>
      <w:r>
        <w:rPr>
          <w:b/>
        </w:rPr>
        <w:t>sostener y demostrar</w:t>
      </w:r>
      <w:r>
        <w:t xml:space="preserve"> esa alineación a lo largo del tiempo.</w:t>
      </w:r>
    </w:p>
    <w:p>
      <w:pPr>
        <w:pStyle w:val="Heading2"/>
      </w:pPr>
      <w:r>
        <w:rPr>
          <w:color w:val="1F4E79"/>
        </w:rPr>
        <w:t>9.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Matriz de Trazabilidad ISO — RE</w:t>
            </w:r>
          </w:p>
        </w:tc>
        <w:tc>
          <w:tcPr>
            <w:tcW w:type="dxa" w:w="1440"/>
          </w:tcPr>
          <w:p>
            <w:r/>
            <w:r>
              <w:t>TR-RE-001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PSI.01, PSI.05, PSI.12, DF-RE-001, MA-RE-001, MU-RE-001, MT-RE-001, DB-RE-001, API-RE-001, PT-RE-001, MI-RE-001, BC-RE-001.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