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Documentación de API</w:t>
      </w:r>
    </w:p>
    <w:p>
      <w:pPr>
        <w:pStyle w:val="Heading2"/>
      </w:pPr>
      <w:r/>
      <w:r>
        <w:t>Recepción Electrónica (RE) — Base</w:t>
      </w:r>
    </w:p>
    <w:p>
      <w:r>
        <w:t>Especificación de los endpoints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Documentación de API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API-RE-001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r>
        <w:t>&gt; Documento de la base. Los endpoints de módulos opcionales (dispositivos, contratistas, capacitaciones, registro de campo, OCR, validación facial) se documentan en sus documentos de integración.</w:t>
      </w:r>
    </w:p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API base.</w:t>
            </w:r>
          </w:p>
        </w:tc>
      </w:tr>
    </w:tbl>
    <w:p/>
    <w:p>
      <w:pPr>
        <w:pStyle w:val="Heading2"/>
      </w:pPr>
      <w:r/>
      <w:r>
        <w:t>1. Generalidades</w:t>
      </w:r>
    </w:p>
    <w:p>
      <w:pPr>
        <w:pStyle w:val="ListBullet"/>
      </w:pPr>
      <w:r>
        <w:t xml:space="preserve">Base de la API: </w:t>
      </w:r>
      <w:r>
        <w:rPr>
          <w:rFonts w:ascii="Consolas" w:hAnsi="Consolas"/>
          <w:color w:val="C7254E"/>
        </w:rPr>
        <w:t>/api</w:t>
      </w:r>
      <w:r>
        <w:t>.</w:t>
      </w:r>
    </w:p>
    <w:p>
      <w:pPr>
        <w:pStyle w:val="ListBullet"/>
      </w:pPr>
      <w:r>
        <w:t xml:space="preserve">Autenticación: las rutas protegidas requieren el header </w:t>
      </w:r>
      <w:r>
        <w:rPr>
          <w:rFonts w:ascii="Consolas" w:hAnsi="Consolas"/>
          <w:color w:val="C7254E"/>
        </w:rPr>
        <w:t>x-access-token</w:t>
      </w:r>
      <w:r>
        <w:t xml:space="preserve"> (JWT). El WebSocket usa token validado.</w:t>
      </w:r>
    </w:p>
    <w:p>
      <w:pPr>
        <w:pStyle w:val="ListBullet"/>
      </w:pPr>
      <w:r>
        <w:t xml:space="preserve">Control de acceso: por rol mediante </w:t>
      </w:r>
      <w:r>
        <w:rPr>
          <w:rFonts w:ascii="Consolas" w:hAnsi="Consolas"/>
          <w:color w:val="C7254E"/>
        </w:rPr>
        <w:t>validarTokenYRol([...])</w:t>
      </w:r>
      <w:r>
        <w:t>.</w:t>
      </w:r>
    </w:p>
    <w:p>
      <w:pPr>
        <w:pStyle w:val="ListBullet"/>
      </w:pPr>
      <w:r>
        <w:t>Límites de tasa: aplicados a rutas sensibles de autenticación.</w:t>
      </w:r>
    </w:p>
    <w:p>
      <w:pPr>
        <w:pStyle w:val="Heading3"/>
      </w:pPr>
      <w:r/>
      <w:r>
        <w:t>1.1 Formato de respuesta</w:t>
      </w:r>
    </w:p>
    <w:p>
      <w:r>
        <w:t>Éxito: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{ "estado": true, "datos": {} }</w:t>
      </w:r>
    </w:p>
    <w:p>
      <w:r>
        <w:t>Error funcional: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{ "estado": false, "mensaje": "Descripción del error" }</w:t>
      </w:r>
    </w:p>
    <w:p>
      <w:r>
        <w:t>Validación de formulario: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{ "estado": false, "mensaje": "Revisa que los datos sean correctos", "mensajes": {} }</w:t>
      </w:r>
    </w:p>
    <w:p>
      <w:pPr>
        <w:pStyle w:val="Heading2"/>
      </w:pPr>
      <w:r/>
      <w:r>
        <w:t xml:space="preserve">2. Autenticación — </w:t>
      </w:r>
      <w:r>
        <w:rPr>
          <w:rFonts w:ascii="Consolas" w:hAnsi="Consolas"/>
          <w:color w:val="C7254E"/>
        </w:rPr>
        <w:t>/api/auth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Recibe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Login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</w:rPr>
              <w:t>/api/auth</w:t>
            </w:r>
          </w:p>
        </w:tc>
        <w:tc>
          <w:tcPr>
            <w:tcW w:type="dxa" w:w="1728"/>
          </w:tcPr>
          <w:p>
            <w:r/>
            <w:r>
              <w:t>Correo, contraseña y datos de dispositivo.</w:t>
            </w:r>
          </w:p>
        </w:tc>
        <w:tc>
          <w:tcPr>
            <w:tcW w:type="dxa" w:w="1728"/>
          </w:tcPr>
          <w:p>
            <w:r/>
            <w:r>
              <w:t>Token JWT, datos de usuario y configuración.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</w:rPr>
              <w:t>/api/auth/logout</w:t>
            </w:r>
          </w:p>
        </w:tc>
        <w:tc>
          <w:tcPr>
            <w:tcW w:type="dxa" w:w="1728"/>
          </w:tcPr>
          <w:p>
            <w:r/>
            <w:r>
              <w:t>Token de sesión.</w:t>
            </w:r>
          </w:p>
        </w:tc>
        <w:tc>
          <w:tcPr>
            <w:tcW w:type="dxa" w:w="1728"/>
          </w:tcPr>
          <w:p>
            <w:r/>
            <w:r>
              <w:t>Confirmación de cierre.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</w:tbl>
    <w:p/>
    <w:p>
      <w:pPr>
        <w:pStyle w:val="Heading2"/>
      </w:pPr>
      <w:r/>
      <w:r>
        <w:t xml:space="preserve">3. Recuperación de contraseña — </w:t>
      </w:r>
      <w:r>
        <w:rPr>
          <w:rFonts w:ascii="Consolas" w:hAnsi="Consolas"/>
          <w:color w:val="C7254E"/>
        </w:rPr>
        <w:t>/api/recuperaciones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Recibe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Login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</w:rPr>
              <w:t>/enviar-codigo</w:t>
            </w:r>
          </w:p>
        </w:tc>
        <w:tc>
          <w:tcPr>
            <w:tcW w:type="dxa" w:w="1728"/>
          </w:tcPr>
          <w:p>
            <w:r/>
            <w:r>
              <w:t>Correo.</w:t>
            </w:r>
          </w:p>
        </w:tc>
        <w:tc>
          <w:tcPr>
            <w:tcW w:type="dxa" w:w="1728"/>
          </w:tcPr>
          <w:p>
            <w:r/>
            <w:r>
              <w:t>Envío de código.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</w:rPr>
              <w:t>/validar-codigo</w:t>
            </w:r>
          </w:p>
        </w:tc>
        <w:tc>
          <w:tcPr>
            <w:tcW w:type="dxa" w:w="1728"/>
          </w:tcPr>
          <w:p>
            <w:r/>
            <w:r>
              <w:t>Correo/código.</w:t>
            </w:r>
          </w:p>
        </w:tc>
        <w:tc>
          <w:tcPr>
            <w:tcW w:type="dxa" w:w="1728"/>
          </w:tcPr>
          <w:p>
            <w:r/>
            <w:r>
              <w:t>Token temporal.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t>PUT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</w:rPr>
              <w:t>/modificar-contrasena</w:t>
            </w:r>
          </w:p>
        </w:tc>
        <w:tc>
          <w:tcPr>
            <w:tcW w:type="dxa" w:w="1728"/>
          </w:tcPr>
          <w:p>
            <w:r/>
            <w:r>
              <w:t>Token temporal y nueva contraseña.</w:t>
            </w:r>
          </w:p>
        </w:tc>
        <w:tc>
          <w:tcPr>
            <w:tcW w:type="dxa" w:w="1728"/>
          </w:tcPr>
          <w:p>
            <w:r/>
            <w:r>
              <w:t>Confirmación.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</w:tbl>
    <w:p/>
    <w:p>
      <w:pPr>
        <w:pStyle w:val="Heading2"/>
      </w:pPr>
      <w:r/>
      <w:r>
        <w:t xml:space="preserve">4. Validación / setup inicial — </w:t>
      </w:r>
      <w:r>
        <w:rPr>
          <w:rFonts w:ascii="Consolas" w:hAnsi="Consolas"/>
          <w:color w:val="C7254E"/>
        </w:rPr>
        <w:t>/api/validacion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Login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/app</w:t>
            </w:r>
          </w:p>
        </w:tc>
        <w:tc>
          <w:tcPr>
            <w:tcW w:type="dxa" w:w="2160"/>
          </w:tcPr>
          <w:p>
            <w:r/>
            <w:r>
              <w:t>Estado de configuración inicial.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/session-config</w:t>
            </w:r>
          </w:p>
        </w:tc>
        <w:tc>
          <w:tcPr>
            <w:tcW w:type="dxa" w:w="2160"/>
          </w:tcPr>
          <w:p>
            <w:r/>
            <w:r>
              <w:t>Información de sesión/configuración activa.</w:t>
            </w:r>
          </w:p>
        </w:tc>
        <w:tc>
          <w:tcPr>
            <w:tcW w:type="dxa" w:w="2160"/>
          </w:tcPr>
          <w:p>
            <w:r/>
            <w:r>
              <w:t>Sí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/generales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/accesos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/pisos</w:t>
            </w:r>
          </w:p>
        </w:tc>
        <w:tc>
          <w:tcPr>
            <w:tcW w:type="dxa" w:w="2160"/>
          </w:tcPr>
          <w:p>
            <w:r/>
            <w:r>
              <w:t>Catálogos para setup.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/usuario/form-nuevo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/empresa/form-nuevo</w:t>
            </w:r>
          </w:p>
        </w:tc>
        <w:tc>
          <w:tcPr>
            <w:tcW w:type="dxa" w:w="2160"/>
          </w:tcPr>
          <w:p>
            <w:r/>
            <w:r>
              <w:t>Datos para formularios iniciales.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/empresa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/piso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/acceso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/usuario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/configuracion</w:t>
            </w:r>
          </w:p>
        </w:tc>
        <w:tc>
          <w:tcPr>
            <w:tcW w:type="dxa" w:w="2160"/>
          </w:tcPr>
          <w:p>
            <w:r/>
            <w:r>
              <w:t>Altas del setup inicial.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/piso/:id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/acceso/:id</w:t>
            </w:r>
          </w:p>
        </w:tc>
        <w:tc>
          <w:tcPr>
            <w:tcW w:type="dxa" w:w="2160"/>
          </w:tcPr>
          <w:p>
            <w:r/>
            <w:r>
              <w:t>Eliminación de elementos del setup.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</w:tbl>
    <w:p/>
    <w:p>
      <w:pPr>
        <w:pStyle w:val="Heading2"/>
      </w:pPr>
      <w:r/>
      <w:r>
        <w:t xml:space="preserve">5. Usuarios — </w:t>
      </w:r>
      <w:r>
        <w:rPr>
          <w:rFonts w:ascii="Consolas" w:hAnsi="Consolas"/>
          <w:color w:val="C7254E"/>
        </w:rPr>
        <w:t>/api/usuarios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Lista, activos y detalle.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/directorio</w:t>
            </w:r>
          </w:p>
        </w:tc>
        <w:tc>
          <w:tcPr>
            <w:tcW w:type="dxa" w:w="2160"/>
          </w:tcPr>
          <w:p>
            <w:r/>
            <w:r>
              <w:t>Directorio.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/anfitriones</w:t>
            </w:r>
          </w:p>
        </w:tc>
        <w:tc>
          <w:tcPr>
            <w:tcW w:type="dxa" w:w="2160"/>
          </w:tcPr>
          <w:p>
            <w:r/>
            <w:r>
              <w:t>Anfitriones.</w:t>
            </w:r>
          </w:p>
        </w:tc>
        <w:tc>
          <w:tcPr>
            <w:tcW w:type="dxa" w:w="2160"/>
          </w:tcPr>
          <w:p>
            <w:r/>
            <w:r>
              <w:t>1, 2, 4, 5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/form-editar/:id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/qr/:id</w:t>
            </w:r>
          </w:p>
        </w:tc>
        <w:tc>
          <w:tcPr>
            <w:tcW w:type="dxa" w:w="2160"/>
          </w:tcPr>
          <w:p>
            <w:r/>
            <w:r>
              <w:t>Formatos, catálogos y QR.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usuario.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/cargar-formato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/programacion</w:t>
            </w:r>
          </w:p>
        </w:tc>
        <w:tc>
          <w:tcPr>
            <w:tcW w:type="dxa" w:w="2160"/>
          </w:tcPr>
          <w:p>
            <w:r/>
            <w:r>
              <w:t>Carga masiva / programación.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Actualizar.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/anonimizar/:id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/reenviar/:id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/desbloquear/:id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Anonimizar, reenviar, desbloquear, eliminar, estado.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</w:tbl>
    <w:p/>
    <w:p>
      <w:pPr>
        <w:pStyle w:val="Heading2"/>
      </w:pPr>
      <w:r/>
      <w:r>
        <w:t xml:space="preserve">6. Empleados — </w:t>
      </w:r>
      <w:r>
        <w:rPr>
          <w:rFonts w:ascii="Consolas" w:hAnsi="Consolas"/>
          <w:color w:val="C7254E"/>
        </w:rPr>
        <w:t>/api/empleados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Lista, activos y detalle.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/directorio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/anfitriones</w:t>
            </w:r>
          </w:p>
        </w:tc>
        <w:tc>
          <w:tcPr>
            <w:tcW w:type="dxa" w:w="2160"/>
          </w:tcPr>
          <w:p>
            <w:r/>
            <w:r>
              <w:t>Directorio y anfitriones.</w:t>
            </w:r>
          </w:p>
        </w:tc>
        <w:tc>
          <w:tcPr>
            <w:tcW w:type="dxa" w:w="2160"/>
          </w:tcPr>
          <w:p>
            <w:r/>
            <w:r>
              <w:t>1, 2 (anfitriones también 11)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/form-editar/:id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/qr/:id</w:t>
            </w:r>
          </w:p>
        </w:tc>
        <w:tc>
          <w:tcPr>
            <w:tcW w:type="dxa" w:w="2160"/>
          </w:tcPr>
          <w:p>
            <w:r/>
            <w:r>
              <w:t>Formatos, catálogos y QR.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empleado.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/cargar-formato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/programacion</w:t>
            </w:r>
          </w:p>
        </w:tc>
        <w:tc>
          <w:tcPr>
            <w:tcW w:type="dxa" w:w="2160"/>
          </w:tcPr>
          <w:p>
            <w:r/>
            <w:r>
              <w:t>Carga masiva / programación.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Actualizar.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/anonimizar/:id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/desbloquear/:id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Anonimizar, desbloquear, eliminar, estado.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</w:tbl>
    <w:p/>
    <w:p>
      <w:pPr>
        <w:pStyle w:val="Heading2"/>
      </w:pPr>
      <w:r/>
      <w:r>
        <w:t xml:space="preserve">7. Visitantes — </w:t>
      </w:r>
      <w:r>
        <w:rPr>
          <w:rFonts w:ascii="Consolas" w:hAnsi="Consolas"/>
          <w:color w:val="C7254E"/>
        </w:rPr>
        <w:t>/api/visitantes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/todos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Grid, lista, activos y detalle.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/form-editar/:id</w:t>
            </w:r>
          </w:p>
        </w:tc>
        <w:tc>
          <w:tcPr>
            <w:tcW w:type="dxa" w:w="2160"/>
          </w:tcPr>
          <w:p>
            <w:r/>
            <w:r>
              <w:t>Formato y datos de edición.</w:t>
            </w:r>
          </w:p>
        </w:tc>
        <w:tc>
          <w:tcPr>
            <w:tcW w:type="dxa" w:w="2160"/>
          </w:tcPr>
          <w:p>
            <w:r/>
            <w:r>
              <w:t>1, 2 (edición además 4, 5, 13)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/qr/:id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/qr/</w:t>
            </w:r>
          </w:p>
        </w:tc>
        <w:tc>
          <w:tcPr>
            <w:tcW w:type="dxa" w:w="2160"/>
          </w:tcPr>
          <w:p>
            <w:r/>
            <w:r>
              <w:t>QR de visitante / QR propio.</w:t>
            </w:r>
          </w:p>
        </w:tc>
        <w:tc>
          <w:tcPr>
            <w:tcW w:type="dxa" w:w="2160"/>
          </w:tcPr>
          <w:p>
            <w:r/>
            <w:r>
              <w:t>1, 2, 4, 5, 10, 13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visitante.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/cargar-formato</w:t>
            </w:r>
          </w:p>
        </w:tc>
        <w:tc>
          <w:tcPr>
            <w:tcW w:type="dxa" w:w="2160"/>
          </w:tcPr>
          <w:p>
            <w:r/>
            <w:r>
              <w:t>Carga masiva.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Actualizar.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Eliminar / cambiar estado.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</w:tbl>
    <w:p/>
    <w:p>
      <w:r>
        <w:t xml:space="preserve">&gt; Operaciones avanzadas de visitantes (autorización QR, programación, verificación, bloqueo/desbloqueo, resync, reversión) se documentan en el módulo </w:t>
      </w:r>
      <w:r>
        <w:rPr>
          <w:b/>
        </w:rPr>
        <w:t>Visitantes Avanzado</w:t>
      </w:r>
      <w:r>
        <w:t>.</w:t>
      </w:r>
    </w:p>
    <w:p>
      <w:pPr>
        <w:pStyle w:val="Heading2"/>
      </w:pPr>
      <w:r/>
      <w:r>
        <w:t xml:space="preserve">8. Registros / visitas — </w:t>
      </w:r>
      <w:r>
        <w:rPr>
          <w:rFonts w:ascii="Consolas" w:hAnsi="Consolas"/>
          <w:color w:val="C7254E"/>
        </w:rPr>
        <w:t>/api/registros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Rol/Login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Lista y detalle.</w:t>
            </w:r>
          </w:p>
        </w:tc>
        <w:tc>
          <w:tcPr>
            <w:tcW w:type="dxa" w:w="2160"/>
          </w:tcPr>
          <w:p>
            <w:r/>
            <w:r>
              <w:t>1, 2, 10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/ultimo-registro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/form-editar/:id</w:t>
            </w:r>
          </w:p>
        </w:tc>
        <w:tc>
          <w:tcPr>
            <w:tcW w:type="dxa" w:w="2160"/>
          </w:tcPr>
          <w:p>
            <w:r/>
            <w:r>
              <w:t>Autocompletar y catálogos.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registro.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/reportes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/reporte-horas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/accesos-anfitrion</w:t>
            </w:r>
          </w:p>
        </w:tc>
        <w:tc>
          <w:tcPr>
            <w:tcW w:type="dxa" w:w="2160"/>
          </w:tcPr>
          <w:p>
            <w:r/>
            <w:r>
              <w:t>Reportes y accesos del anfitrión.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/enviar-liga-registro</w:t>
            </w:r>
          </w:p>
        </w:tc>
        <w:tc>
          <w:tcPr>
            <w:tcW w:type="dxa" w:w="2160"/>
          </w:tcPr>
          <w:p>
            <w:r/>
            <w:r>
              <w:t>Enviar liga de registro al visitante.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/validar-token-registro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/visitante</w:t>
            </w:r>
          </w:p>
        </w:tc>
        <w:tc>
          <w:tcPr>
            <w:tcW w:type="dxa" w:w="2160"/>
          </w:tcPr>
          <w:p>
            <w:r/>
            <w:r>
              <w:t>Validar liga / registro por visitante.</w:t>
            </w:r>
          </w:p>
        </w:tc>
        <w:tc>
          <w:tcPr>
            <w:tcW w:type="dxa" w:w="2160"/>
          </w:tcPr>
          <w:p>
            <w:r/>
            <w:r>
              <w:t>No (token)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/modificar/:id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/cancelar/:id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/finalizar/:id</w:t>
            </w:r>
          </w:p>
        </w:tc>
        <w:tc>
          <w:tcPr>
            <w:tcW w:type="dxa" w:w="2160"/>
          </w:tcPr>
          <w:p>
            <w:r/>
            <w:r>
              <w:t>Editar, modificar, cancelar, finalizar.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/acceso/:id</w:t>
            </w:r>
          </w:p>
        </w:tc>
        <w:tc>
          <w:tcPr>
            <w:tcW w:type="dxa" w:w="2160"/>
          </w:tcPr>
          <w:p>
            <w:r/>
            <w:r>
              <w:t>Marcar nuevo acceso.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</w:tbl>
    <w:p/>
    <w:p>
      <w:pPr>
        <w:pStyle w:val="Heading2"/>
      </w:pPr>
      <w:r/>
      <w:r>
        <w:t xml:space="preserve">9. Eventos — </w:t>
      </w:r>
      <w:r>
        <w:rPr>
          <w:rFonts w:ascii="Consolas" w:hAnsi="Consolas"/>
          <w:color w:val="C7254E"/>
        </w:rPr>
        <w:t>/api/eventos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/form-reportes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/kiosco/paneles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/kiosco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/imagen/:id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Catálogos, kiosco, imagen y detalle.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/form-reporte-horas</w:t>
            </w:r>
          </w:p>
        </w:tc>
        <w:tc>
          <w:tcPr>
            <w:tcW w:type="dxa" w:w="2160"/>
          </w:tcPr>
          <w:p>
            <w:r/>
            <w:r>
              <w:t>Catálogos de reporte de horas.</w:t>
            </w:r>
          </w:p>
        </w:tc>
        <w:tc>
          <w:tcPr>
            <w:tcW w:type="dxa" w:w="2160"/>
          </w:tcPr>
          <w:p>
            <w:r/>
            <w:r>
              <w:t>1, 2, 5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evento.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/validar-qr</w:t>
            </w:r>
          </w:p>
        </w:tc>
        <w:tc>
          <w:tcPr>
            <w:tcW w:type="dxa" w:w="2160"/>
          </w:tcPr>
          <w:p>
            <w:r/>
            <w:r>
              <w:t>Validar QR.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/autorizar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/reporte-horas/individual/:id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/reportes-horas</w:t>
            </w:r>
          </w:p>
        </w:tc>
        <w:tc>
          <w:tcPr>
            <w:tcW w:type="dxa" w:w="2160"/>
          </w:tcPr>
          <w:p>
            <w:r/>
            <w:r>
              <w:t>Autorizar check y reportes de horas.</w:t>
            </w:r>
          </w:p>
        </w:tc>
        <w:tc>
          <w:tcPr>
            <w:tcW w:type="dxa" w:w="2160"/>
          </w:tcPr>
          <w:p>
            <w:r/>
            <w:r>
              <w:t>1, 2, 5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/reportes</w:t>
            </w:r>
          </w:p>
        </w:tc>
        <w:tc>
          <w:tcPr>
            <w:tcW w:type="dxa" w:w="2160"/>
          </w:tcPr>
          <w:p>
            <w:r/>
            <w:r>
              <w:t>Reporte de eventos.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</w:tbl>
    <w:p/>
    <w:p>
      <w:r>
        <w:t>&gt; Endpoints de eventos vinculados a paneles/biometría/apertura de puertas se documentan en sus módulos de integración.</w:t>
      </w:r>
    </w:p>
    <w:p>
      <w:pPr>
        <w:pStyle w:val="Heading2"/>
      </w:pPr>
      <w:r/>
      <w:r>
        <w:t xml:space="preserve">10. Configuración — </w:t>
      </w:r>
      <w:r>
        <w:rPr>
          <w:rFonts w:ascii="Consolas" w:hAnsi="Consolas"/>
          <w:color w:val="C7254E"/>
        </w:rPr>
        <w:t>/api/configuracion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2160"/>
          </w:tcPr>
          <w:p>
            <w:r/>
            <w:r>
              <w:t>Configuración general.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/integraciones</w:t>
            </w:r>
          </w:p>
        </w:tc>
        <w:tc>
          <w:tcPr>
            <w:tcW w:type="dxa" w:w="2160"/>
          </w:tcPr>
          <w:p>
            <w:r/>
            <w:r>
              <w:t>Estado/visibilidad de módulos opcionales.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/integraciones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/colecciones</w:t>
            </w:r>
          </w:p>
        </w:tc>
        <w:tc>
          <w:tcPr>
            <w:tcW w:type="dxa" w:w="2160"/>
          </w:tcPr>
          <w:p>
            <w:r/>
            <w:r>
              <w:t>Actualiza configuración general, módulos y documentos.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/roles/personalizado</w:t>
            </w:r>
          </w:p>
        </w:tc>
        <w:tc>
          <w:tcPr>
            <w:tcW w:type="dxa" w:w="2160"/>
          </w:tcPr>
          <w:p>
            <w:r/>
            <w:r>
              <w:t>Crea rol personalizado.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</w:rPr>
              <w:t>/roles/personalizado/:rol</w:t>
            </w:r>
          </w:p>
        </w:tc>
        <w:tc>
          <w:tcPr>
            <w:tcW w:type="dxa" w:w="2160"/>
          </w:tcPr>
          <w:p>
            <w:r/>
            <w:r>
              <w:t>Elimina rol personalizado.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</w:tbl>
    <w:p/>
    <w:p>
      <w:pPr>
        <w:pStyle w:val="Heading2"/>
      </w:pPr>
      <w:r/>
      <w:r>
        <w:t>11. Catálogos base</w:t>
      </w:r>
    </w:p>
    <w:p>
      <w:r>
        <w:t xml:space="preserve">Patrón común para </w:t>
      </w:r>
      <w:r>
        <w:rPr>
          <w:rFonts w:ascii="Consolas" w:hAnsi="Consolas"/>
          <w:color w:val="C7254E"/>
        </w:rPr>
        <w:t>/api/accesos</w:t>
      </w:r>
      <w:r>
        <w:t xml:space="preserve">, </w:t>
      </w:r>
      <w:r>
        <w:rPr>
          <w:rFonts w:ascii="Consolas" w:hAnsi="Consolas"/>
          <w:color w:val="C7254E"/>
        </w:rPr>
        <w:t>/api/pisos</w:t>
      </w:r>
      <w:r>
        <w:t xml:space="preserve">, </w:t>
      </w:r>
      <w:r>
        <w:rPr>
          <w:rFonts w:ascii="Consolas" w:hAnsi="Consolas"/>
          <w:color w:val="C7254E"/>
        </w:rPr>
        <w:t>/api/puestos</w:t>
      </w:r>
      <w:r>
        <w:t xml:space="preserve">, </w:t>
      </w:r>
      <w:r>
        <w:rPr>
          <w:rFonts w:ascii="Consolas" w:hAnsi="Consolas"/>
          <w:color w:val="C7254E"/>
        </w:rPr>
        <w:t>/api/departamentos</w:t>
      </w:r>
      <w:r>
        <w:t xml:space="preserve">, </w:t>
      </w:r>
      <w:r>
        <w:rPr>
          <w:rFonts w:ascii="Consolas" w:hAnsi="Consolas"/>
          <w:color w:val="C7254E"/>
        </w:rPr>
        <w:t>/api/cubiculos</w:t>
      </w:r>
      <w:r>
        <w:t xml:space="preserve">, </w:t>
      </w:r>
      <w:r>
        <w:rPr>
          <w:rFonts w:ascii="Consolas" w:hAnsi="Consolas"/>
          <w:color w:val="C7254E"/>
        </w:rPr>
        <w:t>/api/empresas</w:t>
      </w:r>
      <w:r>
        <w:t xml:space="preserve">, </w:t>
      </w:r>
      <w:r>
        <w:rPr>
          <w:rFonts w:ascii="Consolas" w:hAnsi="Consolas"/>
          <w:color w:val="C7254E"/>
        </w:rPr>
        <w:t>/api/pases</w:t>
      </w:r>
      <w:r>
        <w:t xml:space="preserve">, </w:t>
      </w:r>
      <w:r>
        <w:rPr>
          <w:rFonts w:ascii="Consolas" w:hAnsi="Consolas"/>
          <w:color w:val="C7254E"/>
        </w:rPr>
        <w:t>/api/horarios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Ruta tipo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/&lt;catalogo&gt;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/:id</w:t>
            </w:r>
          </w:p>
        </w:tc>
        <w:tc>
          <w:tcPr>
            <w:tcW w:type="dxa" w:w="2880"/>
          </w:tcPr>
          <w:p>
            <w:r/>
            <w:r>
              <w:t>Lista, activos, detalle.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/&lt;catalogo&gt;/form-nuevo</w:t>
            </w:r>
            <w:r>
              <w:t xml:space="preserve"> · </w:t>
            </w:r>
            <w:r>
              <w:rPr>
                <w:rFonts w:ascii="Consolas" w:hAnsi="Consolas"/>
                <w:color w:val="C7254E"/>
              </w:rPr>
              <w:t>/form-editar/:id</w:t>
            </w:r>
          </w:p>
        </w:tc>
        <w:tc>
          <w:tcPr>
            <w:tcW w:type="dxa" w:w="2880"/>
          </w:tcPr>
          <w:p>
            <w:r/>
            <w:r>
              <w:t>Catálogos para alta/edición.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/&lt;catalogo&gt;</w:t>
            </w:r>
          </w:p>
        </w:tc>
        <w:tc>
          <w:tcPr>
            <w:tcW w:type="dxa" w:w="2880"/>
          </w:tcPr>
          <w:p>
            <w:r/>
            <w:r>
              <w:t>Crear.</w:t>
            </w:r>
          </w:p>
        </w:tc>
      </w:tr>
      <w:tr>
        <w:tc>
          <w:tcPr>
            <w:tcW w:type="dxa" w:w="2880"/>
          </w:tcPr>
          <w:p>
            <w:r/>
            <w:r>
              <w:t>PUT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/&lt;catalogo&gt;/:id</w:t>
            </w:r>
          </w:p>
        </w:tc>
        <w:tc>
          <w:tcPr>
            <w:tcW w:type="dxa" w:w="2880"/>
          </w:tcPr>
          <w:p>
            <w:r/>
            <w:r>
              <w:t>Actualizar.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</w:rPr>
              <w:t>/&lt;catalogo&gt;/:id</w:t>
            </w:r>
          </w:p>
        </w:tc>
        <w:tc>
          <w:tcPr>
            <w:tcW w:type="dxa" w:w="2880"/>
          </w:tcPr>
          <w:p>
            <w:r/>
            <w:r>
              <w:t>Activar/inactivar.</w:t>
            </w:r>
          </w:p>
        </w:tc>
      </w:tr>
    </w:tbl>
    <w:p/>
    <w:p>
      <w:pPr>
        <w:pStyle w:val="Heading2"/>
      </w:pPr>
      <w:r/>
      <w:r>
        <w:t>12. Tiempo real (WebSocket)</w:t>
      </w:r>
    </w:p>
    <w:p>
      <w:pPr>
        <w:pStyle w:val="ListBullet"/>
      </w:pPr>
      <w:r>
        <w:t>El sistema emite notificaciones por WebSocket para nuevos registros y eventos.</w:t>
      </w:r>
    </w:p>
    <w:p>
      <w:pPr>
        <w:pStyle w:val="ListBullet"/>
      </w:pPr>
      <w:r>
        <w:t xml:space="preserve">El token de conexión se valida con </w:t>
      </w:r>
      <w:r>
        <w:rPr>
          <w:rFonts w:ascii="Consolas" w:hAnsi="Consolas"/>
          <w:color w:val="C7254E"/>
        </w:rPr>
        <w:t>validarTokenWS</w:t>
      </w:r>
      <w:r>
        <w:t>.</w:t>
      </w:r>
    </w:p>
    <w:p>
      <w:r>
        <w:rPr>
          <w:rFonts w:ascii="Consolas" w:hAnsi="Consolas"/>
          <w:color w:val="C7254E"/>
        </w:rPr>
        <w:t>[Foto: ejemplo de respuesta de /api/auth en Postman, con token enmascarado]</w:t>
      </w:r>
    </w:p>
    <w:p>
      <w:pPr>
        <w:pStyle w:val="Heading2"/>
      </w:pPr>
      <w:r/>
      <w:r>
        <w:t>13.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Documentación de API — RE</w:t>
            </w:r>
          </w:p>
        </w:tc>
        <w:tc>
          <w:tcPr>
            <w:tcW w:type="dxa" w:w="1440"/>
          </w:tcPr>
          <w:p>
            <w:r/>
            <w:r>
              <w:t>API-RE-001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