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Diccionario de Base de Datos</w:t>
      </w:r>
    </w:p>
    <w:p>
      <w:pPr>
        <w:pStyle w:val="Heading2"/>
      </w:pPr>
      <w:r/>
      <w:r>
        <w:t>Recepción Electrónica (RE) — Base</w:t>
      </w:r>
    </w:p>
    <w:p>
      <w:r>
        <w:t>Diccionario de las colecciones del núcleo de Recepción Electrónica, sus campos y relaciones.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Diccionario de Base de Datos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DB-RE-001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r>
        <w:t>&gt; Documento de la base. Las colecciones propias de módulos opcionales se documentan en sus respectivos documentos de integración.</w:t>
      </w:r>
    </w:p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diccionario de la base.</w:t>
            </w:r>
          </w:p>
        </w:tc>
      </w:tr>
    </w:tbl>
    <w:p/>
    <w:p>
      <w:pPr>
        <w:pStyle w:val="Heading2"/>
      </w:pPr>
      <w:r/>
      <w:r>
        <w:t>1. Motor y consideraciones</w:t>
      </w:r>
    </w:p>
    <w:p>
      <w:pPr>
        <w:pStyle w:val="ListBullet"/>
      </w:pPr>
      <w:r>
        <w:t xml:space="preserve">Motor: </w:t>
      </w:r>
      <w:r>
        <w:rPr>
          <w:b/>
        </w:rPr>
        <w:t>MongoDB</w:t>
      </w:r>
      <w:r>
        <w:t xml:space="preserve"> mediante </w:t>
      </w:r>
      <w:r>
        <w:rPr>
          <w:b/>
        </w:rPr>
        <w:t>Mongoose</w:t>
      </w:r>
      <w:r>
        <w:t>.</w:t>
      </w:r>
    </w:p>
    <w:p>
      <w:pPr>
        <w:pStyle w:val="ListBullet"/>
      </w:pPr>
      <w:r>
        <w:t xml:space="preserve">La conexión usa la variable </w:t>
      </w:r>
      <w:r>
        <w:rPr>
          <w:rFonts w:ascii="Consolas" w:hAnsi="Consolas"/>
          <w:color w:val="C7254E"/>
        </w:rPr>
        <w:t>MONGODB_URI</w:t>
      </w:r>
      <w:r>
        <w:t xml:space="preserve"> (valor sensible; no se documenta).</w:t>
      </w:r>
    </w:p>
    <w:p>
      <w:pPr>
        <w:pStyle w:val="ListBullet"/>
      </w:pPr>
      <w:r>
        <w:t>MongoDB es documental; en este diccionario "tabla" equivale a "colección".</w:t>
      </w:r>
    </w:p>
    <w:p>
      <w:pPr>
        <w:pStyle w:val="ListBullet"/>
      </w:pPr>
      <w:r>
        <w:t xml:space="preserve">Campos comunes de auditoría: </w:t>
      </w:r>
      <w:r>
        <w:rPr>
          <w:rFonts w:ascii="Consolas" w:hAnsi="Consolas"/>
          <w:color w:val="C7254E"/>
        </w:rPr>
        <w:t>fecha_creacion</w:t>
      </w:r>
      <w:r>
        <w:t xml:space="preserve">, </w:t>
      </w:r>
      <w:r>
        <w:rPr>
          <w:rFonts w:ascii="Consolas" w:hAnsi="Consolas"/>
          <w:color w:val="C7254E"/>
        </w:rPr>
        <w:t>creado_por</w:t>
      </w:r>
      <w:r>
        <w:t xml:space="preserve">, </w:t>
      </w:r>
      <w:r>
        <w:rPr>
          <w:rFonts w:ascii="Consolas" w:hAnsi="Consolas"/>
          <w:color w:val="C7254E"/>
        </w:rPr>
        <w:t>fecha_modificacion</w:t>
      </w:r>
      <w:r>
        <w:t xml:space="preserve">, </w:t>
      </w:r>
      <w:r>
        <w:rPr>
          <w:rFonts w:ascii="Consolas" w:hAnsi="Consolas"/>
          <w:color w:val="C7254E"/>
        </w:rPr>
        <w:t>modificado_por</w:t>
      </w:r>
      <w:r>
        <w:t xml:space="preserve">, </w:t>
      </w:r>
      <w:r>
        <w:rPr>
          <w:rFonts w:ascii="Consolas" w:hAnsi="Consolas"/>
          <w:color w:val="C7254E"/>
        </w:rPr>
        <w:t>activo</w:t>
      </w:r>
      <w:r>
        <w:t xml:space="preserve"> (borrado lógico).</w:t>
      </w:r>
    </w:p>
    <w:p>
      <w:pPr>
        <w:pStyle w:val="Heading2"/>
      </w:pPr>
      <w:r/>
      <w:r>
        <w:t>2. Colecciones del núcleo</w:t>
      </w:r>
    </w:p>
    <w:p>
      <w:pPr>
        <w:pStyle w:val="Heading3"/>
      </w:pPr>
      <w:r/>
      <w:r>
        <w:t xml:space="preserve">2.1 </w:t>
      </w:r>
      <w:r>
        <w:rPr>
          <w:rFonts w:ascii="Consolas" w:hAnsi="Consolas"/>
          <w:color w:val="C7254E"/>
        </w:rPr>
        <w:t>usuarios</w:t>
      </w:r>
    </w:p>
    <w:p>
      <w:r>
        <w:t>Usuarios internos del sistema.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id_general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Identificador secuencial interno.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correo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Correo de acceso (único).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contrasena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Contraseña almacenada con hash.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rol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Rol del usuario.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apellido_pat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apellido_mat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y apellidos.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id_puesto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id_departamento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id_cubiculo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id_horario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Referencias a catálogos.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accesos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Accesos autorizados.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esRoot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Usuario maestro.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token_web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token_app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Tokens de sesión activos.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token_bloqueo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intentos</w:t>
            </w:r>
          </w:p>
        </w:tc>
        <w:tc>
          <w:tcPr>
            <w:tcW w:type="dxa" w:w="2880"/>
          </w:tcPr>
          <w:p>
            <w:r/>
            <w:r>
              <w:t>string / number</w:t>
            </w:r>
          </w:p>
        </w:tc>
        <w:tc>
          <w:tcPr>
            <w:tcW w:type="dxa" w:w="2880"/>
          </w:tcPr>
          <w:p>
            <w:r/>
            <w:r>
              <w:t>Control de bloqueo por intentos fallidos.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 xml:space="preserve">2.2 </w:t>
      </w:r>
      <w:r>
        <w:rPr>
          <w:rFonts w:ascii="Consolas" w:hAnsi="Consolas"/>
          <w:color w:val="C7254E"/>
        </w:rPr>
        <w:t>empleados</w:t>
      </w:r>
    </w:p>
    <w:p>
      <w:r>
        <w:t>Personas sujetas a control de acceso.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id_empleado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Identificador del empleado.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correo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Correo.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apellido_pat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apellido_mat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y apellidos.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id_horario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Referencias a catálogos.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accesos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Accesos autorizados.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id_empleado_vinculado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Empleado/usuario vinculado.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r>
        <w:t xml:space="preserve">&gt; Los campos de sincronización con paneles (por ejemplo </w:t>
      </w:r>
      <w:r>
        <w:rPr>
          <w:rFonts w:ascii="Consolas" w:hAnsi="Consolas"/>
          <w:color w:val="C7254E"/>
        </w:rPr>
        <w:t>sync_*_pendiente</w:t>
      </w:r>
      <w:r>
        <w:t>, identificadores externos, huellas/tarjetas) pertenecen a los módulos de integración y se documentan en ellos.</w:t>
      </w:r>
    </w:p>
    <w:p>
      <w:pPr>
        <w:pStyle w:val="Heading3"/>
      </w:pPr>
      <w:r/>
      <w:r>
        <w:t xml:space="preserve">2.3 </w:t>
      </w:r>
      <w:r>
        <w:rPr>
          <w:rFonts w:ascii="Consolas" w:hAnsi="Consolas"/>
          <w:color w:val="C7254E"/>
        </w:rPr>
        <w:t>visitantes</w:t>
      </w:r>
    </w:p>
    <w:p>
      <w:r>
        <w:t>Visitantes registrados.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id_visitante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Identificador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codigo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card_code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Código/credencial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correo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contrasena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Acceso temporal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apellido_pat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apellido_mat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telefono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Datos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Documentos asociados.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verificado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bloqueado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 de verificación/bloqueo.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acceso_qr_estado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acceso_qr_modo</w:t>
            </w:r>
          </w:p>
        </w:tc>
        <w:tc>
          <w:tcPr>
            <w:tcW w:type="dxa" w:w="2880"/>
          </w:tcPr>
          <w:p>
            <w:r/>
            <w:r>
              <w:t>mixto</w:t>
            </w:r>
          </w:p>
        </w:tc>
        <w:tc>
          <w:tcPr>
            <w:tcW w:type="dxa" w:w="2880"/>
          </w:tcPr>
          <w:p>
            <w:r/>
            <w:r>
              <w:t>Estado y modo de acceso por QR.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 xml:space="preserve">2.4 </w:t>
      </w:r>
      <w:r>
        <w:rPr>
          <w:rFonts w:ascii="Consolas" w:hAnsi="Consolas"/>
          <w:color w:val="C7254E"/>
        </w:rPr>
        <w:t>registros</w:t>
      </w:r>
    </w:p>
    <w:p>
      <w:r>
        <w:t>Citas/registros de visita.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codigo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Código del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tipo_registro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Tipo (cita/registro).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correo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nombre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Datos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id_anfitrion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Anfitrión (usuario).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fecha_entrada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fecha_salida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Fechas de la visita.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accesos</w:t>
            </w:r>
          </w:p>
        </w:tc>
        <w:tc>
          <w:tcPr>
            <w:tcW w:type="dxa" w:w="2880"/>
          </w:tcPr>
          <w:p>
            <w:r/>
            <w:r>
              <w:t>array</w:t>
            </w:r>
          </w:p>
        </w:tc>
        <w:tc>
          <w:tcPr>
            <w:tcW w:type="dxa" w:w="2880"/>
          </w:tcPr>
          <w:p>
            <w:r/>
            <w:r>
              <w:t>Accesos autorizados de la visita.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estatus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Eventos asociados al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Documentos de la visita.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actividades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comentarios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placas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Datos adicionales.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id_pase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Pase asociado.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 xml:space="preserve">2.5 </w:t>
      </w:r>
      <w:r>
        <w:rPr>
          <w:rFonts w:ascii="Consolas" w:hAnsi="Consolas"/>
          <w:color w:val="C7254E"/>
        </w:rPr>
        <w:t>eventos</w:t>
      </w:r>
    </w:p>
    <w:p>
      <w:r>
        <w:t>Eventos de entrada/salida/autorización.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tipo_dispositivo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Origen del evento (sistema, QR, panel).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img_evento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Imagen del evento (si aplica).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qr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tipo_check</w:t>
            </w:r>
          </w:p>
        </w:tc>
        <w:tc>
          <w:tcPr>
            <w:tcW w:type="dxa" w:w="2880"/>
          </w:tcPr>
          <w:p>
            <w:r/>
            <w:r>
              <w:t>mixto</w:t>
            </w:r>
          </w:p>
        </w:tc>
        <w:tc>
          <w:tcPr>
            <w:tcW w:type="dxa" w:w="2880"/>
          </w:tcPr>
          <w:p>
            <w:r/>
            <w:r>
              <w:t>Datos de validación.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id_registro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id_acceso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id_empleado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id_usuario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id_visitante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id_panel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Referencias del evento.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esAutorizado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Resultado de autorización.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comentario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Observaciones.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fecha_creacion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Fecha del evento.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 xml:space="preserve">2.6 </w:t>
      </w:r>
      <w:r>
        <w:rPr>
          <w:rFonts w:ascii="Consolas" w:hAnsi="Consolas"/>
          <w:color w:val="C7254E"/>
        </w:rPr>
        <w:t>documentos</w:t>
      </w:r>
    </w:p>
    <w:p>
      <w:r>
        <w:t>Documentos de visitantes/usuarios.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Tipo de documento.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estatus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Estado (pendiente/validado/rechazado).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imagenes</w:t>
            </w:r>
          </w:p>
        </w:tc>
        <w:tc>
          <w:tcPr>
            <w:tcW w:type="dxa" w:w="2880"/>
          </w:tcPr>
          <w:p>
            <w:r/>
            <w:r>
              <w:t>string/array</w:t>
            </w:r>
          </w:p>
        </w:tc>
        <w:tc>
          <w:tcPr>
            <w:tcW w:type="dxa" w:w="2880"/>
          </w:tcPr>
          <w:p>
            <w:r/>
            <w:r>
              <w:t>Archivo(s) del documento.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tiempo_indefinido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fecha_entrada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fecha_salida</w:t>
            </w:r>
          </w:p>
        </w:tc>
        <w:tc>
          <w:tcPr>
            <w:tcW w:type="dxa" w:w="2880"/>
          </w:tcPr>
          <w:p>
            <w:r/>
            <w:r>
              <w:t>boolean/Date</w:t>
            </w:r>
          </w:p>
        </w:tc>
        <w:tc>
          <w:tcPr>
            <w:tcW w:type="dxa" w:w="2880"/>
          </w:tcPr>
          <w:p>
            <w:r/>
            <w:r>
              <w:t>Vigencia.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motivo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Motivo de rechazo/observación.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fecha_validacion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validado_por</w:t>
            </w:r>
          </w:p>
        </w:tc>
        <w:tc>
          <w:tcPr>
            <w:tcW w:type="dxa" w:w="2880"/>
          </w:tcPr>
          <w:p>
            <w:r/>
            <w:r>
              <w:t>Date/ObjectId</w:t>
            </w:r>
          </w:p>
        </w:tc>
        <w:tc>
          <w:tcPr>
            <w:tcW w:type="dxa" w:w="2880"/>
          </w:tcPr>
          <w:p>
            <w:r/>
            <w:r>
              <w:t>Validación.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 xml:space="preserve">2.7 </w:t>
      </w:r>
      <w:r>
        <w:rPr>
          <w:rFonts w:ascii="Consolas" w:hAnsi="Consolas"/>
          <w:color w:val="C7254E"/>
        </w:rPr>
        <w:t>roles</w:t>
      </w:r>
    </w:p>
    <w:p>
      <w:r>
        <w:t>Catálogo de roles.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rol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Número de rol.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del rol.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color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Color de presentación.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 xml:space="preserve">2.8 </w:t>
      </w:r>
      <w:r>
        <w:rPr>
          <w:rFonts w:ascii="Consolas" w:hAnsi="Consolas"/>
          <w:color w:val="C7254E"/>
        </w:rPr>
        <w:t>configuraciones</w:t>
      </w:r>
    </w:p>
    <w:p>
      <w:r>
        <w:t>Parámetros generales del sistema.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appNombre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de la aplicación.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zonaHoraria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Zona horaria.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correo_cuentas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Correo para cuentas.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permisos_roles</w:t>
            </w:r>
          </w:p>
        </w:tc>
        <w:tc>
          <w:tcPr>
            <w:tcW w:type="dxa" w:w="2880"/>
          </w:tcPr>
          <w:p>
            <w:r/>
            <w:r>
              <w:t>objeto</w:t>
            </w:r>
          </w:p>
        </w:tc>
        <w:tc>
          <w:tcPr>
            <w:tcW w:type="dxa" w:w="2880"/>
          </w:tcPr>
          <w:p>
            <w:r/>
            <w:r>
              <w:t>Permisos por rol y rol personalizado.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tiempoCancelacionRegistros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Tiempo de auto-cancelación.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habilitar*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Banderas de módulos opcionales (ver documentos de integración).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documentos_visitantes</w:t>
            </w:r>
          </w:p>
        </w:tc>
        <w:tc>
          <w:tcPr>
            <w:tcW w:type="dxa" w:w="2880"/>
          </w:tcPr>
          <w:p>
            <w:r/>
            <w:r>
              <w:t>objeto</w:t>
            </w:r>
          </w:p>
        </w:tc>
        <w:tc>
          <w:tcPr>
            <w:tcW w:type="dxa" w:w="2880"/>
          </w:tcPr>
          <w:p>
            <w:r/>
            <w:r>
              <w:t>Configuración de documentos requeridos.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palette</w:t>
            </w:r>
          </w:p>
        </w:tc>
        <w:tc>
          <w:tcPr>
            <w:tcW w:type="dxa" w:w="2880"/>
          </w:tcPr>
          <w:p>
            <w:r/>
            <w:r>
              <w:t>objeto</w:t>
            </w:r>
          </w:p>
        </w:tc>
        <w:tc>
          <w:tcPr>
            <w:tcW w:type="dxa" w:w="2880"/>
          </w:tcPr>
          <w:p>
            <w:r/>
            <w:r>
              <w:t>Tema visual.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/>
      <w:r>
        <w:t>2.9 Catálogos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Colección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Campos principales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empresas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rfc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contactos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documentos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pisos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accesos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identificador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modos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puestos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departamentos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cubiculos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horarios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rangos horarios,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pases</w:t>
            </w:r>
          </w:p>
        </w:tc>
        <w:tc>
          <w:tcPr>
            <w:tcW w:type="dxa" w:w="4320"/>
          </w:tcPr>
          <w:p>
            <w:r/>
            <w:r>
              <w:t xml:space="preserve">datos del pase,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</w:tbl>
    <w:p/>
    <w:p>
      <w:pPr>
        <w:pStyle w:val="Heading3"/>
      </w:pPr>
      <w:r/>
      <w:r>
        <w:t>2.10 Colecciones de soporte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Colección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tokens</w:t>
            </w:r>
          </w:p>
        </w:tc>
        <w:tc>
          <w:tcPr>
            <w:tcW w:type="dxa" w:w="2880"/>
          </w:tcPr>
          <w:p>
            <w:r/>
            <w:r>
              <w:t>Tokens temporales (ligas de registro).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token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creado_por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recuperaciones</w:t>
            </w:r>
          </w:p>
        </w:tc>
        <w:tc>
          <w:tcPr>
            <w:tcW w:type="dxa" w:w="2880"/>
          </w:tcPr>
          <w:p>
            <w:r/>
            <w:r>
              <w:t>Códigos de recuperación de contraseña.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correo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codigo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fecha_creacion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tipos_registros</w:t>
            </w:r>
          </w:p>
        </w:tc>
        <w:tc>
          <w:tcPr>
            <w:tcW w:type="dxa" w:w="2880"/>
          </w:tcPr>
          <w:p>
            <w:r/>
            <w:r>
              <w:t>Catálogo de tipos de registro.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color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tipos_documentos</w:t>
            </w:r>
          </w:p>
        </w:tc>
        <w:tc>
          <w:tcPr>
            <w:tcW w:type="dxa" w:w="2880"/>
          </w:tcPr>
          <w:p>
            <w:r/>
            <w:r>
              <w:t>Catálogo de tipos de documento.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extensiones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tipos_eventos</w:t>
            </w:r>
          </w:p>
        </w:tc>
        <w:tc>
          <w:tcPr>
            <w:tcW w:type="dxa" w:w="2880"/>
          </w:tcPr>
          <w:p>
            <w:r/>
            <w:r>
              <w:t>Catálogo de tipos de evento.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color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tipos_dispositivos</w:t>
            </w:r>
          </w:p>
        </w:tc>
        <w:tc>
          <w:tcPr>
            <w:tcW w:type="dxa" w:w="2880"/>
          </w:tcPr>
          <w:p>
            <w:r/>
            <w:r>
              <w:t>Catálogo de tipos de dispositivo.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color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logs</w:t>
            </w:r>
          </w:p>
        </w:tc>
        <w:tc>
          <w:tcPr>
            <w:tcW w:type="dxa" w:w="2880"/>
          </w:tcPr>
          <w:p>
            <w:r/>
            <w:r>
              <w:t>Bitácora técnica de peticiones HTTP.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metodo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endpoint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ip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id_usuario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duracion_ms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fecha_creacion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contadores</w:t>
            </w:r>
          </w:p>
        </w:tc>
        <w:tc>
          <w:tcPr>
            <w:tcW w:type="dxa" w:w="2880"/>
          </w:tcPr>
          <w:p>
            <w:r/>
            <w:r>
              <w:t>Secuencias numéricas internas.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secuencia</w:t>
            </w:r>
            <w:r>
              <w:t>.</w:t>
            </w:r>
          </w:p>
        </w:tc>
      </w:tr>
    </w:tbl>
    <w:p/>
    <w:p>
      <w:pPr>
        <w:pStyle w:val="Heading2"/>
      </w:pPr>
      <w:r/>
      <w:r>
        <w:t>3. Relaciones principales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Origen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Destino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usuarios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id_puesto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id_departamento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id_cubiculo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id_horario</w:t>
            </w:r>
          </w:p>
        </w:tc>
        <w:tc>
          <w:tcPr>
            <w:tcW w:type="dxa" w:w="2880"/>
          </w:tcPr>
          <w:p>
            <w:r/>
            <w:r>
              <w:t>catálogos respectivos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usuarios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accesos[]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accesos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empleados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id_horario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accesos[]</w:t>
            </w:r>
          </w:p>
        </w:tc>
        <w:tc>
          <w:tcPr>
            <w:tcW w:type="dxa" w:w="2880"/>
          </w:tcPr>
          <w:p>
            <w:r/>
            <w:r>
              <w:t>catálogos respectivos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visitantes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documentos[]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registros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id_anfitrion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usuarios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registros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documentos[]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id_pase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estatus[]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pases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eventos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eventos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id_registro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id_acceso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id_empleado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id_usuario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id_visitante</w:t>
            </w:r>
          </w:p>
        </w:tc>
        <w:tc>
          <w:tcPr>
            <w:tcW w:type="dxa" w:w="2880"/>
          </w:tcPr>
          <w:p>
            <w:r/>
            <w:r>
              <w:t>colecciones respectivas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documentos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validado_por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usuarios</w:t>
            </w:r>
          </w:p>
        </w:tc>
      </w:tr>
    </w:tbl>
    <w:p/>
    <w:p>
      <w:pPr>
        <w:pStyle w:val="Heading2"/>
      </w:pPr>
      <w:r/>
      <w:r>
        <w:t>4. Inicialización automática</w:t>
      </w:r>
    </w:p>
    <w:p>
      <w:r>
        <w:rPr>
          <w:rFonts w:ascii="Consolas" w:hAnsi="Consolas"/>
          <w:color w:val="C7254E"/>
        </w:rPr>
        <w:t>back/connection.ts</w:t>
      </w:r>
      <w:r>
        <w:t xml:space="preserve"> inicializa catálogos base si están vacíos: tipos de registro (Cita, Registro), tipos de documento (Identificación oficial, SUA, Permiso de entrada, etc.), tipos de evento (Pendiente, Accedió, Salida, Cancelada, Finalizada, etc.) y tipos de dispositivo (Sistema, QR, Panel AC).</w:t>
      </w:r>
    </w:p>
    <w:p>
      <w:pPr>
        <w:pStyle w:val="Heading2"/>
      </w:pPr>
      <w:r/>
      <w:r>
        <w:t>5. Consideraciones de protección de datos</w:t>
      </w:r>
    </w:p>
    <w:p>
      <w:pPr>
        <w:pStyle w:val="ListBullet"/>
      </w:pPr>
      <w:r>
        <w:rPr>
          <w:rFonts w:ascii="Consolas" w:hAnsi="Consolas"/>
          <w:color w:val="C7254E"/>
        </w:rPr>
        <w:t>contrasena</w:t>
      </w:r>
      <w:r>
        <w:t xml:space="preserve"> de usuarios: hash; nunca en claro.</w:t>
      </w:r>
    </w:p>
    <w:p>
      <w:pPr>
        <w:pStyle w:val="ListBullet"/>
      </w:pPr>
      <w:r>
        <w:t>Datos personales: minimización/enmascaramiento según perfil (Control 8.11).</w:t>
      </w:r>
    </w:p>
    <w:p>
      <w:pPr>
        <w:pStyle w:val="ListBullet"/>
      </w:pPr>
      <w:r>
        <w:rPr>
          <w:rFonts w:ascii="Consolas" w:hAnsi="Consolas"/>
          <w:color w:val="C7254E"/>
        </w:rPr>
        <w:t>logs</w:t>
      </w:r>
      <w:r>
        <w:t>: no deben almacenar contraseñas, tokens ni datos personales completos.</w:t>
      </w:r>
    </w:p>
    <w:p>
      <w:pPr>
        <w:pStyle w:val="ListBullet"/>
      </w:pPr>
      <w:r>
        <w:t>Anonimización disponible para personas dadas de baja.</w:t>
      </w:r>
    </w:p>
    <w:p>
      <w:r>
        <w:rPr>
          <w:rFonts w:ascii="Consolas" w:hAnsi="Consolas"/>
          <w:color w:val="C7254E"/>
        </w:rPr>
        <w:t>[Foto: vista de MongoDB Compass mostrando las colecciones del núcleo]</w:t>
      </w:r>
    </w:p>
    <w:p>
      <w:pPr>
        <w:pStyle w:val="Heading2"/>
      </w:pPr>
      <w:r/>
      <w: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Diccionario de Base de Datos — RE</w:t>
            </w:r>
          </w:p>
        </w:tc>
        <w:tc>
          <w:tcPr>
            <w:tcW w:type="dxa" w:w="1440"/>
          </w:tcPr>
          <w:p>
            <w:r/>
            <w:r>
              <w:t>DB-RE-001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