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Manual de Administración</w:t>
      </w:r>
    </w:p>
    <w:p>
      <w:pPr>
        <w:pStyle w:val="Heading2"/>
      </w:pPr>
      <w:r/>
      <w:r>
        <w:t>Recepción Electrónica (RE) — Base</w:t>
      </w:r>
    </w:p>
    <w:p>
      <w:r>
        <w:t>Guía para el administrador del sistema: configuración, roles, permisos y operación.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Administración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MA-RE-001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administración de la base.</w:t>
            </w:r>
          </w:p>
        </w:tc>
      </w:tr>
    </w:tbl>
    <w:p/>
    <w:p>
      <w:pPr>
        <w:pStyle w:val="Heading2"/>
      </w:pPr>
      <w:r/>
      <w:r>
        <w:t>1. Configuración inicial (setup)</w:t>
      </w:r>
    </w:p>
    <w:p>
      <w:r>
        <w:t>En una instalación nueva, el sistema muestra el flujo de configuración inicial para crear empresa, piso, acceso, usuario administrador y configuración general.</w:t>
      </w:r>
    </w:p>
    <w:p>
      <w:r>
        <w:rPr>
          <w:rFonts w:ascii="Consolas" w:hAnsi="Consolas"/>
          <w:color w:val="C7254E"/>
        </w:rPr>
        <w:t>[Foto: flujo de configuración inicial]</w:t>
      </w:r>
    </w:p>
    <w:p>
      <w:pPr>
        <w:pStyle w:val="Heading2"/>
      </w:pPr>
      <w:r/>
      <w:r>
        <w:t>2. Roles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Acceso administrativo amplio. Algunas rutas requieren además condición de root.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 y catálogos.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anfitrión; opera visitas asociadas.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Reportes, eventos, kiosco y visitantes.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Acceso a su perfil, documentos y QR propio.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Kiosco, visitantes, eventos y escáner QR.</w:t>
            </w:r>
          </w:p>
        </w:tc>
      </w:tr>
      <w:tr>
        <w:tc>
          <w:tcPr>
            <w:tcW w:type="dxa" w:w="2880"/>
          </w:tcPr>
          <w:p>
            <w:r/>
            <w:r>
              <w:t>≥ 100</w:t>
            </w:r>
          </w:p>
        </w:tc>
        <w:tc>
          <w:tcPr>
            <w:tcW w:type="dxa" w:w="2880"/>
          </w:tcPr>
          <w:p>
            <w:r/>
            <w:r>
              <w:t>Personalizado</w:t>
            </w:r>
          </w:p>
        </w:tc>
        <w:tc>
          <w:tcPr>
            <w:tcW w:type="dxa" w:w="2880"/>
          </w:tcPr>
          <w:p>
            <w:r/>
            <w:r>
              <w:t>Roles personalizados con visibilidad por configuración.</w:t>
            </w:r>
          </w:p>
        </w:tc>
      </w:tr>
    </w:tbl>
    <w:p/>
    <w:p>
      <w:r>
        <w:t>&gt; Otros roles (Asistencia, Validador, Empleado Campo, Contratista) se relacionan con módulos opcionales y se describen en sus documentos.</w:t>
      </w:r>
    </w:p>
    <w:p>
      <w:pPr>
        <w:pStyle w:val="Heading2"/>
      </w:pPr>
      <w:r/>
      <w:r>
        <w:t>3. Permisos</w:t>
      </w:r>
    </w:p>
    <w:p>
      <w:pPr>
        <w:pStyle w:val="ListBullet"/>
      </w:pPr>
      <w:r>
        <w:t xml:space="preserve">Backend: </w:t>
      </w:r>
      <w:r>
        <w:rPr>
          <w:rFonts w:ascii="Consolas" w:hAnsi="Consolas"/>
          <w:color w:val="C7254E"/>
        </w:rPr>
        <w:t>validarTokenYRol([...])</w:t>
      </w:r>
      <w:r>
        <w:t xml:space="preserve"> por ruta.</w:t>
      </w:r>
    </w:p>
    <w:p>
      <w:pPr>
        <w:pStyle w:val="ListBullet"/>
      </w:pPr>
      <w:r>
        <w:t>Frontend: cálculo de permisos por rol y banderas de configuración.</w:t>
      </w:r>
    </w:p>
    <w:p>
      <w:pPr>
        <w:pStyle w:val="ListBullet"/>
      </w:pPr>
      <w:r>
        <w:t>Menú: visibilidad por rol.</w:t>
      </w:r>
    </w:p>
    <w:p>
      <w:pPr>
        <w:pStyle w:val="ListBullet"/>
      </w:pPr>
      <w:r>
        <w:t>Usuario maestro/root: requerido para rutas críticas de configuración.</w:t>
      </w:r>
    </w:p>
    <w:p>
      <w:pPr>
        <w:pStyle w:val="Heading3"/>
      </w:pPr>
      <w:r/>
      <w:r>
        <w:t>3.1 Roles personalizados</w:t>
      </w:r>
    </w:p>
    <w:p>
      <w:r>
        <w:t xml:space="preserve">Desde </w:t>
      </w:r>
      <w:r>
        <w:rPr>
          <w:b/>
        </w:rPr>
        <w:t>Configuración</w:t>
      </w:r>
      <w:r>
        <w:t xml:space="preserve"> se pueden crear y eliminar roles personalizados (numeración ≥ 100), definiendo qué módulos son visibles para cada uno.</w:t>
      </w:r>
    </w:p>
    <w:p>
      <w:r>
        <w:rPr>
          <w:rFonts w:ascii="Consolas" w:hAnsi="Consolas"/>
          <w:color w:val="C7254E"/>
        </w:rPr>
        <w:t>[Foto: pantalla de creación de rol personalizado]</w:t>
      </w:r>
    </w:p>
    <w:p>
      <w:pPr>
        <w:pStyle w:val="Heading2"/>
      </w:pPr>
      <w:r/>
      <w:r>
        <w:t>4. Configuración general</w:t>
      </w:r>
    </w:p>
    <w:p>
      <w:r>
        <w:t xml:space="preserve">Desde </w:t>
      </w:r>
      <w:r>
        <w:rPr>
          <w:b/>
        </w:rPr>
        <w:t>Configuración</w:t>
      </w:r>
      <w:r>
        <w:t xml:space="preserve"> (rol administrador root) se administra:</w:t>
      </w:r>
    </w:p>
    <w:p>
      <w:pPr>
        <w:pStyle w:val="ListBullet"/>
      </w:pPr>
      <w:r>
        <w:t>Nombre de la aplicación y tema visual.</w:t>
      </w:r>
    </w:p>
    <w:p>
      <w:pPr>
        <w:pStyle w:val="ListBullet"/>
      </w:pPr>
      <w:r>
        <w:t>Zona horaria.</w:t>
      </w:r>
    </w:p>
    <w:p>
      <w:pPr>
        <w:pStyle w:val="ListBullet"/>
      </w:pPr>
      <w:r>
        <w:t>Correo de cuentas.</w:t>
      </w:r>
    </w:p>
    <w:p>
      <w:pPr>
        <w:pStyle w:val="ListBullet"/>
      </w:pPr>
      <w:r>
        <w:t>Tiempos (por ejemplo, auto-cancelación de registros).</w:t>
      </w:r>
    </w:p>
    <w:p>
      <w:pPr>
        <w:pStyle w:val="ListBullet"/>
      </w:pPr>
      <w:r>
        <w:t>Documentos requeridos.</w:t>
      </w:r>
    </w:p>
    <w:p>
      <w:pPr>
        <w:pStyle w:val="ListBullet"/>
      </w:pPr>
      <w:r>
        <w:t>Activación de módulos opcionales.</w:t>
      </w:r>
    </w:p>
    <w:p>
      <w:r>
        <w:rPr>
          <w:rFonts w:ascii="Consolas" w:hAnsi="Consolas"/>
          <w:color w:val="C7254E"/>
        </w:rPr>
        <w:t>[Foto: pantalla de configuración general]</w:t>
      </w:r>
    </w:p>
    <w:p>
      <w:pPr>
        <w:pStyle w:val="Heading2"/>
      </w:pPr>
      <w:r/>
      <w:r>
        <w:t>5. Activación de módulos opcionales</w:t>
      </w:r>
    </w:p>
    <w:p>
      <w:r>
        <w:t>Los módulos opcionales se activan mediante:</w:t>
      </w:r>
    </w:p>
    <w:p>
      <w:pPr>
        <w:pStyle w:val="ListBullet"/>
      </w:pPr>
      <w:r>
        <w:t xml:space="preserve">Banderas </w:t>
      </w:r>
      <w:r>
        <w:rPr>
          <w:rFonts w:ascii="Consolas" w:hAnsi="Consolas"/>
          <w:color w:val="C7254E"/>
        </w:rPr>
        <w:t>habilitar*</w:t>
      </w:r>
      <w:r>
        <w:t xml:space="preserve"> en configuración.</w:t>
      </w:r>
    </w:p>
    <w:p>
      <w:pPr>
        <w:pStyle w:val="ListBullet"/>
      </w:pPr>
      <w:r>
        <w:t xml:space="preserve">Variable </w:t>
      </w:r>
      <w:r>
        <w:rPr>
          <w:rFonts w:ascii="Consolas" w:hAnsi="Consolas"/>
          <w:color w:val="C7254E"/>
        </w:rPr>
        <w:t>INTEGRACIONES_VISIBLES</w:t>
      </w:r>
      <w:r>
        <w:t xml:space="preserve"> (lista por cliente) e </w:t>
      </w:r>
      <w:r>
        <w:rPr>
          <w:rFonts w:ascii="Consolas" w:hAnsi="Consolas"/>
          <w:color w:val="C7254E"/>
        </w:rPr>
        <w:t>INTEGRACIONES_VISIBILIDAD_MODO</w:t>
      </w:r>
      <w:r>
        <w:t xml:space="preserve"> (</w:t>
      </w:r>
      <w:r>
        <w:rPr>
          <w:rFonts w:ascii="Consolas" w:hAnsi="Consolas"/>
          <w:color w:val="C7254E"/>
        </w:rPr>
        <w:t>ALL</w:t>
      </w:r>
      <w:r>
        <w:t>/</w:t>
      </w:r>
      <w:r>
        <w:rPr>
          <w:rFonts w:ascii="Consolas" w:hAnsi="Consolas"/>
          <w:color w:val="C7254E"/>
        </w:rPr>
        <w:t>CLIENT</w:t>
      </w:r>
      <w:r>
        <w:t>).</w:t>
      </w:r>
    </w:p>
    <w:p>
      <w:r>
        <w:rPr>
          <w:rFonts w:ascii="Consolas" w:hAnsi="Consolas"/>
          <w:color w:val="C7254E"/>
        </w:rPr>
        <w:t>[Foto: pantalla de integraciones/módulos en configuración]</w:t>
      </w:r>
    </w:p>
    <w:p>
      <w:pPr>
        <w:pStyle w:val="Heading2"/>
      </w:pPr>
      <w:r/>
      <w:r>
        <w:t>6. Administración de catálogos</w:t>
      </w:r>
    </w:p>
    <w:p>
      <w:r>
        <w:t>Mantenga actualizados los catálogos base: empresas, pisos, accesos, puestos, departamentos, cubículos, horarios y pases. Cada uno permite crear, editar y activar/inactivar.</w:t>
      </w:r>
    </w:p>
    <w:p>
      <w:r>
        <w:rPr>
          <w:rFonts w:ascii="Consolas" w:hAnsi="Consolas"/>
          <w:color w:val="C7254E"/>
        </w:rPr>
        <w:t>[Foto: administración de catálogo de accesos]</w:t>
      </w:r>
    </w:p>
    <w:p>
      <w:pPr>
        <w:pStyle w:val="Heading2"/>
      </w:pPr>
      <w:r/>
      <w:r>
        <w:t>7. Gestión de usuarios</w:t>
      </w:r>
    </w:p>
    <w:p>
      <w:pPr>
        <w:pStyle w:val="ListBullet"/>
      </w:pPr>
      <w:r>
        <w:t>Alta, edición y cambio de estado.</w:t>
      </w:r>
    </w:p>
    <w:p>
      <w:pPr>
        <w:pStyle w:val="ListBullet"/>
      </w:pPr>
      <w:r>
        <w:t>Desbloqueo de cuentas bloqueadas por intentos fallidos.</w:t>
      </w:r>
    </w:p>
    <w:p>
      <w:pPr>
        <w:pStyle w:val="ListBullet"/>
      </w:pPr>
      <w:r>
        <w:t>Anonimización y eliminación permanente conforme a la política de protección de datos.</w:t>
      </w:r>
    </w:p>
    <w:p>
      <w:r>
        <w:rPr>
          <w:rFonts w:ascii="Consolas" w:hAnsi="Consolas"/>
          <w:color w:val="C7254E"/>
        </w:rPr>
        <w:t>[Foto: gestión de usuarios con acción de desbloqueo]</w:t>
      </w:r>
    </w:p>
    <w:p>
      <w:pPr>
        <w:pStyle w:val="Heading2"/>
      </w:pPr>
      <w:r/>
      <w:r>
        <w:t>8. Operación y monitoreo</w:t>
      </w:r>
    </w:p>
    <w:p>
      <w:pPr>
        <w:pStyle w:val="ListBullet"/>
      </w:pPr>
      <w:r>
        <w:t>Procesos gestionados con PM2 (</w:t>
      </w:r>
      <w:r>
        <w:rPr>
          <w:rFonts w:ascii="Consolas" w:hAnsi="Consolas"/>
          <w:color w:val="C7254E"/>
        </w:rPr>
        <w:t>pm2 list</w:t>
      </w:r>
      <w:r>
        <w:t xml:space="preserve">, </w:t>
      </w:r>
      <w:r>
        <w:rPr>
          <w:rFonts w:ascii="Consolas" w:hAnsi="Consolas"/>
          <w:color w:val="C7254E"/>
        </w:rPr>
        <w:t>pm2 logs</w:t>
      </w:r>
      <w:r>
        <w:t xml:space="preserve">, </w:t>
      </w:r>
      <w:r>
        <w:rPr>
          <w:rFonts w:ascii="Consolas" w:hAnsi="Consolas"/>
          <w:color w:val="C7254E"/>
        </w:rPr>
        <w:t>pm2 restart</w:t>
      </w:r>
      <w:r>
        <w:t>).</w:t>
      </w:r>
    </w:p>
    <w:p>
      <w:pPr>
        <w:pStyle w:val="ListBullet"/>
      </w:pPr>
      <w:r>
        <w:t xml:space="preserve">Bitácora técnica de peticiones en la colección </w:t>
      </w:r>
      <w:r>
        <w:rPr>
          <w:rFonts w:ascii="Consolas" w:hAnsi="Consolas"/>
          <w:color w:val="C7254E"/>
        </w:rPr>
        <w:t>logs</w:t>
      </w:r>
      <w:r>
        <w:t>.</w:t>
      </w:r>
    </w:p>
    <w:p>
      <w:pPr>
        <w:pStyle w:val="ListBullet"/>
      </w:pPr>
      <w:r>
        <w:t>Revisión periódica de accesos y usuarios (alineado con PSI.05).</w:t>
      </w:r>
    </w:p>
    <w:p>
      <w:r>
        <w:rPr>
          <w:rFonts w:ascii="Consolas" w:hAnsi="Consolas"/>
          <w:color w:val="C7254E"/>
        </w:rPr>
        <w:t>[Foto: salida de pm2 list]</w:t>
      </w:r>
    </w:p>
    <w:p>
      <w:pPr>
        <w:pStyle w:val="Heading2"/>
      </w:pPr>
      <w:r/>
      <w:r>
        <w:t>9. Respaldos</w:t>
      </w:r>
    </w:p>
    <w:p>
      <w:pPr>
        <w:pStyle w:val="ListBullet"/>
      </w:pPr>
      <w:r>
        <w:t>Respaldo periódico de MongoDB (</w:t>
      </w:r>
      <w:r>
        <w:rPr>
          <w:rFonts w:ascii="Consolas" w:hAnsi="Consolas"/>
          <w:color w:val="C7254E"/>
        </w:rPr>
        <w:t>mongodump</w:t>
      </w:r>
      <w:r>
        <w:t>).</w:t>
      </w:r>
    </w:p>
    <w:p>
      <w:pPr>
        <w:pStyle w:val="ListBullet"/>
      </w:pPr>
      <w:r>
        <w:t xml:space="preserve">Resguardo de archivos </w:t>
      </w:r>
      <w:r>
        <w:rPr>
          <w:rFonts w:ascii="Consolas" w:hAnsi="Consolas"/>
          <w:color w:val="C7254E"/>
        </w:rPr>
        <w:t>.env</w:t>
      </w:r>
      <w:r>
        <w:t xml:space="preserve"> y certificados.</w:t>
      </w:r>
    </w:p>
    <w:p>
      <w:pPr>
        <w:pStyle w:val="ListBullet"/>
      </w:pPr>
      <w:r>
        <w:t>Registro de fecha y responsable de cada respaldo.</w:t>
      </w:r>
    </w:p>
    <w:p>
      <w:pPr>
        <w:pStyle w:val="Heading2"/>
      </w:pPr>
      <w:r/>
      <w:r>
        <w:t>10. Buenas prácticas de seguridad (ISO)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Acción del administrador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Mínimo privilegio</w:t>
            </w:r>
          </w:p>
        </w:tc>
        <w:tc>
          <w:tcPr>
            <w:tcW w:type="dxa" w:w="2880"/>
          </w:tcPr>
          <w:p>
            <w:r/>
            <w:r>
              <w:t>Asignar solo los accesos necesarios por rol.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Revisión de accesos</w:t>
            </w:r>
          </w:p>
        </w:tc>
        <w:tc>
          <w:tcPr>
            <w:tcW w:type="dxa" w:w="2880"/>
          </w:tcPr>
          <w:p>
            <w:r/>
            <w:r>
              <w:t>Revisar usuarios activos/inactivos periódicamente.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Protección de datos</w:t>
            </w:r>
          </w:p>
        </w:tc>
        <w:tc>
          <w:tcPr>
            <w:tcW w:type="dxa" w:w="2880"/>
          </w:tcPr>
          <w:p>
            <w:r/>
            <w:r>
              <w:t>Aplicar minimización/anonimización cuando corresponda.</w:t>
            </w:r>
          </w:p>
        </w:tc>
        <w:tc>
          <w:tcPr>
            <w:tcW w:type="dxa" w:w="2880"/>
          </w:tcPr>
          <w:p>
            <w:r/>
            <w:r>
              <w:t>Control 8.11</w:t>
            </w:r>
          </w:p>
        </w:tc>
      </w:tr>
      <w:tr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Conservar bitácora de cambios relevantes.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Secretos</w:t>
            </w:r>
          </w:p>
        </w:tc>
        <w:tc>
          <w:tcPr>
            <w:tcW w:type="dxa" w:w="2880"/>
          </w:tcPr>
          <w:p>
            <w:r/>
            <w:r>
              <w:t xml:space="preserve">No exponer </w:t>
            </w:r>
            <w:r>
              <w:rPr>
                <w:rFonts w:ascii="Consolas" w:hAnsi="Consolas"/>
                <w:color w:val="C7254E"/>
              </w:rPr>
              <w:t>.env</w:t>
            </w:r>
            <w:r>
              <w:t xml:space="preserve"> ni certificados.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</w:tbl>
    <w:p/>
    <w:p>
      <w:pPr>
        <w:pStyle w:val="Heading2"/>
      </w:pPr>
      <w:r/>
      <w: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Administración — RE</w:t>
            </w:r>
          </w:p>
        </w:tc>
        <w:tc>
          <w:tcPr>
            <w:tcW w:type="dxa" w:w="1440"/>
          </w:tcPr>
          <w:p>
            <w:r/>
            <w:r>
              <w:t>MA-RE-001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