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9"/>
        </w:rPr>
        <w:t>Documento Funcional / Alcance</w:t>
      </w:r>
    </w:p>
    <w:p>
      <w:pPr>
        <w:pStyle w:val="Heading2"/>
      </w:pPr>
      <w:r>
        <w:rPr>
          <w:color w:val="1F4E79"/>
        </w:rPr>
        <w:t>Recepción Electrónica — Módulo Capacitaciones Públicas</w:t>
      </w:r>
    </w:p>
    <w:p>
      <w:r>
        <w:t>Versión 1.0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t>Tipo de documento</w:t>
            </w:r>
          </w:p>
        </w:tc>
        <w:tc>
          <w:tcPr>
            <w:tcW w:type="dxa" w:w="4320"/>
          </w:tcPr>
          <w:p>
            <w:r/>
            <w:r>
              <w:t>Documento Funcional / Alcance (módulo opcional)</w:t>
            </w:r>
          </w:p>
        </w:tc>
      </w:tr>
      <w:tr>
        <w:tc>
          <w:tcPr>
            <w:tcW w:type="dxa" w:w="4320"/>
          </w:tcPr>
          <w:p>
            <w:r/>
            <w:r>
              <w:t>Código</w:t>
            </w:r>
          </w:p>
        </w:tc>
        <w:tc>
          <w:tcPr>
            <w:tcW w:type="dxa" w:w="4320"/>
          </w:tcPr>
          <w:p>
            <w:r/>
            <w:r>
              <w:t>INT-004-DF</w:t>
            </w:r>
          </w:p>
        </w:tc>
      </w:tr>
      <w:tr>
        <w:tc>
          <w:tcPr>
            <w:tcW w:type="dxa" w:w="4320"/>
          </w:tcPr>
          <w:p>
            <w:r/>
            <w:r>
              <w:t>Módulo</w:t>
            </w:r>
          </w:p>
        </w:tc>
        <w:tc>
          <w:tcPr>
            <w:tcW w:type="dxa" w:w="4320"/>
          </w:tcPr>
          <w:p>
            <w:r/>
            <w:r>
              <w:t>Capacitaciones Públicas</w:t>
            </w:r>
          </w:p>
        </w:tc>
      </w:tr>
      <w:tr>
        <w:tc>
          <w:tcPr>
            <w:tcW w:type="dxa" w:w="4320"/>
          </w:tcPr>
          <w:p>
            <w:r/>
            <w:r>
              <w:t>Producto base</w:t>
            </w:r>
          </w:p>
        </w:tc>
        <w:tc>
          <w:tcPr>
            <w:tcW w:type="dxa" w:w="4320"/>
          </w:tcPr>
          <w:p>
            <w:r/>
            <w:r>
              <w:t>Recepción Electrónica (RE)</w:t>
            </w:r>
          </w:p>
        </w:tc>
      </w:tr>
      <w:tr>
        <w:tc>
          <w:tcPr>
            <w:tcW w:type="dxa" w:w="4320"/>
          </w:tcPr>
          <w:p>
            <w:r/>
            <w:r>
              <w:t>Versión</w:t>
            </w:r>
          </w:p>
        </w:tc>
        <w:tc>
          <w:tcPr>
            <w:tcW w:type="dxa" w:w="4320"/>
          </w:tcPr>
          <w:p>
            <w:r/>
            <w: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t>Fecha</w:t>
            </w:r>
          </w:p>
        </w:tc>
        <w:tc>
          <w:tcPr>
            <w:tcW w:type="dxa" w:w="4320"/>
          </w:tcPr>
          <w:p>
            <w:r/>
            <w:r>
              <w:t>2026-06-24</w:t>
            </w:r>
          </w:p>
        </w:tc>
      </w:tr>
      <w:tr>
        <w:tc>
          <w:tcPr>
            <w:tcW w:type="dxa" w:w="4320"/>
          </w:tcPr>
          <w:p>
            <w:r/>
            <w:r>
              <w:t>Responsable</w:t>
            </w:r>
          </w:p>
        </w:tc>
        <w:tc>
          <w:tcPr>
            <w:tcW w:type="dxa" w:w="4320"/>
          </w:tcPr>
          <w:p>
            <w:r/>
            <w:r>
              <w:t>Área de Sistemas / Desarrollo</w:t>
            </w:r>
          </w:p>
        </w:tc>
      </w:tr>
      <w:tr>
        <w:tc>
          <w:tcPr>
            <w:tcW w:type="dxa" w:w="4320"/>
          </w:tcPr>
          <w:p>
            <w:r/>
            <w:r>
              <w:t>Clasificación</w:t>
            </w:r>
          </w:p>
        </w:tc>
        <w:tc>
          <w:tcPr>
            <w:tcW w:type="dxa" w:w="4320"/>
          </w:tcPr>
          <w:p>
            <w:r/>
            <w:r>
              <w:t>Uso interno / Cliente</w:t>
            </w:r>
          </w:p>
        </w:tc>
      </w:tr>
      <w:tr>
        <w:tc>
          <w:tcPr>
            <w:tcW w:type="dxa" w:w="4320"/>
          </w:tcPr>
          <w:p>
            <w:r/>
            <w:r>
              <w:t>Estado</w:t>
            </w:r>
          </w:p>
        </w:tc>
        <w:tc>
          <w:tcPr>
            <w:tcW w:type="dxa" w:w="4320"/>
          </w:tcPr>
          <w:p>
            <w:r/>
            <w:r>
              <w:t>Vigente</w:t>
            </w:r>
          </w:p>
        </w:tc>
      </w:tr>
    </w:tbl>
    <w:p/>
    <w:p>
      <w:pPr>
        <w:ind w:left="360"/>
      </w:pPr>
      <w:r>
        <w:t xml:space="preserve">Documento autocontenido. El </w:t>
      </w:r>
      <w:r>
        <w:rPr>
          <w:b/>
        </w:rPr>
        <w:t>Manual de Usuario</w:t>
      </w:r>
      <w:r>
        <w:t xml:space="preserve"> (INT-004-MU) describe la operación pantalla por pantalla.</w:t>
      </w:r>
    </w:p>
    <w:p>
      <w:pPr>
        <w:pStyle w:val="Heading2"/>
      </w:pPr>
      <w:r>
        <w:rPr>
          <w:color w:val="1F4E79"/>
        </w:rPr>
        <w:t>Control de versiones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Versión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Autor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1.0</w:t>
            </w:r>
          </w:p>
        </w:tc>
        <w:tc>
          <w:tcPr>
            <w:tcW w:type="dxa" w:w="2160"/>
          </w:tcPr>
          <w:p>
            <w:r/>
            <w:r>
              <w:t>2026-06-24</w:t>
            </w:r>
          </w:p>
        </w:tc>
        <w:tc>
          <w:tcPr>
            <w:tcW w:type="dxa" w:w="2160"/>
          </w:tcPr>
          <w:p>
            <w:r/>
            <w:r>
              <w:t>Área de Sistemas / Desarrollo</w:t>
            </w:r>
          </w:p>
        </w:tc>
        <w:tc>
          <w:tcPr>
            <w:tcW w:type="dxa" w:w="2160"/>
          </w:tcPr>
          <w:p>
            <w:r/>
            <w:r>
              <w:t>Versión inicial del documento funcional de Capacitaciones.</w:t>
            </w:r>
          </w:p>
        </w:tc>
      </w:tr>
    </w:tbl>
    <w:p/>
    <w:p>
      <w:pPr>
        <w:pStyle w:val="Heading2"/>
      </w:pPr>
      <w:r>
        <w:rPr>
          <w:color w:val="1F4E79"/>
        </w:rPr>
        <w:t>Contenido</w:t>
      </w:r>
    </w:p>
    <w:p>
      <w:pPr>
        <w:pStyle w:val="ListNumber"/>
      </w:pPr>
      <w:r>
        <w:t>Qué hace la integración</w:t>
      </w:r>
    </w:p>
    <w:p>
      <w:pPr>
        <w:pStyle w:val="ListNumber"/>
      </w:pPr>
      <w:r>
        <w:t>Qué problema resuelve</w:t>
      </w:r>
    </w:p>
    <w:p>
      <w:pPr>
        <w:pStyle w:val="ListNumber"/>
      </w:pPr>
      <w:r>
        <w:t>Qué módulos toca</w:t>
      </w:r>
    </w:p>
    <w:p>
      <w:pPr>
        <w:pStyle w:val="ListNumber"/>
      </w:pPr>
      <w:r>
        <w:t>Cómo se prende y se apaga</w:t>
      </w:r>
    </w:p>
    <w:p>
      <w:pPr>
        <w:pStyle w:val="ListNumber"/>
      </w:pPr>
      <w:r>
        <w:t>Flujo principal</w:t>
      </w:r>
    </w:p>
    <w:p>
      <w:pPr>
        <w:pStyle w:val="ListNumber"/>
      </w:pPr>
      <w:r>
        <w:t>Reglas de negocio</w:t>
      </w:r>
    </w:p>
    <w:p>
      <w:pPr>
        <w:pStyle w:val="ListNumber"/>
      </w:pPr>
      <w:r>
        <w:t>Dentro y fuera del alcance</w:t>
      </w:r>
    </w:p>
    <w:p>
      <w:pPr>
        <w:pStyle w:val="ListNumber"/>
      </w:pPr>
      <w:r>
        <w:t>Errores esperados y casos especiales</w:t>
      </w:r>
    </w:p>
    <w:p>
      <w:pPr>
        <w:pStyle w:val="ListNumber"/>
      </w:pPr>
      <w:r>
        <w:t>Control documental</w:t>
      </w:r>
    </w:p>
    <w:p>
      <w:pPr>
        <w:pStyle w:val="Heading2"/>
      </w:pPr>
      <w:r>
        <w:rPr>
          <w:color w:val="1F4E79"/>
        </w:rPr>
        <w:t>1. Qué hace la integración</w:t>
      </w:r>
    </w:p>
    <w:p>
      <w:r>
        <w:t xml:space="preserve">El módulo </w:t>
      </w:r>
      <w:r>
        <w:rPr>
          <w:b/>
        </w:rPr>
        <w:t>Capacitaciones</w:t>
      </w:r>
      <w:r>
        <w:t xml:space="preserve"> permite crear contenidos de capacitación por </w:t>
      </w:r>
      <w:r>
        <w:rPr>
          <w:b/>
        </w:rPr>
        <w:t>pasos y bloques</w:t>
      </w:r>
      <w:r>
        <w:t xml:space="preserve">, publicarlos mediante una </w:t>
      </w:r>
      <w:r>
        <w:rPr>
          <w:b/>
        </w:rPr>
        <w:t>liga pública</w:t>
      </w:r>
      <w:r>
        <w:t xml:space="preserve"> (sin necesidad de iniciar sesión) y </w:t>
      </w:r>
      <w:r>
        <w:rPr>
          <w:b/>
        </w:rPr>
        <w:t>registrar los resultados</w:t>
      </w:r>
      <w:r>
        <w:t xml:space="preserve"> de quienes los completan.</w:t>
      </w:r>
    </w:p>
    <w:p>
      <w:pPr>
        <w:pStyle w:val="Heading2"/>
      </w:pPr>
      <w:r>
        <w:rPr>
          <w:color w:val="1F4E79"/>
        </w:rPr>
        <w:t>2. Qué problema resuelve</w:t>
      </w:r>
    </w:p>
    <w:p>
      <w:r>
        <w:t xml:space="preserve">Permite que visitantes, contratistas o personal completen una </w:t>
      </w:r>
      <w:r>
        <w:rPr>
          <w:b/>
        </w:rPr>
        <w:t>inducción/capacitación</w:t>
      </w:r>
      <w:r>
        <w:t xml:space="preserve"> antes o durante su visita, mediante un enlace, y deja </w:t>
      </w:r>
      <w:r>
        <w:rPr>
          <w:b/>
        </w:rPr>
        <w:t>evidencia</w:t>
      </w:r>
      <w:r>
        <w:t xml:space="preserve"> de quién la completó. Evita procesos manuales de inducción y centraliza el material y los resultados.</w:t>
      </w:r>
    </w:p>
    <w:p>
      <w:pPr>
        <w:pStyle w:val="Heading2"/>
      </w:pPr>
      <w:r>
        <w:rPr>
          <w:color w:val="1F4E79"/>
        </w:rPr>
        <w:t>3. Qué módulos toca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Módulo base</w:t>
            </w:r>
          </w:p>
        </w:tc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Cómo lo toca</w:t>
            </w:r>
          </w:p>
        </w:tc>
      </w:tr>
      <w:tr>
        <w:tc>
          <w:tcPr>
            <w:tcW w:type="dxa" w:w="4320"/>
          </w:tcPr>
          <w:p>
            <w:r/>
            <w:r>
              <w:t>Configuración</w:t>
            </w:r>
          </w:p>
        </w:tc>
        <w:tc>
          <w:tcPr>
            <w:tcW w:type="dxa" w:w="4320"/>
          </w:tcPr>
          <w:p>
            <w:r/>
            <w:r>
              <w:t>Se activa/desactiva el módulo.</w:t>
            </w:r>
          </w:p>
        </w:tc>
      </w:tr>
      <w:tr>
        <w:tc>
          <w:tcPr>
            <w:tcW w:type="dxa" w:w="4320"/>
          </w:tcPr>
          <w:p>
            <w:r/>
            <w:r>
              <w:t>Correo / difusión</w:t>
            </w:r>
          </w:p>
        </w:tc>
        <w:tc>
          <w:tcPr>
            <w:tcW w:type="dxa" w:w="4320"/>
          </w:tcPr>
          <w:p>
            <w:r/>
            <w:r>
              <w:t>La liga pública se comparte con los participantes.</w:t>
            </w:r>
          </w:p>
        </w:tc>
      </w:tr>
      <w:tr>
        <w:tc>
          <w:tcPr>
            <w:tcW w:type="dxa" w:w="4320"/>
          </w:tcPr>
          <w:p>
            <w:r/>
            <w:r>
              <w:t>(Independiente del control de acceso)</w:t>
            </w:r>
          </w:p>
        </w:tc>
        <w:tc>
          <w:tcPr>
            <w:tcW w:type="dxa" w:w="4320"/>
          </w:tcPr>
          <w:p>
            <w:r/>
            <w:r>
              <w:t>No opera puertas; es contenido y resultados.</w:t>
            </w:r>
          </w:p>
        </w:tc>
      </w:tr>
    </w:tbl>
    <w:p/>
    <w:p>
      <w:pPr>
        <w:pStyle w:val="Heading2"/>
      </w:pPr>
      <w:r>
        <w:rPr>
          <w:color w:val="1F4E79"/>
        </w:rPr>
        <w:t>4. Cómo se prende y se apaga</w:t>
      </w:r>
    </w:p>
    <w:p>
      <w:r>
        <w:t xml:space="preserve">Se controla desde </w:t>
      </w:r>
      <w:r>
        <w:rPr>
          <w:b/>
        </w:rPr>
        <w:t>Configuración → pestaña Integraciones</w:t>
      </w:r>
      <w:r>
        <w:t>, con el interruptor:</w:t>
      </w:r>
    </w:p>
    <w:p>
      <w:pPr>
        <w:ind w:left="360"/>
      </w:pPr>
      <w:r>
        <w:rPr>
          <w:b/>
        </w:rPr>
        <w:t>"Capacitaciones públicas"</w:t>
      </w:r>
      <w:r>
        <w:t xml:space="preserve"> — *"Habilita el módulo privado de capacitaciones y las rutas públicas para cursos guiados."*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Estado</w:t>
            </w:r>
          </w:p>
        </w:tc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Qué ocurre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Encendido</w:t>
            </w:r>
          </w:p>
        </w:tc>
        <w:tc>
          <w:tcPr>
            <w:tcW w:type="dxa" w:w="4320"/>
          </w:tcPr>
          <w:p>
            <w:r/>
            <w:r>
              <w:t xml:space="preserve">Aparece el menú </w:t>
            </w:r>
            <w:r>
              <w:rPr>
                <w:b/>
              </w:rPr>
              <w:t>Capacitaciones</w:t>
            </w:r>
            <w:r>
              <w:t xml:space="preserve"> (roles Administrador y Recepción) y se habilitan las </w:t>
            </w:r>
            <w:r>
              <w:rPr>
                <w:b/>
              </w:rPr>
              <w:t>rutas públicas</w:t>
            </w:r>
            <w:r>
              <w:t xml:space="preserve"> de los cursos.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Apagado</w:t>
            </w:r>
          </w:p>
        </w:tc>
        <w:tc>
          <w:tcPr>
            <w:tcW w:type="dxa" w:w="4320"/>
          </w:tcPr>
          <w:p>
            <w:r/>
            <w:r>
              <w:t xml:space="preserve">Se oculta el menú y </w:t>
            </w:r>
            <w:r>
              <w:rPr>
                <w:b/>
              </w:rPr>
              <w:t>todas las rutas de capacitaciones se desactivan</w:t>
            </w:r>
            <w:r>
              <w:t>: el acceso público responde con un error controlado (no encontrado / módulo desactivado).</w:t>
            </w:r>
          </w:p>
        </w:tc>
      </w:tr>
    </w:tbl>
    <w:p/>
    <w:p>
      <w:r>
        <w:rPr>
          <w:b/>
        </w:rPr>
        <w:t>Consideraciones importantes:</w:t>
      </w:r>
    </w:p>
    <w:p>
      <w:pPr>
        <w:pStyle w:val="ListBullet"/>
      </w:pPr>
      <w:r>
        <w:t xml:space="preserve">Bandera técnica: </w:t>
      </w:r>
      <w:r>
        <w:rPr>
          <w:rFonts w:ascii="Consolas" w:hAnsi="Consolas"/>
        </w:rPr>
        <w:t>configuraciones.habilitarCapacitacionPublica</w:t>
      </w:r>
      <w:r>
        <w:t>.</w:t>
      </w:r>
    </w:p>
    <w:p>
      <w:pPr>
        <w:pStyle w:val="ListBullet"/>
      </w:pPr>
      <w:r>
        <w:t xml:space="preserve">Un </w:t>
      </w:r>
      <w:r>
        <w:rPr>
          <w:b/>
        </w:rPr>
        <w:t>middleware</w:t>
      </w:r>
      <w:r>
        <w:t xml:space="preserve"> protege las rutas: cuando el módulo está apagado, las peticiones a capacitaciones devuelven </w:t>
      </w:r>
      <w:r>
        <w:rPr>
          <w:b/>
        </w:rPr>
        <w:t>404</w:t>
      </w:r>
      <w:r>
        <w:t xml:space="preserve"> con el código </w:t>
      </w:r>
      <w:r>
        <w:rPr>
          <w:rFonts w:ascii="Consolas" w:hAnsi="Consolas"/>
        </w:rPr>
        <w:t>CAPACITACION_PUBLICA_DESACTIVADA</w:t>
      </w:r>
      <w:r>
        <w:t>.</w:t>
      </w:r>
    </w:p>
    <w:p>
      <w:pPr>
        <w:pStyle w:val="ListBullet"/>
      </w:pPr>
      <w:r>
        <w:t xml:space="preserve">Apagar el módulo </w:t>
      </w:r>
      <w:r>
        <w:rPr>
          <w:b/>
        </w:rPr>
        <w:t>no desactiva usuarios</w:t>
      </w:r>
      <w:r>
        <w:t xml:space="preserve"> (a diferencia de otras integraciones); solo bloquea el contenido.</w:t>
      </w:r>
    </w:p>
    <w:p>
      <w:pPr>
        <w:pStyle w:val="ListBullet"/>
      </w:pPr>
      <w:r>
        <w:t xml:space="preserve">La </w:t>
      </w:r>
      <w:r>
        <w:rPr>
          <w:b/>
        </w:rPr>
        <w:t>visibilidad</w:t>
      </w:r>
      <w:r>
        <w:t xml:space="preserve"> del interruptor depende de que </w:t>
      </w:r>
      <w:r>
        <w:rPr>
          <w:rFonts w:ascii="Consolas" w:hAnsi="Consolas"/>
        </w:rPr>
        <w:t>capacitacion_publica</w:t>
      </w:r>
      <w:r>
        <w:t xml:space="preserve"> esté en </w:t>
      </w:r>
      <w:r>
        <w:rPr>
          <w:rFonts w:ascii="Consolas" w:hAnsi="Consolas"/>
        </w:rPr>
        <w:t>INTEGRACIONES_VISIBLES</w:t>
      </w:r>
      <w:r>
        <w:t xml:space="preserve"> cuando el modo de visibilidad es por cliente.</w:t>
      </w:r>
    </w:p>
    <w:p>
      <w:pPr>
        <w:pStyle w:val="Heading2"/>
      </w:pPr>
      <w:r>
        <w:rPr>
          <w:color w:val="1F4E79"/>
        </w:rPr>
        <w:t>5. Flujo principal</w:t>
      </w:r>
    </w:p>
    <w:p>
      <w:pPr>
        <w:pStyle w:val="ListNumber"/>
      </w:pPr>
      <w:r>
        <w:t xml:space="preserve">El administrador </w:t>
      </w:r>
      <w:r>
        <w:rPr>
          <w:b/>
        </w:rPr>
        <w:t>crea</w:t>
      </w:r>
      <w:r>
        <w:t xml:space="preserve"> la capacitación, define </w:t>
      </w:r>
      <w:r>
        <w:rPr>
          <w:b/>
        </w:rPr>
        <w:t>pasos y bloques</w:t>
      </w:r>
      <w:r>
        <w:t xml:space="preserve"> y la </w:t>
      </w:r>
      <w:r>
        <w:rPr>
          <w:b/>
        </w:rPr>
        <w:t>publica</w:t>
      </w:r>
      <w:r>
        <w:t>.</w:t>
      </w:r>
    </w:p>
    <w:p>
      <w:pPr>
        <w:pStyle w:val="ListNumber"/>
      </w:pPr>
      <w:r>
        <w:t xml:space="preserve">Se comparte la </w:t>
      </w:r>
      <w:r>
        <w:rPr>
          <w:b/>
        </w:rPr>
        <w:t>liga pública</w:t>
      </w:r>
      <w:r>
        <w:t xml:space="preserve"> con los participantes.</w:t>
      </w:r>
    </w:p>
    <w:p>
      <w:pPr>
        <w:pStyle w:val="ListNumber"/>
      </w:pPr>
      <w:r>
        <w:t>El participante abre la liga (</w:t>
      </w:r>
      <w:r>
        <w:rPr>
          <w:b/>
        </w:rPr>
        <w:t>sin iniciar sesión</w:t>
      </w:r>
      <w:r>
        <w:t>) y completa los pasos según las reglas de avance.</w:t>
      </w:r>
    </w:p>
    <w:p>
      <w:pPr>
        <w:pStyle w:val="ListNumber"/>
      </w:pPr>
      <w:r>
        <w:t xml:space="preserve">Al finalizar, se </w:t>
      </w:r>
      <w:r>
        <w:rPr>
          <w:b/>
        </w:rPr>
        <w:t>envía el resultado</w:t>
      </w:r>
      <w:r>
        <w:t xml:space="preserve"> y queda almacenado.</w:t>
      </w:r>
    </w:p>
    <w:p>
      <w:pPr>
        <w:pStyle w:val="ListNumber"/>
      </w:pPr>
      <w:r>
        <w:t xml:space="preserve">El administrador </w:t>
      </w:r>
      <w:r>
        <w:rPr>
          <w:b/>
        </w:rPr>
        <w:t>consulta los resultados</w:t>
      </w:r>
      <w:r>
        <w:t>.</w:t>
      </w:r>
    </w:p>
    <w:p>
      <w:pPr>
        <w:ind w:left="360"/>
      </w:pPr>
      <w:r>
        <w:rPr>
          <w:b/>
          <w:color w:val="1F4E79"/>
        </w:rPr>
        <w:t>[Diagrama: Flujo del módulo Capacitaciones]</w:t>
      </w:r>
    </w:p>
    <w:p>
      <w:r>
        <w:rPr>
          <w:b/>
        </w:rPr>
        <w:t>Diagrama 1.</w:t>
      </w:r>
      <w:r>
        <w:t xml:space="preserve"> Flujo de Capacitaciones: de la creación del contenido a la liga pública y la consulta de resultados.</w:t>
      </w:r>
    </w:p>
    <w:p>
      <w:pPr>
        <w:pStyle w:val="Heading2"/>
      </w:pPr>
      <w:r>
        <w:rPr>
          <w:color w:val="1F4E79"/>
        </w:rPr>
        <w:t>6. Reglas de negocio</w:t>
      </w:r>
    </w:p>
    <w:p>
      <w:pPr>
        <w:pStyle w:val="ListBullet"/>
      </w:pPr>
      <w:r>
        <w:t xml:space="preserve">Estados de la capacitación: </w:t>
      </w:r>
      <w:r>
        <w:rPr>
          <w:b/>
        </w:rPr>
        <w:t>borrador</w:t>
      </w:r>
      <w:r>
        <w:t xml:space="preserve">, </w:t>
      </w:r>
      <w:r>
        <w:rPr>
          <w:b/>
        </w:rPr>
        <w:t>publicada</w:t>
      </w:r>
      <w:r>
        <w:t xml:space="preserve">, </w:t>
      </w:r>
      <w:r>
        <w:rPr>
          <w:b/>
        </w:rPr>
        <w:t>inactiva</w:t>
      </w:r>
      <w:r>
        <w:t xml:space="preserve">. Solo las </w:t>
      </w:r>
      <w:r>
        <w:rPr>
          <w:b/>
        </w:rPr>
        <w:t>publicadas</w:t>
      </w:r>
      <w:r>
        <w:t xml:space="preserve"> son accesibles por liga.</w:t>
      </w:r>
    </w:p>
    <w:p>
      <w:pPr>
        <w:pStyle w:val="ListBullet"/>
      </w:pPr>
      <w:r>
        <w:t>Tipos de bloque disponibles: identificación, texto, imagen, video, link, checklist, tarjetas, acordeón, pregunta, separador, documento y aviso.</w:t>
      </w:r>
    </w:p>
    <w:p>
      <w:pPr>
        <w:pStyle w:val="ListBullet"/>
      </w:pPr>
      <w:r>
        <w:t xml:space="preserve">Se pueden configurar </w:t>
      </w:r>
      <w:r>
        <w:rPr>
          <w:b/>
        </w:rPr>
        <w:t>reglas de avance</w:t>
      </w:r>
      <w:r>
        <w:t xml:space="preserve"> por paso (tiempo mínimo, ver bloques, responder preguntas, etc.).</w:t>
      </w:r>
    </w:p>
    <w:p>
      <w:pPr>
        <w:pStyle w:val="ListBullet"/>
      </w:pPr>
      <w:r>
        <w:t xml:space="preserve">Los datos del participante se </w:t>
      </w:r>
      <w:r>
        <w:rPr>
          <w:b/>
        </w:rPr>
        <w:t>minimizan</w:t>
      </w:r>
      <w:r>
        <w:t xml:space="preserve">; puede permitirse participación </w:t>
      </w:r>
      <w:r>
        <w:rPr>
          <w:b/>
        </w:rPr>
        <w:t>anónima</w:t>
      </w:r>
      <w:r>
        <w:t xml:space="preserve"> según configuración.</w:t>
      </w:r>
    </w:p>
    <w:p>
      <w:pPr>
        <w:pStyle w:val="Heading2"/>
      </w:pPr>
      <w:r>
        <w:rPr>
          <w:color w:val="1F4E79"/>
        </w:rPr>
        <w:t>7. Dentro y fuera del alcance</w:t>
      </w:r>
    </w:p>
    <w:p>
      <w:r>
        <w:rPr>
          <w:b/>
        </w:rPr>
        <w:t>Dentro del alcance:</w:t>
      </w:r>
    </w:p>
    <w:p>
      <w:pPr>
        <w:pStyle w:val="ListBullet"/>
      </w:pPr>
      <w:r>
        <w:t>Creación/edición/duplicado/eliminación de capacitaciones con pasos y bloques.</w:t>
      </w:r>
    </w:p>
    <w:p>
      <w:pPr>
        <w:pStyle w:val="ListBullet"/>
      </w:pPr>
      <w:r>
        <w:t>Estados (borrador/publicada/inactiva), vista previa y publicación por liga.</w:t>
      </w:r>
    </w:p>
    <w:p>
      <w:pPr>
        <w:pStyle w:val="ListBullet"/>
      </w:pPr>
      <w:r>
        <w:t>Acceso público sin login y registro/consulta de resultados.</w:t>
      </w:r>
    </w:p>
    <w:p>
      <w:r>
        <w:rPr>
          <w:b/>
        </w:rPr>
        <w:t>Fuera del alcance:</w:t>
      </w:r>
    </w:p>
    <w:p>
      <w:pPr>
        <w:pStyle w:val="ListBullet"/>
      </w:pPr>
      <w:r>
        <w:t xml:space="preserve">El </w:t>
      </w:r>
      <w:r>
        <w:rPr>
          <w:b/>
        </w:rPr>
        <w:t>control de acceso físico</w:t>
      </w:r>
      <w:r>
        <w:t xml:space="preserve"> o la vinculación obligatoria a una visita (es contenido y evidencia).</w:t>
      </w:r>
    </w:p>
    <w:p>
      <w:pPr>
        <w:pStyle w:val="ListBullet"/>
      </w:pPr>
      <w:r>
        <w:t>La difusión masiva del enlace por medios externos.</w:t>
      </w:r>
    </w:p>
    <w:p>
      <w:pPr>
        <w:pStyle w:val="Heading2"/>
      </w:pPr>
      <w:r>
        <w:rPr>
          <w:color w:val="1F4E79"/>
        </w:rPr>
        <w:t>8. Errores esperados y casos especiales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Situación</w:t>
            </w:r>
          </w:p>
        </w:tc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Qué pasa / qué hacer</w:t>
            </w:r>
          </w:p>
        </w:tc>
      </w:tr>
      <w:tr>
        <w:tc>
          <w:tcPr>
            <w:tcW w:type="dxa" w:w="4320"/>
          </w:tcPr>
          <w:p>
            <w:r/>
            <w:r>
              <w:t>La liga pública no abre</w:t>
            </w:r>
          </w:p>
        </w:tc>
        <w:tc>
          <w:tcPr>
            <w:tcW w:type="dxa" w:w="4320"/>
          </w:tcPr>
          <w:p>
            <w:r/>
            <w:r>
              <w:t xml:space="preserve">Verificar que el módulo esté </w:t>
            </w:r>
            <w:r>
              <w:rPr>
                <w:b/>
              </w:rPr>
              <w:t>encendido</w:t>
            </w:r>
            <w:r>
              <w:t xml:space="preserve"> y que la capacitación esté </w:t>
            </w:r>
            <w:r>
              <w:rPr>
                <w:b/>
              </w:rPr>
              <w:t>publicada</w:t>
            </w:r>
            <w:r>
              <w:t>; si el módulo está apagado, responde 404.</w:t>
            </w:r>
          </w:p>
        </w:tc>
      </w:tr>
      <w:tr>
        <w:tc>
          <w:tcPr>
            <w:tcW w:type="dxa" w:w="4320"/>
          </w:tcPr>
          <w:p>
            <w:r/>
            <w:r>
              <w:t>El participante no ve el contenido</w:t>
            </w:r>
          </w:p>
        </w:tc>
        <w:tc>
          <w:tcPr>
            <w:tcW w:type="dxa" w:w="4320"/>
          </w:tcPr>
          <w:p>
            <w:r/>
            <w:r>
              <w:t xml:space="preserve">Revisar el estado (debe estar </w:t>
            </w:r>
            <w:r>
              <w:rPr>
                <w:b/>
              </w:rPr>
              <w:t>publicada</w:t>
            </w:r>
            <w:r>
              <w:t>) y la vigencia del enlace/slug.</w:t>
            </w:r>
          </w:p>
        </w:tc>
      </w:tr>
      <w:tr>
        <w:tc>
          <w:tcPr>
            <w:tcW w:type="dxa" w:w="4320"/>
          </w:tcPr>
          <w:p>
            <w:r/>
            <w:r>
              <w:t>Contenido interno expuesto por error</w:t>
            </w:r>
          </w:p>
        </w:tc>
        <w:tc>
          <w:tcPr>
            <w:tcW w:type="dxa" w:w="4320"/>
          </w:tcPr>
          <w:p>
            <w:r/>
            <w:r>
              <w:t>Publicar solo lo necesario; el estado y el slug controlan el acceso.</w:t>
            </w:r>
          </w:p>
        </w:tc>
      </w:tr>
      <w:tr>
        <w:tc>
          <w:tcPr>
            <w:tcW w:type="dxa" w:w="4320"/>
          </w:tcPr>
          <w:p>
            <w:r/>
            <w:r>
              <w:t>Datos personales de más</w:t>
            </w:r>
          </w:p>
        </w:tc>
        <w:tc>
          <w:tcPr>
            <w:tcW w:type="dxa" w:w="4320"/>
          </w:tcPr>
          <w:p>
            <w:r/>
            <w:r>
              <w:t>Minimizar los datos solicitados o permitir participación anónima.</w:t>
            </w:r>
          </w:p>
        </w:tc>
      </w:tr>
    </w:tbl>
    <w:p/>
    <w:p>
      <w:pPr>
        <w:pStyle w:val="Heading2"/>
      </w:pPr>
      <w:r>
        <w:rPr>
          <w:color w:val="1F4E79"/>
        </w:rPr>
        <w:t>9. Control documental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Documento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Código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Versión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Fecha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Responsable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Estado</w:t>
            </w:r>
          </w:p>
        </w:tc>
      </w:tr>
      <w:tr>
        <w:tc>
          <w:tcPr>
            <w:tcW w:type="dxa" w:w="1440"/>
          </w:tcPr>
          <w:p>
            <w:r/>
            <w:r>
              <w:t>Documento Funcional / Alcance — Capacitaciones</w:t>
            </w:r>
          </w:p>
        </w:tc>
        <w:tc>
          <w:tcPr>
            <w:tcW w:type="dxa" w:w="1440"/>
          </w:tcPr>
          <w:p>
            <w:r/>
            <w:r>
              <w:t>INT-004-DF</w:t>
            </w:r>
          </w:p>
        </w:tc>
        <w:tc>
          <w:tcPr>
            <w:tcW w:type="dxa" w:w="1440"/>
          </w:tcPr>
          <w:p>
            <w:r/>
            <w:r>
              <w:t>1.0</w:t>
            </w:r>
          </w:p>
        </w:tc>
        <w:tc>
          <w:tcPr>
            <w:tcW w:type="dxa" w:w="1440"/>
          </w:tcPr>
          <w:p>
            <w:r/>
            <w:r>
              <w:t>2026-06-24</w:t>
            </w:r>
          </w:p>
        </w:tc>
        <w:tc>
          <w:tcPr>
            <w:tcW w:type="dxa" w:w="1440"/>
          </w:tcPr>
          <w:p>
            <w:r/>
            <w:r>
              <w:t>Área de Sistemas / Desarrollo</w:t>
            </w:r>
          </w:p>
        </w:tc>
        <w:tc>
          <w:tcPr>
            <w:tcW w:type="dxa" w:w="1440"/>
          </w:tcPr>
          <w:p>
            <w:r/>
            <w:r>
              <w:t>Vigente</w:t>
            </w:r>
          </w:p>
        </w:tc>
      </w:tr>
    </w:tbl>
    <w:p/>
    <w:p>
      <w:r>
        <w:rPr>
          <w:b/>
        </w:rPr>
        <w:t>Documentos relacionados:</w:t>
      </w:r>
      <w:r>
        <w:t xml:space="preserve"> INT-004-MU (Manual de Usuario), MU-RE-001, DF-RE-001, MA-RE-001.</w:t>
      </w:r>
    </w:p>
    <w:p>
      <w:r>
        <w:rPr>
          <w:b/>
        </w:rPr>
        <w:t>Fin del documento.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