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6C23" w14:textId="77777777" w:rsidR="001925AA" w:rsidRPr="001925AA" w:rsidRDefault="001925AA" w:rsidP="00192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5AA">
        <w:rPr>
          <w:rFonts w:ascii="Times New Roman" w:eastAsia="Times New Roman" w:hAnsi="Times New Roman" w:cs="Times New Roman"/>
          <w:b/>
          <w:bCs/>
          <w:kern w:val="0"/>
          <w:sz w:val="27"/>
          <w:szCs w:val="27"/>
          <w14:ligatures w14:val="none"/>
        </w:rPr>
        <w:t>Scenario A — Remote Sensing of Wildfire Impacts on Tribal Lands</w:t>
      </w:r>
    </w:p>
    <w:p w14:paraId="47095215" w14:textId="77777777" w:rsidR="001925AA" w:rsidRPr="001925AA" w:rsidRDefault="001925AA" w:rsidP="001925AA">
      <w:p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b/>
          <w:bCs/>
          <w:kern w:val="0"/>
          <w14:ligatures w14:val="none"/>
        </w:rPr>
        <w:t>Context:</w:t>
      </w:r>
      <w:r w:rsidRPr="001925AA">
        <w:rPr>
          <w:rFonts w:ascii="Times New Roman" w:eastAsia="Times New Roman" w:hAnsi="Times New Roman" w:cs="Times New Roman"/>
          <w:kern w:val="0"/>
          <w14:ligatures w14:val="none"/>
        </w:rPr>
        <w:br/>
        <w:t xml:space="preserve">A research team uses multispectral and LiDAR imagery to assess burn severity in the Sierra Nevada foothills. The study area overlaps ancestral homelands of the North Fork Mono Tribe. The team plans to publish all generated products—including classified burn maps, LiDAR-derived canopy metrics, and UAV </w:t>
      </w:r>
      <w:proofErr w:type="spellStart"/>
      <w:r w:rsidRPr="001925AA">
        <w:rPr>
          <w:rFonts w:ascii="Times New Roman" w:eastAsia="Times New Roman" w:hAnsi="Times New Roman" w:cs="Times New Roman"/>
          <w:kern w:val="0"/>
          <w14:ligatures w14:val="none"/>
        </w:rPr>
        <w:t>orthomosaics</w:t>
      </w:r>
      <w:proofErr w:type="spellEnd"/>
      <w:r w:rsidRPr="001925AA">
        <w:rPr>
          <w:rFonts w:ascii="Times New Roman" w:eastAsia="Times New Roman" w:hAnsi="Times New Roman" w:cs="Times New Roman"/>
          <w:kern w:val="0"/>
          <w14:ligatures w14:val="none"/>
        </w:rPr>
        <w:t>—as open-access datasets under an NSF open science requirement.</w:t>
      </w:r>
    </w:p>
    <w:p w14:paraId="4B9EC186" w14:textId="77777777" w:rsidR="001925AA" w:rsidRPr="001925AA" w:rsidRDefault="001925AA" w:rsidP="001925AA">
      <w:p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b/>
          <w:bCs/>
          <w:kern w:val="0"/>
          <w14:ligatures w14:val="none"/>
        </w:rPr>
        <w:t>Discussion Questions:</w:t>
      </w:r>
    </w:p>
    <w:p w14:paraId="24731FFA" w14:textId="77777777" w:rsidR="001925AA" w:rsidRPr="001925AA" w:rsidRDefault="001925AA" w:rsidP="001925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Which CARE principles (Collective Benefit, Authority to Control, Responsibility, Ethics) are most relevant here?</w:t>
      </w:r>
    </w:p>
    <w:p w14:paraId="6F9E7BAE" w14:textId="77777777" w:rsidR="001925AA" w:rsidRPr="001925AA" w:rsidRDefault="001925AA" w:rsidP="001925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What permissions, consultations, or agreements should be in place before data collection?</w:t>
      </w:r>
    </w:p>
    <w:p w14:paraId="2DFBB574" w14:textId="77777777" w:rsidR="001925AA" w:rsidRPr="001925AA" w:rsidRDefault="001925AA" w:rsidP="001925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What risks might arise from publicly releasing high-resolution imagery of tribal lands?</w:t>
      </w:r>
    </w:p>
    <w:p w14:paraId="2C6CE48E" w14:textId="77777777" w:rsidR="001925AA" w:rsidRPr="001925AA" w:rsidRDefault="001925AA" w:rsidP="001925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How could the researchers modify their open science plan to respect data sovereignty?</w:t>
      </w:r>
    </w:p>
    <w:p w14:paraId="6888E503" w14:textId="032B2D9E" w:rsidR="001925AA" w:rsidRPr="001925AA" w:rsidRDefault="001925AA" w:rsidP="001925AA">
      <w:pPr>
        <w:spacing w:after="0" w:line="240" w:lineRule="auto"/>
        <w:rPr>
          <w:rFonts w:ascii="Times New Roman" w:eastAsia="Times New Roman" w:hAnsi="Times New Roman" w:cs="Times New Roman"/>
          <w:kern w:val="0"/>
          <w14:ligatures w14:val="none"/>
        </w:rPr>
      </w:pPr>
    </w:p>
    <w:p w14:paraId="39EC0713" w14:textId="2040C3B4" w:rsidR="001925AA" w:rsidRDefault="001925AA">
      <w:r>
        <w:br w:type="page"/>
      </w:r>
    </w:p>
    <w:p w14:paraId="7DA1B9CA" w14:textId="77777777" w:rsidR="001925AA" w:rsidRPr="001925AA" w:rsidRDefault="001925AA" w:rsidP="00192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5AA">
        <w:rPr>
          <w:rFonts w:ascii="Times New Roman" w:eastAsia="Times New Roman" w:hAnsi="Times New Roman" w:cs="Times New Roman"/>
          <w:b/>
          <w:bCs/>
          <w:kern w:val="0"/>
          <w:sz w:val="27"/>
          <w:szCs w:val="27"/>
          <w14:ligatures w14:val="none"/>
        </w:rPr>
        <w:lastRenderedPageBreak/>
        <w:t>Scenario B — eDNA Sampling in Culturally Sensitive Waterways</w:t>
      </w:r>
    </w:p>
    <w:p w14:paraId="406171BE" w14:textId="77777777" w:rsidR="001925AA" w:rsidRPr="001925AA" w:rsidRDefault="001925AA" w:rsidP="001925AA">
      <w:p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b/>
          <w:bCs/>
          <w:kern w:val="0"/>
          <w14:ligatures w14:val="none"/>
        </w:rPr>
        <w:t>Context:</w:t>
      </w:r>
      <w:r w:rsidRPr="001925AA">
        <w:rPr>
          <w:rFonts w:ascii="Times New Roman" w:eastAsia="Times New Roman" w:hAnsi="Times New Roman" w:cs="Times New Roman"/>
          <w:kern w:val="0"/>
          <w14:ligatures w14:val="none"/>
        </w:rPr>
        <w:br/>
        <w:t>Graduate researchers collect eDNA samples across a watershed that includes sacred tributaries and ceremonial sites for a tribal community. The project involves sequencing environmental DNA to map biodiversity and uploading sequences to an international, open genetic repository.</w:t>
      </w:r>
    </w:p>
    <w:p w14:paraId="75556D7F" w14:textId="77777777" w:rsidR="001925AA" w:rsidRPr="001925AA" w:rsidRDefault="001925AA" w:rsidP="001925AA">
      <w:p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b/>
          <w:bCs/>
          <w:kern w:val="0"/>
          <w14:ligatures w14:val="none"/>
        </w:rPr>
        <w:t>Discussion Questions:</w:t>
      </w:r>
    </w:p>
    <w:p w14:paraId="69569B6B" w14:textId="77777777" w:rsidR="001925AA" w:rsidRPr="001925AA" w:rsidRDefault="001925AA" w:rsidP="001925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How do CARE principles apply to genetic or biological data tied to Indigenous lands?</w:t>
      </w:r>
    </w:p>
    <w:p w14:paraId="3A95427F" w14:textId="77777777" w:rsidR="001925AA" w:rsidRPr="001925AA" w:rsidRDefault="001925AA" w:rsidP="001925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What forms of harm—scientific, cultural, or legal—could arise from unrestricted eDNA sharing?</w:t>
      </w:r>
    </w:p>
    <w:p w14:paraId="0B24C7D3" w14:textId="77777777" w:rsidR="001925AA" w:rsidRPr="001925AA" w:rsidRDefault="001925AA" w:rsidP="001925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How should researchers approach consent, authority, and data access restrictions?</w:t>
      </w:r>
    </w:p>
    <w:p w14:paraId="1D129A49" w14:textId="77777777" w:rsidR="001925AA" w:rsidRPr="001925AA" w:rsidRDefault="001925AA" w:rsidP="001925A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Should the resulting genetic data be restricted, tiered, or fully open? Why?</w:t>
      </w:r>
    </w:p>
    <w:p w14:paraId="6FA08F2E" w14:textId="2A81C57D" w:rsidR="001925AA" w:rsidRDefault="001925AA">
      <w:r>
        <w:br w:type="page"/>
      </w:r>
    </w:p>
    <w:p w14:paraId="0C71A359" w14:textId="77777777" w:rsidR="001925AA" w:rsidRPr="001925AA" w:rsidRDefault="001925AA" w:rsidP="00192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5AA">
        <w:rPr>
          <w:rFonts w:ascii="Times New Roman" w:eastAsia="Times New Roman" w:hAnsi="Times New Roman" w:cs="Times New Roman"/>
          <w:b/>
          <w:bCs/>
          <w:kern w:val="0"/>
          <w:sz w:val="27"/>
          <w:szCs w:val="27"/>
          <w14:ligatures w14:val="none"/>
        </w:rPr>
        <w:lastRenderedPageBreak/>
        <w:t>Scenario C — Machine Learning Using Indigenous Ecological Knowledge</w:t>
      </w:r>
    </w:p>
    <w:p w14:paraId="7E9435F1" w14:textId="77777777" w:rsidR="001925AA" w:rsidRPr="001925AA" w:rsidRDefault="001925AA" w:rsidP="001925AA">
      <w:p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b/>
          <w:bCs/>
          <w:kern w:val="0"/>
          <w14:ligatures w14:val="none"/>
        </w:rPr>
        <w:t>Context:</w:t>
      </w:r>
      <w:r w:rsidRPr="001925AA">
        <w:rPr>
          <w:rFonts w:ascii="Times New Roman" w:eastAsia="Times New Roman" w:hAnsi="Times New Roman" w:cs="Times New Roman"/>
          <w:kern w:val="0"/>
          <w14:ligatures w14:val="none"/>
        </w:rPr>
        <w:br/>
        <w:t>A climate resilience project integrates Indigenous indicators of drought refuge (e.g., local signs of groundwater presence, culturally used species distributions) collected during community workshops. These qualitative knowledge inputs are transformed into predictors in a machine-learning model. Researchers plan to publish code, model weights, and training data openly.</w:t>
      </w:r>
    </w:p>
    <w:p w14:paraId="16E6609F" w14:textId="77777777" w:rsidR="001925AA" w:rsidRPr="001925AA" w:rsidRDefault="001925AA" w:rsidP="001925AA">
      <w:p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b/>
          <w:bCs/>
          <w:kern w:val="0"/>
          <w14:ligatures w14:val="none"/>
        </w:rPr>
        <w:t>Discussion Questions:</w:t>
      </w:r>
    </w:p>
    <w:p w14:paraId="1F15648B" w14:textId="77777777" w:rsidR="001925AA" w:rsidRPr="001925AA" w:rsidRDefault="001925AA" w:rsidP="001925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Who owns Indigenous ecological knowledge? How does “Authority to Control” apply?</w:t>
      </w:r>
    </w:p>
    <w:p w14:paraId="12BEE57E" w14:textId="77777777" w:rsidR="001925AA" w:rsidRPr="001925AA" w:rsidRDefault="001925AA" w:rsidP="001925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How can researchers ensure Collective Benefit in ML models using local knowledge?</w:t>
      </w:r>
    </w:p>
    <w:p w14:paraId="4076C0B4" w14:textId="77777777" w:rsidR="001925AA" w:rsidRPr="001925AA" w:rsidRDefault="001925AA" w:rsidP="001925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Should the trained model—or any part of the pipeline—have restricted access?</w:t>
      </w:r>
    </w:p>
    <w:p w14:paraId="26CBA07E" w14:textId="77777777" w:rsidR="001925AA" w:rsidRPr="001925AA" w:rsidRDefault="001925AA" w:rsidP="001925A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What responsibilities do researchers have in documenting knowledge provenance?</w:t>
      </w:r>
    </w:p>
    <w:p w14:paraId="4F822401" w14:textId="44AF4D1A" w:rsidR="001925AA" w:rsidRDefault="001925AA">
      <w:r>
        <w:br w:type="page"/>
      </w:r>
    </w:p>
    <w:p w14:paraId="74C7F238" w14:textId="77777777" w:rsidR="001925AA" w:rsidRPr="001925AA" w:rsidRDefault="001925AA" w:rsidP="00192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925AA">
        <w:rPr>
          <w:rFonts w:ascii="Times New Roman" w:eastAsia="Times New Roman" w:hAnsi="Times New Roman" w:cs="Times New Roman"/>
          <w:b/>
          <w:bCs/>
          <w:kern w:val="0"/>
          <w:sz w:val="27"/>
          <w:szCs w:val="27"/>
          <w14:ligatures w14:val="none"/>
        </w:rPr>
        <w:lastRenderedPageBreak/>
        <w:t>Scenario D — UAV Flood Hazard Mapping in Tribal Communities</w:t>
      </w:r>
    </w:p>
    <w:p w14:paraId="35A45238" w14:textId="77777777" w:rsidR="001925AA" w:rsidRPr="001925AA" w:rsidRDefault="001925AA" w:rsidP="001925AA">
      <w:p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b/>
          <w:bCs/>
          <w:kern w:val="0"/>
          <w14:ligatures w14:val="none"/>
        </w:rPr>
        <w:t>Context:</w:t>
      </w:r>
      <w:r w:rsidRPr="001925AA">
        <w:rPr>
          <w:rFonts w:ascii="Times New Roman" w:eastAsia="Times New Roman" w:hAnsi="Times New Roman" w:cs="Times New Roman"/>
          <w:kern w:val="0"/>
          <w14:ligatures w14:val="none"/>
        </w:rPr>
        <w:br/>
        <w:t>A UC Merced team uses UAV imagery and structure-from-motion photogrammetry to model flood hazards along tribal lands. The tribe requests sovereignty over raw imagery, DEMs, and model outputs. However, a federal agency funding the research requires public release of data products under an open science mandate.</w:t>
      </w:r>
    </w:p>
    <w:p w14:paraId="7BF2FC31" w14:textId="77777777" w:rsidR="001925AA" w:rsidRPr="001925AA" w:rsidRDefault="001925AA" w:rsidP="001925AA">
      <w:p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b/>
          <w:bCs/>
          <w:kern w:val="0"/>
          <w14:ligatures w14:val="none"/>
        </w:rPr>
        <w:t>Discussion Questions:</w:t>
      </w:r>
    </w:p>
    <w:p w14:paraId="33C1D970" w14:textId="77777777" w:rsidR="001925AA" w:rsidRPr="001925AA" w:rsidRDefault="001925AA" w:rsidP="001925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Where do CARE principles conflict with federal FAIR/open-access requirements?</w:t>
      </w:r>
    </w:p>
    <w:p w14:paraId="2EBF7E45" w14:textId="77777777" w:rsidR="001925AA" w:rsidRPr="001925AA" w:rsidRDefault="001925AA" w:rsidP="001925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How can Memoranda of Understanding (MOUs) or Data Sharing Agreements resolve conflicts?</w:t>
      </w:r>
    </w:p>
    <w:p w14:paraId="035BFC14" w14:textId="77777777" w:rsidR="001925AA" w:rsidRPr="001925AA" w:rsidRDefault="001925AA" w:rsidP="001925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What does a CARE-aligned solution look like for UAV imagery, DEMs, and models?</w:t>
      </w:r>
    </w:p>
    <w:p w14:paraId="7AE24B07" w14:textId="77777777" w:rsidR="001925AA" w:rsidRPr="001925AA" w:rsidRDefault="001925AA" w:rsidP="001925A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925AA">
        <w:rPr>
          <w:rFonts w:ascii="Times New Roman" w:eastAsia="Times New Roman" w:hAnsi="Times New Roman" w:cs="Times New Roman"/>
          <w:kern w:val="0"/>
          <w14:ligatures w14:val="none"/>
        </w:rPr>
        <w:t>How could capacity building (training, equipment, co-stewardship) support sovereignty?</w:t>
      </w:r>
    </w:p>
    <w:p w14:paraId="142DBCEF" w14:textId="21F7A19C" w:rsidR="001925AA" w:rsidRDefault="001925AA">
      <w:r>
        <w:br w:type="page"/>
      </w:r>
    </w:p>
    <w:p w14:paraId="33FF9652" w14:textId="77777777" w:rsidR="00BD6D5A" w:rsidRDefault="00BD6D5A"/>
    <w:sectPr w:rsidR="00BD6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06D61"/>
    <w:multiLevelType w:val="multilevel"/>
    <w:tmpl w:val="FD7A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2D4FB2"/>
    <w:multiLevelType w:val="multilevel"/>
    <w:tmpl w:val="2B8E4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6602F8"/>
    <w:multiLevelType w:val="multilevel"/>
    <w:tmpl w:val="41B4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296326"/>
    <w:multiLevelType w:val="multilevel"/>
    <w:tmpl w:val="DE84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445171">
    <w:abstractNumId w:val="1"/>
  </w:num>
  <w:num w:numId="2" w16cid:durableId="9795575">
    <w:abstractNumId w:val="0"/>
  </w:num>
  <w:num w:numId="3" w16cid:durableId="1038431292">
    <w:abstractNumId w:val="3"/>
  </w:num>
  <w:num w:numId="4" w16cid:durableId="776022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AA"/>
    <w:rsid w:val="001925AA"/>
    <w:rsid w:val="002720D3"/>
    <w:rsid w:val="006A49B7"/>
    <w:rsid w:val="00775B8F"/>
    <w:rsid w:val="007B4560"/>
    <w:rsid w:val="008B6C34"/>
    <w:rsid w:val="00BD6D5A"/>
    <w:rsid w:val="00CE3F88"/>
    <w:rsid w:val="00F95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C707E"/>
  <w15:chartTrackingRefBased/>
  <w15:docId w15:val="{253DC508-6448-6841-87AF-6C91A89A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2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2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5AA"/>
    <w:rPr>
      <w:rFonts w:eastAsiaTheme="majorEastAsia" w:cstheme="majorBidi"/>
      <w:color w:val="272727" w:themeColor="text1" w:themeTint="D8"/>
    </w:rPr>
  </w:style>
  <w:style w:type="paragraph" w:styleId="Title">
    <w:name w:val="Title"/>
    <w:basedOn w:val="Normal"/>
    <w:next w:val="Normal"/>
    <w:link w:val="TitleChar"/>
    <w:uiPriority w:val="10"/>
    <w:qFormat/>
    <w:rsid w:val="00192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5AA"/>
    <w:pPr>
      <w:spacing w:before="160"/>
      <w:jc w:val="center"/>
    </w:pPr>
    <w:rPr>
      <w:i/>
      <w:iCs/>
      <w:color w:val="404040" w:themeColor="text1" w:themeTint="BF"/>
    </w:rPr>
  </w:style>
  <w:style w:type="character" w:customStyle="1" w:styleId="QuoteChar">
    <w:name w:val="Quote Char"/>
    <w:basedOn w:val="DefaultParagraphFont"/>
    <w:link w:val="Quote"/>
    <w:uiPriority w:val="29"/>
    <w:rsid w:val="001925AA"/>
    <w:rPr>
      <w:i/>
      <w:iCs/>
      <w:color w:val="404040" w:themeColor="text1" w:themeTint="BF"/>
    </w:rPr>
  </w:style>
  <w:style w:type="paragraph" w:styleId="ListParagraph">
    <w:name w:val="List Paragraph"/>
    <w:basedOn w:val="Normal"/>
    <w:uiPriority w:val="34"/>
    <w:qFormat/>
    <w:rsid w:val="001925AA"/>
    <w:pPr>
      <w:ind w:left="720"/>
      <w:contextualSpacing/>
    </w:pPr>
  </w:style>
  <w:style w:type="character" w:styleId="IntenseEmphasis">
    <w:name w:val="Intense Emphasis"/>
    <w:basedOn w:val="DefaultParagraphFont"/>
    <w:uiPriority w:val="21"/>
    <w:qFormat/>
    <w:rsid w:val="001925AA"/>
    <w:rPr>
      <w:i/>
      <w:iCs/>
      <w:color w:val="0F4761" w:themeColor="accent1" w:themeShade="BF"/>
    </w:rPr>
  </w:style>
  <w:style w:type="paragraph" w:styleId="IntenseQuote">
    <w:name w:val="Intense Quote"/>
    <w:basedOn w:val="Normal"/>
    <w:next w:val="Normal"/>
    <w:link w:val="IntenseQuoteChar"/>
    <w:uiPriority w:val="30"/>
    <w:qFormat/>
    <w:rsid w:val="00192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5AA"/>
    <w:rPr>
      <w:i/>
      <w:iCs/>
      <w:color w:val="0F4761" w:themeColor="accent1" w:themeShade="BF"/>
    </w:rPr>
  </w:style>
  <w:style w:type="character" w:styleId="IntenseReference">
    <w:name w:val="Intense Reference"/>
    <w:basedOn w:val="DefaultParagraphFont"/>
    <w:uiPriority w:val="32"/>
    <w:qFormat/>
    <w:rsid w:val="001925AA"/>
    <w:rPr>
      <w:b/>
      <w:bCs/>
      <w:smallCaps/>
      <w:color w:val="0F4761" w:themeColor="accent1" w:themeShade="BF"/>
      <w:spacing w:val="5"/>
    </w:rPr>
  </w:style>
  <w:style w:type="character" w:styleId="Strong">
    <w:name w:val="Strong"/>
    <w:basedOn w:val="DefaultParagraphFont"/>
    <w:uiPriority w:val="22"/>
    <w:qFormat/>
    <w:rsid w:val="001925AA"/>
    <w:rPr>
      <w:b/>
      <w:bCs/>
    </w:rPr>
  </w:style>
  <w:style w:type="paragraph" w:styleId="NormalWeb">
    <w:name w:val="Normal (Web)"/>
    <w:basedOn w:val="Normal"/>
    <w:uiPriority w:val="99"/>
    <w:semiHidden/>
    <w:unhideWhenUsed/>
    <w:rsid w:val="001925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Hestir</dc:creator>
  <cp:keywords/>
  <dc:description/>
  <cp:lastModifiedBy>Erin Hestir</cp:lastModifiedBy>
  <cp:revision>1</cp:revision>
  <cp:lastPrinted>2025-12-09T23:17:00Z</cp:lastPrinted>
  <dcterms:created xsi:type="dcterms:W3CDTF">2025-12-09T23:15:00Z</dcterms:created>
  <dcterms:modified xsi:type="dcterms:W3CDTF">2025-12-09T23:28:00Z</dcterms:modified>
</cp:coreProperties>
</file>