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Hermes Agent의 대량 메모리를 위한 변경 이력·예외 보존형 선택적 압축 기법</w:t>
      </w:r>
    </w:p>
    <w:p>
      <w:pPr>
        <w:jc w:val="center"/>
      </w:pPr>
      <w:r>
        <w:t>Change- and Exception-Aware Selective Memory Compression for Hermes Agent</w:t>
      </w:r>
    </w:p>
    <w:p>
      <w:r>
        <w:rPr>
          <w:b/>
        </w:rPr>
        <w:t>요  약</w:t>
      </w:r>
    </w:p>
    <w:p>
      <w:r>
        <w:t>LLM 에이전트가 대량의 기록을 짧게 요약하면 설정 변경의 이전값·현재값과 적용 예외가 뒤섞일 수 있다. 본 연구는 Hermes Agent의 크기 제한 핵심 메모리와 외부 Markdown 기록을 대상으로 변경 이력과 예외를 원문 출처에 묶어 보존하는 CEM(Change-Exception Memory) 기법을 제안한다. 기존 검색 방식과 동일한 입력 길이 예산에서 질문 관련 변경 묶음을 우선 배치하며, 최신값·예외·과거값 질의의 정답률을 개별 비교하도록 설계하였다. RTX 3060 기반 로컬 LLM에서 검증 가능한 코드와 정답이 확정된 합성 기록 생성 절차를 제시한다. 본 원고는 실험 전 수정본이며 결과 수치의 기재는 보류한다.</w:t>
      </w:r>
    </w:p>
    <w:p>
      <w:pPr>
        <w:sectPr>
          <w:footerReference w:type="default" r:id="rId9"/>
          <w:pgSz w:w="11906" w:h="16838"/>
          <w:pgMar w:top="1701" w:right="567" w:bottom="1134" w:left="567" w:header="720" w:footer="720" w:gutter="0"/>
          <w:cols w:space="720"/>
          <w:docGrid w:linePitch="360"/>
        </w:sectPr>
      </w:pPr>
    </w:p>
    <w:p>
      <w:pPr>
        <w:pStyle w:val="Heading1"/>
      </w:pPr>
      <w:r>
        <w:t>1. 서 론</w:t>
      </w:r>
    </w:p>
    <w:p>
      <w:r>
        <w:t>대화가 장기화되면 에이전트의 메모리 파일은 반복 기록, 이전 설정값, 새 설정값, 특수 조건을 함께 포함한다. 단순 요약은 길이를 줄이지만 “현재 기본값”과 “특정 그룹에 적용하는 예외”를 혼동하기 쉽다. Hermes Agent의 내장 MEMORY.md와 USER.md는 각각 2,200자와 1,375자의 기본 한도를 가지며, 초과 쓰기는 자동 압축되지 않는다[1]. 따라서 대량 기록은 외부 파일에 유지하고 질의 시 필요한 근거를 제한된 문맥에 올리는 방법이 필요하다.</w:t>
      </w:r>
    </w:p>
    <w:p>
      <w:r>
        <w:t>본 연구 질문은 다음과 같다. RQ1: 동일한 메모리 입력 예산에서 변경·예외 묶음 검색이 최신값·예외값·이전값 정확도를 높이는가? RQ2: 이득이 있다면 어떤 질문 유형에 집중되는가? 기여는 범용 요약기의 개발이 아니라, 시간적 변경과 적용 범위가 충돌할 때 원문 간 연결을 잃지 않는 경량 검색 단위와 질문 유형별 평가에 있다.</w:t>
      </w:r>
    </w:p>
    <w:p>
      <w:pPr>
        <w:pStyle w:val="Heading1"/>
      </w:pPr>
      <w:r>
        <w:t>2. 기존 방법과 차별점</w:t>
      </w:r>
    </w:p>
    <w:p>
      <w:r>
        <w:t>MemGPT는 계층적 저장과 문맥 관리를 제안하고[2], Generative Agents는 중요도·관련성을 고려한 기억 검색을 사용한다[3]. A-MEM은 기억 간 연결을 다루며[4], LLMLingua는 프롬프트 압축에 초점을 둔다[5]. 이들과 달리 본 연구는 저장 용량 자체보다 동일 예산의 검색 결과가 상반된 시점·예외를 얼마나 온전히 보여주는지에 초점을 맞춘다. 계층적 메모리·원본 검색 자체를 신규 발명으로 주장하지 않는다.</w:t>
      </w:r>
    </w:p>
    <w:p>
      <w:pPr>
        <w:pStyle w:val="Heading1"/>
      </w:pPr>
      <w:r>
        <w:t>3. 제안 방법: CEM</w:t>
      </w:r>
    </w:p>
    <w:p>
      <w:pPr>
        <w:pStyle w:val="Heading2"/>
      </w:pPr>
      <w:r>
        <w:t>3.1 출처가 있는 변경 묶음</w:t>
      </w:r>
    </w:p>
    <w:p>
      <w:r>
        <w:t>각 기록에서 (프로젝트, 속성, 값, 시점, 적용 범위, 출처)를 관리한다. 동일 프로젝트·속성의 기본 기록(base), 변경(update), 예외(exception)를 하나의 변경 묶음으로 연결한다. 원본 파일은 삭제하지 않고 식별자만 유지한다. 예: 기본 8080 → 2026년 변경 9090, 실험그룹만 8081. “현재 기본”에는 9090, “실험그룹”에는 8081, “변경 이전”에는 8080이 근거로 필요하다.</w:t>
      </w:r>
    </w:p>
    <w:p>
      <w:pPr>
        <w:pStyle w:val="Heading2"/>
      </w:pPr>
      <w:r>
        <w:t>3.2 예산 제약하의 선택적 복원</w:t>
      </w:r>
    </w:p>
    <w:p>
      <w:r>
        <w:t>질문에서 프로젝트 식별자를 찾아 변경·예외 묶음을 우선 배치하고 남는 예산에 일반 키워드 검색 문단을 채운다. 추가된 문단의 원문 길이 합이 B자를 넘지 않게 제한한다. 문서 식별자와 메타데이터는 인덱스이므로 입력 길이 비용과 분리해 기록한다. 질문마다 같은 B를 적용하며 LLM은 검색된 자료를 근거로 한 개의 수치만 출력한다. 추출이 불확실한 경우에는 해당 원문을 그대로 둔다.</w:t>
      </w:r>
    </w:p>
    <w:p>
      <w:pPr>
        <w:pStyle w:val="Heading2"/>
      </w:pPr>
      <w:r>
        <w:t>3.3 분석 가능한 실패 형태</w:t>
      </w:r>
    </w:p>
    <w:p>
      <w:r>
        <w:t>CEM의 장점이 관찰된다면 단순 검색이 관련 문단을 찾아도 변경 사실을 연결하지 못했기 때문인지 살핀다. 반대로 일반 검색이 같은 묶음을 찾아내거나 문서 식별이 실패하면 CEM은 우위를 보이지 않을 수 있다. 본 구현에서 문서의 base/update/exception 유형은 파일명으로 주어진다. 자유 형식 메모리에서 자동 인식하는 문제는 검증 범위 밖이다.</w:t>
      </w:r>
    </w:p>
    <w:p>
      <w:pPr>
        <w:pStyle w:val="Heading1"/>
      </w:pPr>
      <w:r>
        <w:t>4. 실험 설계</w:t>
      </w:r>
    </w:p>
    <w:p>
      <w:pPr>
        <w:pStyle w:val="Heading2"/>
      </w:pPr>
      <w:r>
        <w:t>4.1 데이터와 비교군</w:t>
      </w:r>
    </w:p>
    <w:p>
      <w:r>
        <w:t>가상 서비스 프로젝트 N=20개에 대해 기본·변경·예외·일반 기록 각 1개씩 총 80개의 Markdown 파일을 생성한다. 프로젝트별 최신 기본값, 지정 그룹 예외값, 과거 기본값 질문 각 1개로 60문항을 구축한다. 생성 시 정답과 원문 출처를 별도 보관한다. 난수 시드 42를 고정하고 질문 순서를 섞는다. 규모 및 질문 수는 8시간 내 수행을 위한 시작 설정으로, 최종 실행값을 보고해야 한다.</w:t>
      </w:r>
    </w:p>
    <w:p>
      <w:r>
        <w:t>비교군은 (A) 최근 파일 우선 절단, (B) 단어 일치 기반 독립 문단 검색, (C) 제안 CEM 변경 묶음 검색이다. 세 방법 모두 같은 파일, 같은 질문, 같은 검색 텍스트 예산 B=650자, 같은 로컬 모델을 사용한다. (B)는 BM25의 완전한 구현이 아니라 단어 겹침 기반 간이 어휘 검색임을 명시한다. 문서명에 포함된 정보는 (B), (C) 모두 동일하게 접근할 수 있다.</w:t>
      </w:r>
    </w:p>
    <w:p>
      <w:pPr>
        <w:pStyle w:val="Heading2"/>
      </w:pPr>
      <w:r>
        <w:t>4.2 측정 및 판정</w:t>
      </w:r>
    </w:p>
    <w:p>
      <w:r>
        <w:t>정확도 = 정답 숫자와 출력 숫자가 일치한 질문 수 / 해당 유형 전체 질문 수. 유형별 정확도와 평균 문맥 글자 수, 가능하다면 Ollama가 보고하는 prompt_eval_count 및 응답 시간을 기록한다. 대조별 동일 질문의 정오쌍을 관찰하고, 95% 신뢰구간 또는 짝지은 부트스트랩을 계산한다. 압축률은 전체 기록 대비 주입된 근거의 길이를 사용하되, 토큰 절감과 동일시하지 않는다. 호출 오류·근거 없는 답·정보 추출 실패는 분리해 보고한다.</w:t>
      </w:r>
    </w:p>
    <w:p>
      <w:pPr>
        <w:pStyle w:val="Heading1"/>
      </w:pPr>
      <w:r>
        <w:t>5. 재현 조건 및 연구 한계</w:t>
      </w:r>
    </w:p>
    <w:p>
      <w:r>
        <w:t>Linux Mint·RTX 3060에서 Ollama 로컬 모델(예: qwen2.5:3b)을 사용한다. 모델명·정밀도·VRAM·문맥 길이·Ollama 및 Hermes 버전·GPU 적재 여부를 기록한다. Hermes의 최신 공식 안내에 따르면 실제 에이전트의 도구 실행에는 최소 64K 문맥이 요구되므로[6], 3060에서 해당 조건이 성립하지 않으면 Ollama API를 이용한 메모리 검색·답변 단계 실험으로 명확히 한정한다. 실제 Hermes 에이전트 전체 실행의 성능으로 일반화하지 않는다.</w:t>
      </w:r>
    </w:p>
    <w:p>
      <w:r>
        <w:t>합성 자료의 일정한 파일명은 제안 방식에 유리할 수 있고, 한 가지 모델·적은 질문·정형화된 문장만으로 일반성은 보장되지 않는다. 확장 실험으로 파일명에서 유형 표지를 제거한 조건과 문장 표현을 바꾼 조건을 제안한다. 실험 결과가 나오기 전 정확도 상승, 통계적 유의성, 최적 압축률은 주장할 수 없다.</w:t>
      </w:r>
    </w:p>
    <w:p>
      <w:pPr>
        <w:pStyle w:val="Heading1"/>
      </w:pPr>
      <w:r>
        <w:t>6. 결 론</w:t>
      </w:r>
    </w:p>
    <w:p>
      <w:r>
        <w:t>본 연구는 대량 메모리의 정보 손실을 총 요약 길이가 아니라 시점과 예외가 얽힌 질문의 정답률로 판단하는 CEM을 제시한다. 실제 성능은 동일 입력 예산의 세 비교군 실험으로 판단하며, 변화가 확인되지 않으면 그 결과 역시 보고한다.</w:t>
      </w:r>
    </w:p>
    <w:p>
      <w:pPr>
        <w:pStyle w:val="Heading1"/>
      </w:pPr>
      <w:r>
        <w:t>참고문헌</w:t>
      </w:r>
    </w:p>
    <w:p>
      <w:pPr>
        <w:spacing w:after="40"/>
      </w:pPr>
      <w:r>
        <w:t>[1] Nous Research, “Persistent Memory,” Hermes Agent documentation, 2026. https://github.com/NousResearch/hermes-agent/blob/main/website/docs/user-guide/features/memory.md</w:t>
      </w:r>
    </w:p>
    <w:p>
      <w:pPr>
        <w:spacing w:after="40"/>
      </w:pPr>
      <w:r>
        <w:t>[2] C. Packer et al., “MemGPT: Towards LLMs as Operating Systems,” arXiv:2310.08560, 2023.</w:t>
      </w:r>
    </w:p>
    <w:p>
      <w:pPr>
        <w:spacing w:after="40"/>
      </w:pPr>
      <w:r>
        <w:t>[3] J. S. Park et al., “Generative Agents: Interactive Simulacra of Human Behavior,” UIST, 2023.</w:t>
      </w:r>
    </w:p>
    <w:p>
      <w:pPr>
        <w:spacing w:after="40"/>
      </w:pPr>
      <w:r>
        <w:t>[4] W. Xu et al., “A-MEM: Agentic Memory for LLM Agents,” arXiv:2502.12110, 2025.</w:t>
      </w:r>
    </w:p>
    <w:p>
      <w:pPr>
        <w:spacing w:after="40"/>
      </w:pPr>
      <w:r>
        <w:t>[5] H. Jiang et al., “LLMLingua: Compressing Prompts for Accelerated Inference of Large Language Models,” EMNLP, 2023.</w:t>
      </w:r>
    </w:p>
    <w:p>
      <w:pPr>
        <w:spacing w:after="40"/>
      </w:pPr>
      <w:r>
        <w:t>[6] Nous Research, “AI Providers,” Hermes Agent documentation, 2026. https://github.com/NousResearch/hermes-agent/blob/main/website/docs/integrations/providers.md</w:t>
      </w:r>
    </w:p>
    <w:sectPr w:rsidR="00FC693F" w:rsidRPr="0006063C" w:rsidSect="00034616">
      <w:type w:val="continuous"/>
      <w:pgSz w:w="11906" w:h="16838"/>
      <w:pgMar w:top="1701" w:right="567" w:bottom="1134" w:left="567" w:header="720" w:footer="720" w:gutter="0"/>
      <w:cols w:space="34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64" w:lineRule="auto"/>
    </w:pPr>
    <w:rPr>
      <w:rFonts w:ascii="NanumGothic" w:hAnsi="NanumGothic" w:eastAsia="NanumGothi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60"/>
      <w:outlineLvl w:val="0"/>
    </w:pPr>
    <w:rPr>
      <w:rFonts w:asciiTheme="majorHAnsi" w:eastAsiaTheme="majorEastAsia" w:hAnsiTheme="majorHAnsi" w:cstheme="majorBidi" w:ascii="NanumGothic" w:hAnsi="NanumGothic" w:eastAsia="NanumGothic"/>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100" w:after="60"/>
      <w:outlineLvl w:val="1"/>
    </w:pPr>
    <w:rPr>
      <w:rFonts w:asciiTheme="majorHAnsi" w:eastAsiaTheme="majorEastAsia" w:hAnsiTheme="majorHAnsi" w:cstheme="majorBidi" w:ascii="NanumGothic" w:hAnsi="NanumGothic" w:eastAsia="NanumGothic"/>
      <w:b/>
      <w:bCs/>
      <w:color w:val="4F81BD" w:themeColor="accent1"/>
      <w:sz w:val="1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100"/>
      <w:contextualSpacing/>
    </w:pPr>
    <w:rPr>
      <w:rFonts w:asciiTheme="majorHAnsi" w:eastAsiaTheme="majorEastAsia" w:hAnsiTheme="majorHAnsi" w:cstheme="majorBidi" w:ascii="NanumGothic" w:hAnsi="NanumGothic" w:eastAsia="NanumGothic"/>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