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2E4057"/>
          <w:sz w:val="72"/>
          <w:szCs w:val="72"/>
        </w:rPr>
        <w:t xml:space="preserve">EIME</w:t>
      </w:r>
    </w:p>
    <w:p>
      <w:pPr>
        <w:spacing w:after="100" w:before="100"/>
        <w:jc w:val="center"/>
      </w:pPr>
      <w:r>
        <w:rPr>
          <w:color w:val="2E4057"/>
          <w:sz w:val="36"/>
          <w:szCs w:val="36"/>
        </w:rPr>
        <w:t xml:space="preserve">Embark Invoice Mapping Engine</w:t>
      </w:r>
    </w:p>
    <w:p>
      <w:pPr>
        <w:spacing w:after="60" w:before="60"/>
        <w:jc w:val="center"/>
      </w:pPr>
      <w:r>
        <w:rPr>
          <w:color w:val="666666"/>
          <w:sz w:val="26"/>
          <w:szCs w:val="26"/>
        </w:rPr>
        <w:t xml:space="preserve">Implementation Bundle — Index &amp; Build Guide</w:t>
      </w:r>
    </w:p>
    <w:p>
      <w:pPr>
        <w:spacing w:after="400" w:before="60"/>
        <w:jc w:val="center"/>
      </w:pPr>
      <w:r>
        <w:rPr>
          <w:i/>
          <w:iCs/>
          <w:color w:val="999999"/>
          <w:sz w:val="18"/>
          <w:szCs w:val="18"/>
        </w:rPr>
        <w:t xml:space="preserve">Generated: 2026-05-07  |  design-bundle-orchestrator  |  DRAFT — Pending Registry Approval</w:t>
      </w:r>
    </w:p>
    <w:p>
      <w:r>
        <w:br w:type="page"/>
      </w:r>
    </w:p>
    <w:p>
      <w:pPr>
        <w:pStyle w:val="Heading1"/>
        <w:spacing w:after="150" w:before="400"/>
      </w:pPr>
      <w:r>
        <w:rPr>
          <w:b/>
          <w:bCs/>
          <w:color w:val="2E4057"/>
          <w:sz w:val="32"/>
          <w:szCs w:val="32"/>
        </w:rPr>
        <w:t xml:space="preserve">1. What This Bundle Is</w:t>
      </w:r>
    </w:p>
    <w:p>
      <w:pPr>
        <w:spacing w:after="80" w:before="80"/>
      </w:pPr>
      <w:r>
        <w:rPr>
          <w:sz w:val="20"/>
          <w:szCs w:val="20"/>
        </w:rPr>
        <w:t xml:space="preserve">This bundle contains the complete design artifacts for EIME — the Embark Invoice Mapping Engine. It is organized for handoff to the development team. Everything here is ready to implement; nothing requires further design work before coding begins (except the open items listed in §7).</w:t>
      </w:r>
    </w:p>
    <w:p>
      <w:pPr>
        <w:spacing w:after="80" w:before="80"/>
      </w:pPr>
      <w:r>
        <w:t xml:space="preserve"/>
      </w:r>
    </w:p>
    <w:p>
      <w:pPr>
        <w:spacing w:after="80" w:before="80"/>
      </w:pPr>
      <w:r>
        <w:rPr>
          <w:sz w:val="20"/>
          <w:szCs w:val="20"/>
        </w:rPr>
        <w:t xml:space="preserve">EIME automates the end-to-end church accounting workflow: invoice ingestion → GL classification → fund restriction enforcement → human-in-the-loop review → approval → journal entry drafting → ledger posting, with bank reconciliation and payment initiation as downstream phases. It is purpose-built for Episcopal and other denominational churches and uses a CrewAI skills-based architecture where all domain knowledge lives in SKILL.md files loaded at runtime.</w:t>
      </w:r>
    </w:p>
    <w:p>
      <w:pPr>
        <w:spacing w:after="80" w:before="80"/>
      </w:pPr>
      <w:r>
        <w:t xml:space="preserve"/>
      </w:r>
    </w:p>
    <w:p>
      <w:pPr>
        <w:spacing w:after="80" w:before="80"/>
      </w:pPr>
      <w:r>
        <w:rPr>
          <w:sz w:val="20"/>
          <w:szCs w:val="20"/>
        </w:rPr>
        <w:t xml:space="preserve">Source documents: EIME_Functional_Requirements_v1.docx (FRD) and EIME_FRS_v1_0_1.docx (FRS). Full extraction in docs/source_extraction.md.</w:t>
      </w:r>
    </w:p>
    <w:p>
      <w:r>
        <w:br w:type="page"/>
      </w:r>
    </w:p>
    <w:p>
      <w:pPr>
        <w:pStyle w:val="Heading1"/>
        <w:spacing w:after="150" w:before="400"/>
      </w:pPr>
      <w:r>
        <w:rPr>
          <w:b/>
          <w:bCs/>
          <w:color w:val="2E4057"/>
          <w:sz w:val="32"/>
          <w:szCs w:val="32"/>
        </w:rPr>
        <w:t xml:space="preserve">2. Bundle Contents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Directory / File</w:t>
            </w:r>
          </w:p>
        </w:tc>
        <w:tc>
          <w:tcPr>
            <w:shd w:fill="2E4057" w:val="clear"/>
            <w:tcMar>
              <w:top w:type="dxa" w:w="80"/>
              <w:left w:type="dxa" w:w="120"/>
              <w:bottom w:type="dxa" w:w="80"/>
              <w:right w:type="dxa" w:w="120"/>
            </w:tcMar>
            <w:vAlign w:val="center"/>
          </w:tcPr>
          <w:p>
            <w:r>
              <w:rPr>
                <w:b/>
                <w:bCs/>
                <w:color w:val="FFFFFF"/>
                <w:sz w:val="18"/>
                <w:szCs w:val="18"/>
              </w:rPr>
              <w:t xml:space="preserve">What's In It</w:t>
            </w:r>
          </w:p>
        </w:tc>
        <w:tc>
          <w:tcPr>
            <w:shd w:fill="2E4057" w:val="clear"/>
            <w:tcMar>
              <w:top w:type="dxa" w:w="80"/>
              <w:left w:type="dxa" w:w="120"/>
              <w:bottom w:type="dxa" w:w="80"/>
              <w:right w:type="dxa" w:w="120"/>
            </w:tcMar>
            <w:vAlign w:val="center"/>
          </w:tcPr>
          <w:p>
            <w:r>
              <w:rPr>
                <w:b/>
                <w:bCs/>
                <w:color w:val="FFFFFF"/>
                <w:sz w:val="18"/>
                <w:szCs w:val="18"/>
              </w:rPr>
              <w:t xml:space="preserve">Produced By</w:t>
            </w:r>
          </w:p>
        </w:tc>
        <w:tc>
          <w:tcPr>
            <w:shd w:fill="2E4057" w:val="clear"/>
            <w:tcMar>
              <w:top w:type="dxa" w:w="80"/>
              <w:left w:type="dxa" w:w="120"/>
              <w:bottom w:type="dxa" w:w="80"/>
              <w:right w:type="dxa" w:w="120"/>
            </w:tcMar>
            <w:vAlign w:val="center"/>
          </w:tcPr>
          <w:p>
            <w:r>
              <w:rPr>
                <w:b/>
                <w:bCs/>
                <w:color w:val="FFFFFF"/>
                <w:sz w:val="18"/>
                <w:szCs w:val="18"/>
              </w:rPr>
              <w:t xml:space="preserve">Count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skills/</w:t>
            </w:r>
          </w:p>
        </w:tc>
        <w:tc>
          <w:tcPr>
            <w:tcMar>
              <w:top w:type="dxa" w:w="80"/>
              <w:left w:type="dxa" w:w="120"/>
              <w:bottom w:type="dxa" w:w="80"/>
              <w:right w:type="dxa" w:w="120"/>
            </w:tcMar>
            <w:vAlign w:val="center"/>
          </w:tcPr>
          <w:p>
            <w:r>
              <w:rPr>
                <w:b w:val="false"/>
                <w:bCs w:val="false"/>
                <w:color w:val="333333"/>
                <w:sz w:val="18"/>
                <w:szCs w:val="18"/>
              </w:rPr>
              <w:t xml:space="preserve">19 SKILL.md files — one per discrete agent capability</w:t>
            </w:r>
          </w:p>
        </w:tc>
        <w:tc>
          <w:tcPr>
            <w:tcMar>
              <w:top w:type="dxa" w:w="80"/>
              <w:left w:type="dxa" w:w="120"/>
              <w:bottom w:type="dxa" w:w="80"/>
              <w:right w:type="dxa" w:w="120"/>
            </w:tcMar>
            <w:vAlign w:val="center"/>
          </w:tcPr>
          <w:p>
            <w:r>
              <w:rPr>
                <w:b w:val="false"/>
                <w:bCs w:val="false"/>
                <w:color w:val="333333"/>
                <w:sz w:val="18"/>
                <w:szCs w:val="18"/>
              </w:rPr>
              <w:t xml:space="preserve">crewai-skills-architect</w:t>
            </w:r>
          </w:p>
        </w:tc>
        <w:tc>
          <w:tcPr>
            <w:tcMar>
              <w:top w:type="dxa" w:w="80"/>
              <w:left w:type="dxa" w:w="120"/>
              <w:bottom w:type="dxa" w:w="80"/>
              <w:right w:type="dxa" w:w="120"/>
            </w:tcMar>
            <w:vAlign w:val="center"/>
          </w:tcPr>
          <w:p>
            <w:r>
              <w:rPr>
                <w:b w:val="false"/>
                <w:bCs w:val="false"/>
                <w:color w:val="333333"/>
                <w:sz w:val="18"/>
                <w:szCs w:val="18"/>
              </w:rPr>
              <w:t xml:space="preserve">19</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membranes/</w:t>
            </w:r>
          </w:p>
        </w:tc>
        <w:tc>
          <w:tcPr>
            <w:tcMar>
              <w:top w:type="dxa" w:w="80"/>
              <w:left w:type="dxa" w:w="120"/>
              <w:bottom w:type="dxa" w:w="80"/>
              <w:right w:type="dxa" w:w="120"/>
            </w:tcMar>
            <w:vAlign w:val="center"/>
          </w:tcPr>
          <w:p>
            <w:r>
              <w:rPr>
                <w:b w:val="false"/>
                <w:bCs w:val="false"/>
                <w:color w:val="333333"/>
                <w:sz w:val="18"/>
                <w:szCs w:val="18"/>
              </w:rPr>
              <w:t xml:space="preserve">Accounting domain membrane configuration YAML</w:t>
            </w:r>
          </w:p>
        </w:tc>
        <w:tc>
          <w:tcPr>
            <w:tcMar>
              <w:top w:type="dxa" w:w="80"/>
              <w:left w:type="dxa" w:w="120"/>
              <w:bottom w:type="dxa" w:w="80"/>
              <w:right w:type="dxa" w:w="120"/>
            </w:tcMar>
            <w:vAlign w:val="center"/>
          </w:tcPr>
          <w:p>
            <w:r>
              <w:rPr>
                <w:b w:val="false"/>
                <w:bCs w:val="false"/>
                <w:color w:val="333333"/>
                <w:sz w:val="18"/>
                <w:szCs w:val="18"/>
              </w:rPr>
              <w:t xml:space="preserve">membrane-agent-designer</w:t>
            </w:r>
          </w:p>
        </w:tc>
        <w:tc>
          <w:tcPr>
            <w:tcMar>
              <w:top w:type="dxa" w:w="80"/>
              <w:left w:type="dxa" w:w="120"/>
              <w:bottom w:type="dxa" w:w="80"/>
              <w:right w:type="dxa" w:w="120"/>
            </w:tcMar>
            <w:vAlign w:val="center"/>
          </w:tcPr>
          <w:p>
            <w:r>
              <w:rPr>
                <w:b w:val="false"/>
                <w:bCs w:val="false"/>
                <w:color w:val="333333"/>
                <w:sz w:val="18"/>
                <w:szCs w:val="18"/>
              </w:rPr>
              <w:t xml:space="preserve">1</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perturbations/</w:t>
            </w:r>
          </w:p>
        </w:tc>
        <w:tc>
          <w:tcPr>
            <w:tcMar>
              <w:top w:type="dxa" w:w="80"/>
              <w:left w:type="dxa" w:w="120"/>
              <w:bottom w:type="dxa" w:w="80"/>
              <w:right w:type="dxa" w:w="120"/>
            </w:tcMar>
            <w:vAlign w:val="center"/>
          </w:tcPr>
          <w:p>
            <w:r>
              <w:rPr>
                <w:b w:val="false"/>
                <w:bCs w:val="false"/>
                <w:color w:val="333333"/>
                <w:sz w:val="18"/>
                <w:szCs w:val="18"/>
              </w:rPr>
              <w:t xml:space="preserve">10 new perturbation YAML registrations</w:t>
            </w:r>
          </w:p>
        </w:tc>
        <w:tc>
          <w:tcPr>
            <w:tcMar>
              <w:top w:type="dxa" w:w="80"/>
              <w:left w:type="dxa" w:w="120"/>
              <w:bottom w:type="dxa" w:w="80"/>
              <w:right w:type="dxa" w:w="120"/>
            </w:tcMar>
            <w:vAlign w:val="center"/>
          </w:tcPr>
          <w:p>
            <w:r>
              <w:rPr>
                <w:b w:val="false"/>
                <w:bCs w:val="false"/>
                <w:color w:val="333333"/>
                <w:sz w:val="18"/>
                <w:szCs w:val="18"/>
              </w:rPr>
              <w:t xml:space="preserve">membrane-agent-designer</w:t>
            </w:r>
          </w:p>
        </w:tc>
        <w:tc>
          <w:tcPr>
            <w:tcMar>
              <w:top w:type="dxa" w:w="80"/>
              <w:left w:type="dxa" w:w="120"/>
              <w:bottom w:type="dxa" w:w="80"/>
              <w:right w:type="dxa" w:w="120"/>
            </w:tcMar>
            <w:vAlign w:val="center"/>
          </w:tcPr>
          <w:p>
            <w:r>
              <w:rPr>
                <w:b w:val="false"/>
                <w:bCs w:val="false"/>
                <w:color w:val="333333"/>
                <w:sz w:val="18"/>
                <w:szCs w:val="18"/>
              </w:rPr>
              <w:t xml:space="preserve">10</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guiders/</w:t>
            </w:r>
          </w:p>
        </w:tc>
        <w:tc>
          <w:tcPr>
            <w:tcMar>
              <w:top w:type="dxa" w:w="80"/>
              <w:left w:type="dxa" w:w="120"/>
              <w:bottom w:type="dxa" w:w="80"/>
              <w:right w:type="dxa" w:w="120"/>
            </w:tcMar>
            <w:vAlign w:val="center"/>
          </w:tcPr>
          <w:p>
            <w:r>
              <w:rPr>
                <w:b w:val="false"/>
                <w:bCs w:val="false"/>
                <w:color w:val="333333"/>
                <w:sz w:val="18"/>
                <w:szCs w:val="18"/>
              </w:rPr>
              <w:t xml:space="preserve">2 new guider SKILL.md files (accounting-integrity, payment-dedup)</w:t>
            </w:r>
          </w:p>
        </w:tc>
        <w:tc>
          <w:tcPr>
            <w:tcMar>
              <w:top w:type="dxa" w:w="80"/>
              <w:left w:type="dxa" w:w="120"/>
              <w:bottom w:type="dxa" w:w="80"/>
              <w:right w:type="dxa" w:w="120"/>
            </w:tcMar>
            <w:vAlign w:val="center"/>
          </w:tcPr>
          <w:p>
            <w:r>
              <w:rPr>
                <w:b w:val="false"/>
                <w:bCs w:val="false"/>
                <w:color w:val="333333"/>
                <w:sz w:val="18"/>
                <w:szCs w:val="18"/>
              </w:rPr>
              <w:t xml:space="preserve">membrane-agent-designer</w:t>
            </w:r>
          </w:p>
        </w:tc>
        <w:tc>
          <w:tcPr>
            <w:tcMar>
              <w:top w:type="dxa" w:w="80"/>
              <w:left w:type="dxa" w:w="120"/>
              <w:bottom w:type="dxa" w:w="80"/>
              <w:right w:type="dxa" w:w="120"/>
            </w:tcMar>
            <w:vAlign w:val="center"/>
          </w:tcPr>
          <w:p>
            <w:r>
              <w:rPr>
                <w:b w:val="false"/>
                <w:bCs w:val="false"/>
                <w:color w:val="333333"/>
                <w:sz w:val="18"/>
                <w:szCs w:val="18"/>
              </w:rPr>
              <w:t xml:space="preserve">2</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mesh/</w:t>
            </w:r>
          </w:p>
        </w:tc>
        <w:tc>
          <w:tcPr>
            <w:tcMar>
              <w:top w:type="dxa" w:w="80"/>
              <w:left w:type="dxa" w:w="120"/>
              <w:bottom w:type="dxa" w:w="80"/>
              <w:right w:type="dxa" w:w="120"/>
            </w:tcMar>
            <w:vAlign w:val="center"/>
          </w:tcPr>
          <w:p>
            <w:r>
              <w:rPr>
                <w:b w:val="false"/>
                <w:bCs w:val="false"/>
                <w:color w:val="333333"/>
                <w:sz w:val="18"/>
                <w:szCs w:val="18"/>
              </w:rPr>
              <w:t xml:space="preserve">mesh_config.yaml, asyncapi.yaml, event_envelope.schema.json</w:t>
            </w:r>
          </w:p>
        </w:tc>
        <w:tc>
          <w:tcPr>
            <w:tcMar>
              <w:top w:type="dxa" w:w="80"/>
              <w:left w:type="dxa" w:w="120"/>
              <w:bottom w:type="dxa" w:w="80"/>
              <w:right w:type="dxa" w:w="120"/>
            </w:tcMar>
            <w:vAlign w:val="center"/>
          </w:tcPr>
          <w:p>
            <w:r>
              <w:rPr>
                <w:b w:val="false"/>
                <w:bCs w:val="false"/>
                <w:color w:val="333333"/>
                <w:sz w:val="18"/>
                <w:szCs w:val="18"/>
              </w:rPr>
              <w:t xml:space="preserve">redis-mesh-wiring</w:t>
            </w:r>
          </w:p>
        </w:tc>
        <w:tc>
          <w:tcPr>
            <w:tcMar>
              <w:top w:type="dxa" w:w="80"/>
              <w:left w:type="dxa" w:w="120"/>
              <w:bottom w:type="dxa" w:w="80"/>
              <w:right w:type="dxa" w:w="120"/>
            </w:tcMar>
            <w:vAlign w:val="center"/>
          </w:tcPr>
          <w:p>
            <w:r>
              <w:rPr>
                <w:b w:val="false"/>
                <w:bCs w:val="false"/>
                <w:color w:val="333333"/>
                <w:sz w:val="18"/>
                <w:szCs w:val="18"/>
              </w:rPr>
              <w:t xml:space="preserve">3</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docs/source_extraction.md</w:t>
            </w:r>
          </w:p>
        </w:tc>
        <w:tc>
          <w:tcPr>
            <w:tcMar>
              <w:top w:type="dxa" w:w="80"/>
              <w:left w:type="dxa" w:w="120"/>
              <w:bottom w:type="dxa" w:w="80"/>
              <w:right w:type="dxa" w:w="120"/>
            </w:tcMar>
            <w:vAlign w:val="center"/>
          </w:tcPr>
          <w:p>
            <w:r>
              <w:rPr>
                <w:b w:val="false"/>
                <w:bCs w:val="false"/>
                <w:color w:val="333333"/>
                <w:sz w:val="18"/>
                <w:szCs w:val="18"/>
              </w:rPr>
              <w:t xml:space="preserve">Structured extraction from the two FRD/FRS source docs</w:t>
            </w:r>
          </w:p>
        </w:tc>
        <w:tc>
          <w:tcPr>
            <w:tcMar>
              <w:top w:type="dxa" w:w="80"/>
              <w:left w:type="dxa" w:w="120"/>
              <w:bottom w:type="dxa" w:w="80"/>
              <w:right w:type="dxa" w:w="120"/>
            </w:tcMar>
            <w:vAlign w:val="center"/>
          </w:tcPr>
          <w:p>
            <w:r>
              <w:rPr>
                <w:b w:val="false"/>
                <w:bCs w:val="false"/>
                <w:color w:val="333333"/>
                <w:sz w:val="18"/>
                <w:szCs w:val="18"/>
              </w:rPr>
              <w:t xml:space="preserve">Phase 1</w:t>
            </w:r>
          </w:p>
        </w:tc>
        <w:tc>
          <w:tcPr>
            <w:tcMar>
              <w:top w:type="dxa" w:w="80"/>
              <w:left w:type="dxa" w:w="120"/>
              <w:bottom w:type="dxa" w:w="80"/>
              <w:right w:type="dxa" w:w="120"/>
            </w:tcMar>
            <w:vAlign w:val="center"/>
          </w:tcPr>
          <w:p>
            <w:r>
              <w:rPr>
                <w:b w:val="false"/>
                <w:bCs w:val="false"/>
                <w:color w:val="333333"/>
                <w:sz w:val="18"/>
                <w:szCs w:val="18"/>
              </w:rPr>
              <w:t xml:space="preserve">1</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docs/registry-additions.xlsx</w:t>
            </w:r>
          </w:p>
        </w:tc>
        <w:tc>
          <w:tcPr>
            <w:tcMar>
              <w:top w:type="dxa" w:w="80"/>
              <w:left w:type="dxa" w:w="120"/>
              <w:bottom w:type="dxa" w:w="80"/>
              <w:right w:type="dxa" w:w="120"/>
            </w:tcMar>
            <w:vAlign w:val="center"/>
          </w:tcPr>
          <w:p>
            <w:r>
              <w:rPr>
                <w:b w:val="false"/>
                <w:bCs w:val="false"/>
                <w:color w:val="333333"/>
                <w:sz w:val="18"/>
                <w:szCs w:val="18"/>
              </w:rPr>
              <w:t xml:space="preserve">Registry diff for review before write-back</w:t>
            </w:r>
          </w:p>
        </w:tc>
        <w:tc>
          <w:tcPr>
            <w:tcMar>
              <w:top w:type="dxa" w:w="80"/>
              <w:left w:type="dxa" w:w="120"/>
              <w:bottom w:type="dxa" w:w="80"/>
              <w:right w:type="dxa" w:w="120"/>
            </w:tcMar>
            <w:vAlign w:val="center"/>
          </w:tcPr>
          <w:p>
            <w:r>
              <w:rPr>
                <w:b w:val="false"/>
                <w:bCs w:val="false"/>
                <w:color w:val="333333"/>
                <w:sz w:val="18"/>
                <w:szCs w:val="18"/>
              </w:rPr>
              <w:t xml:space="preserve">write_registry_diff.py</w:t>
            </w:r>
          </w:p>
        </w:tc>
        <w:tc>
          <w:tcPr>
            <w:tcMar>
              <w:top w:type="dxa" w:w="80"/>
              <w:left w:type="dxa" w:w="120"/>
              <w:bottom w:type="dxa" w:w="80"/>
              <w:right w:type="dxa" w:w="120"/>
            </w:tcMar>
            <w:vAlign w:val="center"/>
          </w:tcPr>
          <w:p>
            <w:r>
              <w:rPr>
                <w:b w:val="false"/>
                <w:bCs w:val="false"/>
                <w:color w:val="333333"/>
                <w:sz w:val="18"/>
                <w:szCs w:val="18"/>
              </w:rPr>
              <w:t xml:space="preserve">1</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docs/inventory_snapshot.json</w:t>
            </w:r>
          </w:p>
        </w:tc>
        <w:tc>
          <w:tcPr>
            <w:tcMar>
              <w:top w:type="dxa" w:w="80"/>
              <w:left w:type="dxa" w:w="120"/>
              <w:bottom w:type="dxa" w:w="80"/>
              <w:right w:type="dxa" w:w="120"/>
            </w:tcMar>
            <w:vAlign w:val="center"/>
          </w:tcPr>
          <w:p>
            <w:r>
              <w:rPr>
                <w:b w:val="false"/>
                <w:bCs w:val="false"/>
                <w:color w:val="333333"/>
                <w:sz w:val="18"/>
                <w:szCs w:val="18"/>
              </w:rPr>
              <w:t xml:space="preserve">Snapshot of all three canonical registries at run start</w:t>
            </w:r>
          </w:p>
        </w:tc>
        <w:tc>
          <w:tcPr>
            <w:tcMar>
              <w:top w:type="dxa" w:w="80"/>
              <w:left w:type="dxa" w:w="120"/>
              <w:bottom w:type="dxa" w:w="80"/>
              <w:right w:type="dxa" w:w="120"/>
            </w:tcMar>
            <w:vAlign w:val="center"/>
          </w:tcPr>
          <w:p>
            <w:r>
              <w:rPr>
                <w:b w:val="false"/>
                <w:bCs w:val="false"/>
                <w:color w:val="333333"/>
                <w:sz w:val="18"/>
                <w:szCs w:val="18"/>
              </w:rPr>
              <w:t xml:space="preserve">load_registries.py</w:t>
            </w:r>
          </w:p>
        </w:tc>
        <w:tc>
          <w:tcPr>
            <w:tcMar>
              <w:top w:type="dxa" w:w="80"/>
              <w:left w:type="dxa" w:w="120"/>
              <w:bottom w:type="dxa" w:w="80"/>
              <w:right w:type="dxa" w:w="120"/>
            </w:tcMar>
            <w:vAlign w:val="center"/>
          </w:tcPr>
          <w:p>
            <w:r>
              <w:rPr>
                <w:b w:val="false"/>
                <w:bCs w:val="false"/>
                <w:color w:val="333333"/>
                <w:sz w:val="18"/>
                <w:szCs w:val="18"/>
              </w:rPr>
              <w:t xml:space="preserve">1</w:t>
            </w:r>
          </w:p>
        </w:tc>
      </w:tr>
    </w:tbl>
    <w:p>
      <w:r>
        <w:br w:type="page"/>
      </w:r>
    </w:p>
    <w:p>
      <w:pPr>
        <w:pStyle w:val="Heading1"/>
        <w:spacing w:after="150" w:before="400"/>
      </w:pPr>
      <w:r>
        <w:rPr>
          <w:b/>
          <w:bCs/>
          <w:color w:val="2E4057"/>
          <w:sz w:val="32"/>
          <w:szCs w:val="32"/>
        </w:rPr>
        <w:t xml:space="preserve">3. Skill Library (19 Skills)</w:t>
      </w:r>
    </w:p>
    <w:p>
      <w:pPr>
        <w:spacing w:after="80" w:before="80"/>
      </w:pPr>
      <w:r>
        <w:rPr>
          <w:sz w:val="20"/>
          <w:szCs w:val="20"/>
        </w:rPr>
        <w:t xml:space="preserve">All skills follow the path convention skills/&lt;archetype&gt;/&lt;skill-name&gt;/SKILL.md. The skill router discovers them at runtime — no Python code changes are needed to add a skill to the library.</w:t>
      </w:r>
    </w:p>
    <w:p>
      <w:pPr>
        <w:spacing w:after="80" w:before="80"/>
      </w:pPr>
      <w:r>
        <w:t xml:space="preserve"/>
      </w:r>
    </w:p>
    <w:p>
      <w:pPr>
        <w:pStyle w:val="Heading2"/>
        <w:spacing w:after="100" w:before="300"/>
      </w:pPr>
      <w:r>
        <w:rPr>
          <w:b/>
          <w:bCs/>
          <w:color w:val="2E4057"/>
          <w:sz w:val="26"/>
          <w:szCs w:val="26"/>
        </w:rPr>
        <w:t xml:space="preserve">3.1 Orchestrator</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Skill</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c>
          <w:tcPr>
            <w:shd w:fill="2E4057" w:val="clear"/>
            <w:tcMar>
              <w:top w:type="dxa" w:w="80"/>
              <w:left w:type="dxa" w:w="120"/>
              <w:bottom w:type="dxa" w:w="80"/>
              <w:right w:type="dxa" w:w="120"/>
            </w:tcMar>
            <w:vAlign w:val="center"/>
          </w:tcPr>
          <w:p>
            <w:r>
              <w:rPr>
                <w:b/>
                <w:bCs/>
                <w:color w:val="FFFFFF"/>
                <w:sz w:val="18"/>
                <w:szCs w:val="18"/>
              </w:rPr>
              <w:t xml:space="preserve">Key Inputs</w:t>
            </w:r>
          </w:p>
        </w:tc>
        <w:tc>
          <w:tcPr>
            <w:shd w:fill="2E4057" w:val="clear"/>
            <w:tcMar>
              <w:top w:type="dxa" w:w="80"/>
              <w:left w:type="dxa" w:w="120"/>
              <w:bottom w:type="dxa" w:w="80"/>
              <w:right w:type="dxa" w:w="120"/>
            </w:tcMar>
            <w:vAlign w:val="center"/>
          </w:tcPr>
          <w:p>
            <w:r>
              <w:rPr>
                <w:b/>
                <w:bCs/>
                <w:color w:val="FFFFFF"/>
                <w:sz w:val="18"/>
                <w:szCs w:val="18"/>
              </w:rPr>
              <w:t xml:space="preserve">Key Output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invoice_processing_workflow</w:t>
            </w:r>
          </w:p>
        </w:tc>
        <w:tc>
          <w:tcPr>
            <w:tcMar>
              <w:top w:type="dxa" w:w="80"/>
              <w:left w:type="dxa" w:w="120"/>
              <w:bottom w:type="dxa" w:w="80"/>
              <w:right w:type="dxa" w:w="120"/>
            </w:tcMar>
            <w:vAlign w:val="center"/>
          </w:tcPr>
          <w:p>
            <w:r>
              <w:rPr>
                <w:b w:val="false"/>
                <w:bCs w:val="false"/>
                <w:color w:val="333333"/>
                <w:sz w:val="18"/>
                <w:szCs w:val="18"/>
              </w:rPr>
              <w:t xml:space="preserve">Top-level workflow planner; emits execution plan for the Flow layer</w:t>
            </w:r>
          </w:p>
        </w:tc>
        <w:tc>
          <w:tcPr>
            <w:tcMar>
              <w:top w:type="dxa" w:w="80"/>
              <w:left w:type="dxa" w:w="120"/>
              <w:bottom w:type="dxa" w:w="80"/>
              <w:right w:type="dxa" w:w="120"/>
            </w:tcMar>
            <w:vAlign w:val="center"/>
          </w:tcPr>
          <w:p>
            <w:r>
              <w:rPr>
                <w:b w:val="false"/>
                <w:bCs w:val="false"/>
                <w:color w:val="333333"/>
                <w:sz w:val="18"/>
                <w:szCs w:val="18"/>
              </w:rPr>
              <w:t xml:space="preserve">upload_path, church_id, fiscal_year</w:t>
            </w:r>
          </w:p>
        </w:tc>
        <w:tc>
          <w:tcPr>
            <w:tcMar>
              <w:top w:type="dxa" w:w="80"/>
              <w:left w:type="dxa" w:w="120"/>
              <w:bottom w:type="dxa" w:w="80"/>
              <w:right w:type="dxa" w:w="120"/>
            </w:tcMar>
            <w:vAlign w:val="center"/>
          </w:tcPr>
          <w:p>
            <w:r>
              <w:rPr>
                <w:b w:val="false"/>
                <w:bCs w:val="false"/>
                <w:color w:val="333333"/>
                <w:sz w:val="18"/>
                <w:szCs w:val="18"/>
              </w:rPr>
              <w:t xml:space="preserve">ExecutionPlan (step sequence)</w:t>
            </w:r>
          </w:p>
        </w:tc>
      </w:tr>
    </w:tbl>
    <w:p>
      <w:pPr>
        <w:pStyle w:val="Heading2"/>
        <w:spacing w:after="100" w:before="300"/>
      </w:pPr>
      <w:r>
        <w:rPr>
          <w:b/>
          <w:bCs/>
          <w:color w:val="2E4057"/>
          <w:sz w:val="26"/>
          <w:szCs w:val="26"/>
        </w:rPr>
        <w:t xml:space="preserve">3.2 Researcher</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Skill</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c>
          <w:tcPr>
            <w:shd w:fill="2E4057" w:val="clear"/>
            <w:tcMar>
              <w:top w:type="dxa" w:w="80"/>
              <w:left w:type="dxa" w:w="120"/>
              <w:bottom w:type="dxa" w:w="80"/>
              <w:right w:type="dxa" w:w="120"/>
            </w:tcMar>
            <w:vAlign w:val="center"/>
          </w:tcPr>
          <w:p>
            <w:r>
              <w:rPr>
                <w:b/>
                <w:bCs/>
                <w:color w:val="FFFFFF"/>
                <w:sz w:val="18"/>
                <w:szCs w:val="18"/>
              </w:rPr>
              <w:t xml:space="preserve">Key Inputs</w:t>
            </w:r>
          </w:p>
        </w:tc>
        <w:tc>
          <w:tcPr>
            <w:shd w:fill="2E4057" w:val="clear"/>
            <w:tcMar>
              <w:top w:type="dxa" w:w="80"/>
              <w:left w:type="dxa" w:w="120"/>
              <w:bottom w:type="dxa" w:w="80"/>
              <w:right w:type="dxa" w:w="120"/>
            </w:tcMar>
            <w:vAlign w:val="center"/>
          </w:tcPr>
          <w:p>
            <w:r>
              <w:rPr>
                <w:b/>
                <w:bCs/>
                <w:color w:val="FFFFFF"/>
                <w:sz w:val="18"/>
                <w:szCs w:val="18"/>
              </w:rPr>
              <w:t xml:space="preserve">Key Output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coa_reference_loader</w:t>
            </w:r>
          </w:p>
        </w:tc>
        <w:tc>
          <w:tcPr>
            <w:tcMar>
              <w:top w:type="dxa" w:w="80"/>
              <w:left w:type="dxa" w:w="120"/>
              <w:bottom w:type="dxa" w:w="80"/>
              <w:right w:type="dxa" w:w="120"/>
            </w:tcMar>
            <w:vAlign w:val="center"/>
          </w:tcPr>
          <w:p>
            <w:r>
              <w:rPr>
                <w:b w:val="false"/>
                <w:bCs w:val="false"/>
                <w:color w:val="333333"/>
                <w:sz w:val="18"/>
                <w:szCs w:val="18"/>
              </w:rPr>
              <w:t xml:space="preserve">Load COA, funds, allocation schedules, denomination rules</w:t>
            </w:r>
          </w:p>
        </w:tc>
        <w:tc>
          <w:tcPr>
            <w:tcMar>
              <w:top w:type="dxa" w:w="80"/>
              <w:left w:type="dxa" w:w="120"/>
              <w:bottom w:type="dxa" w:w="80"/>
              <w:right w:type="dxa" w:w="120"/>
            </w:tcMar>
            <w:vAlign w:val="center"/>
          </w:tcPr>
          <w:p>
            <w:r>
              <w:rPr>
                <w:b w:val="false"/>
                <w:bCs w:val="false"/>
                <w:color w:val="333333"/>
                <w:sz w:val="18"/>
                <w:szCs w:val="18"/>
              </w:rPr>
              <w:t xml:space="preserve">church_id, fiscal_year</w:t>
            </w:r>
          </w:p>
        </w:tc>
        <w:tc>
          <w:tcPr>
            <w:tcMar>
              <w:top w:type="dxa" w:w="80"/>
              <w:left w:type="dxa" w:w="120"/>
              <w:bottom w:type="dxa" w:w="80"/>
              <w:right w:type="dxa" w:w="120"/>
            </w:tcMar>
            <w:vAlign w:val="center"/>
          </w:tcPr>
          <w:p>
            <w:r>
              <w:rPr>
                <w:b w:val="false"/>
                <w:bCs w:val="false"/>
                <w:color w:val="333333"/>
                <w:sz w:val="18"/>
                <w:szCs w:val="18"/>
              </w:rPr>
              <w:t xml:space="preserve">AccountingContext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vendor_history_lookup</w:t>
            </w:r>
          </w:p>
        </w:tc>
        <w:tc>
          <w:tcPr>
            <w:tcMar>
              <w:top w:type="dxa" w:w="80"/>
              <w:left w:type="dxa" w:w="120"/>
              <w:bottom w:type="dxa" w:w="80"/>
              <w:right w:type="dxa" w:w="120"/>
            </w:tcMar>
            <w:vAlign w:val="center"/>
          </w:tcPr>
          <w:p>
            <w:r>
              <w:rPr>
                <w:b w:val="false"/>
                <w:bCs w:val="false"/>
                <w:color w:val="333333"/>
                <w:sz w:val="18"/>
                <w:szCs w:val="18"/>
              </w:rPr>
              <w:t xml:space="preserve">Query 12 months of GL postings for a vendor as classification prior</w:t>
            </w:r>
          </w:p>
        </w:tc>
        <w:tc>
          <w:tcPr>
            <w:tcMar>
              <w:top w:type="dxa" w:w="80"/>
              <w:left w:type="dxa" w:w="120"/>
              <w:bottom w:type="dxa" w:w="80"/>
              <w:right w:type="dxa" w:w="120"/>
            </w:tcMar>
            <w:vAlign w:val="center"/>
          </w:tcPr>
          <w:p>
            <w:r>
              <w:rPr>
                <w:b w:val="false"/>
                <w:bCs w:val="false"/>
                <w:color w:val="333333"/>
                <w:sz w:val="18"/>
                <w:szCs w:val="18"/>
              </w:rPr>
              <w:t xml:space="preserve">vendor_name, church_id</w:t>
            </w:r>
          </w:p>
        </w:tc>
        <w:tc>
          <w:tcPr>
            <w:tcMar>
              <w:top w:type="dxa" w:w="80"/>
              <w:left w:type="dxa" w:w="120"/>
              <w:bottom w:type="dxa" w:w="80"/>
              <w:right w:type="dxa" w:w="120"/>
            </w:tcMar>
            <w:vAlign w:val="center"/>
          </w:tcPr>
          <w:p>
            <w:r>
              <w:rPr>
                <w:b w:val="false"/>
                <w:bCs w:val="false"/>
                <w:color w:val="333333"/>
                <w:sz w:val="18"/>
                <w:szCs w:val="18"/>
              </w:rPr>
              <w:t xml:space="preserve">VendorHistory[]</w:t>
            </w:r>
          </w:p>
        </w:tc>
      </w:tr>
    </w:tbl>
    <w:p>
      <w:pPr>
        <w:pStyle w:val="Heading2"/>
        <w:spacing w:after="100" w:before="300"/>
      </w:pPr>
      <w:r>
        <w:rPr>
          <w:b/>
          <w:bCs/>
          <w:color w:val="2E4057"/>
          <w:sz w:val="26"/>
          <w:szCs w:val="26"/>
        </w:rPr>
        <w:t xml:space="preserve">3.3 Worker</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Skill</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pdf_extraction</w:t>
            </w:r>
          </w:p>
        </w:tc>
        <w:tc>
          <w:tcPr>
            <w:tcMar>
              <w:top w:type="dxa" w:w="80"/>
              <w:left w:type="dxa" w:w="120"/>
              <w:bottom w:type="dxa" w:w="80"/>
              <w:right w:type="dxa" w:w="120"/>
            </w:tcMar>
            <w:vAlign w:val="center"/>
          </w:tcPr>
          <w:p>
            <w:r>
              <w:rPr>
                <w:b w:val="false"/>
                <w:bCs w:val="false"/>
                <w:color w:val="333333"/>
                <w:sz w:val="18"/>
                <w:szCs w:val="18"/>
              </w:rPr>
              <w:t xml:space="preserve">Extract InvoiceDocument from PDF/image; handles OCR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line_item_classifier</w:t>
            </w:r>
          </w:p>
        </w:tc>
        <w:tc>
          <w:tcPr>
            <w:tcMar>
              <w:top w:type="dxa" w:w="80"/>
              <w:left w:type="dxa" w:w="120"/>
              <w:bottom w:type="dxa" w:w="80"/>
              <w:right w:type="dxa" w:w="120"/>
            </w:tcMar>
            <w:vAlign w:val="center"/>
          </w:tcPr>
          <w:p>
            <w:r>
              <w:rPr>
                <w:b w:val="false"/>
                <w:bCs w:val="false"/>
                <w:color w:val="333333"/>
                <w:sz w:val="18"/>
                <w:szCs w:val="18"/>
              </w:rPr>
              <w:t xml:space="preserve">Classify each line by expense category, ministry area, and flags (housing, missions, capitalise, apportionment, split)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gl_account_mapper</w:t>
            </w:r>
          </w:p>
        </w:tc>
        <w:tc>
          <w:tcPr>
            <w:tcMar>
              <w:top w:type="dxa" w:w="80"/>
              <w:left w:type="dxa" w:w="120"/>
              <w:bottom w:type="dxa" w:w="80"/>
              <w:right w:type="dxa" w:w="120"/>
            </w:tcMar>
            <w:vAlign w:val="center"/>
          </w:tcPr>
          <w:p>
            <w:r>
              <w:rPr>
                <w:b w:val="false"/>
                <w:bCs w:val="false"/>
                <w:color w:val="333333"/>
                <w:sz w:val="18"/>
                <w:szCs w:val="18"/>
              </w:rPr>
              <w:t xml:space="preserve">Map classified lines to GL accounts with confidence scores and split allocation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journal_entry_builder</w:t>
            </w:r>
          </w:p>
        </w:tc>
        <w:tc>
          <w:tcPr>
            <w:tcMar>
              <w:top w:type="dxa" w:w="80"/>
              <w:left w:type="dxa" w:w="120"/>
              <w:bottom w:type="dxa" w:w="80"/>
              <w:right w:type="dxa" w:w="120"/>
            </w:tcMar>
            <w:vAlign w:val="center"/>
          </w:tcPr>
          <w:p>
            <w:r>
              <w:rPr>
                <w:b w:val="false"/>
                <w:bCs w:val="false"/>
                <w:color w:val="333333"/>
                <w:sz w:val="18"/>
                <w:szCs w:val="18"/>
              </w:rPr>
              <w:t xml:space="preserve">Assemble final posting lines into JournalEntry; generate audit trail PDF</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credit_memo_handler</w:t>
            </w:r>
          </w:p>
        </w:tc>
        <w:tc>
          <w:tcPr>
            <w:tcMar>
              <w:top w:type="dxa" w:w="80"/>
              <w:left w:type="dxa" w:w="120"/>
              <w:bottom w:type="dxa" w:w="80"/>
              <w:right w:type="dxa" w:w="120"/>
            </w:tcMar>
            <w:vAlign w:val="center"/>
          </w:tcPr>
          <w:p>
            <w:r>
              <w:rPr>
                <w:b w:val="false"/>
                <w:bCs w:val="false"/>
                <w:color w:val="333333"/>
                <w:sz w:val="18"/>
                <w:szCs w:val="18"/>
              </w:rPr>
              <w:t xml:space="preserve">Reverse-post credit memo lines against original AP entry</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payment_matching</w:t>
            </w:r>
          </w:p>
        </w:tc>
        <w:tc>
          <w:tcPr>
            <w:tcMar>
              <w:top w:type="dxa" w:w="80"/>
              <w:left w:type="dxa" w:w="120"/>
              <w:bottom w:type="dxa" w:w="80"/>
              <w:right w:type="dxa" w:w="120"/>
            </w:tcMar>
            <w:vAlign w:val="center"/>
          </w:tcPr>
          <w:p>
            <w:r>
              <w:rPr>
                <w:b w:val="false"/>
                <w:bCs w:val="false"/>
                <w:color w:val="333333"/>
                <w:sz w:val="18"/>
                <w:szCs w:val="18"/>
              </w:rPr>
              <w:t xml:space="preserve">Match payment remittance to open AP invoices; dedup check against Vanco</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housing_allowance_validator</w:t>
            </w:r>
          </w:p>
        </w:tc>
        <w:tc>
          <w:tcPr>
            <w:tcMar>
              <w:top w:type="dxa" w:w="80"/>
              <w:left w:type="dxa" w:w="120"/>
              <w:bottom w:type="dxa" w:w="80"/>
              <w:right w:type="dxa" w:w="120"/>
            </w:tcMar>
            <w:vAlign w:val="center"/>
          </w:tcPr>
          <w:p>
            <w:r>
              <w:rPr>
                <w:b w:val="false"/>
                <w:bCs w:val="false"/>
                <w:color w:val="333333"/>
                <w:sz w:val="18"/>
                <w:szCs w:val="18"/>
              </w:rPr>
              <w:t xml:space="preserve">Validate housing/parsonage expenses against annual allowance election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missions_passthrough_handler</w:t>
            </w:r>
          </w:p>
        </w:tc>
        <w:tc>
          <w:tcPr>
            <w:tcMar>
              <w:top w:type="dxa" w:w="80"/>
              <w:left w:type="dxa" w:w="120"/>
              <w:bottom w:type="dxa" w:w="80"/>
              <w:right w:type="dxa" w:w="120"/>
            </w:tcMar>
            <w:vAlign w:val="center"/>
          </w:tcPr>
          <w:p>
            <w:r>
              <w:rPr>
                <w:b w:val="false"/>
                <w:bCs w:val="false"/>
                <w:color w:val="333333"/>
                <w:sz w:val="18"/>
                <w:szCs w:val="18"/>
              </w:rPr>
              <w:t xml:space="preserve">Handle conduit missions disbursements; enforce committee attestation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capitalisation_checker</w:t>
            </w:r>
          </w:p>
        </w:tc>
        <w:tc>
          <w:tcPr>
            <w:tcMar>
              <w:top w:type="dxa" w:w="80"/>
              <w:left w:type="dxa" w:w="120"/>
              <w:bottom w:type="dxa" w:w="80"/>
              <w:right w:type="dxa" w:w="120"/>
            </w:tcMar>
            <w:vAlign w:val="center"/>
          </w:tcPr>
          <w:p>
            <w:r>
              <w:rPr>
                <w:b w:val="false"/>
                <w:bCs w:val="false"/>
                <w:color w:val="333333"/>
                <w:sz w:val="18"/>
                <w:szCs w:val="18"/>
              </w:rPr>
              <w:t xml:space="preserve">Determine must_capitalise flag and correct fixed-asset account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expense_taxonomy_v1</w:t>
            </w:r>
          </w:p>
        </w:tc>
        <w:tc>
          <w:tcPr>
            <w:tcMar>
              <w:top w:type="dxa" w:w="80"/>
              <w:left w:type="dxa" w:w="120"/>
              <w:bottom w:type="dxa" w:w="80"/>
              <w:right w:type="dxa" w:w="120"/>
            </w:tcMar>
            <w:vAlign w:val="center"/>
          </w:tcPr>
          <w:p>
            <w:r>
              <w:rPr>
                <w:b w:val="false"/>
                <w:bCs w:val="false"/>
                <w:color w:val="333333"/>
                <w:sz w:val="18"/>
                <w:szCs w:val="18"/>
              </w:rPr>
              <w:t xml:space="preserve">Church expense taxonomy reference (40+ categories) loaded by line_item_classifier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denomination_rules/episcopal</w:t>
            </w:r>
          </w:p>
        </w:tc>
        <w:tc>
          <w:tcPr>
            <w:tcMar>
              <w:top w:type="dxa" w:w="80"/>
              <w:left w:type="dxa" w:w="120"/>
              <w:bottom w:type="dxa" w:w="80"/>
              <w:right w:type="dxa" w:w="120"/>
            </w:tcMar>
            <w:vAlign w:val="center"/>
          </w:tcPr>
          <w:p>
            <w:r>
              <w:rPr>
                <w:b w:val="false"/>
                <w:bCs w:val="false"/>
                <w:color w:val="333333"/>
                <w:sz w:val="18"/>
                <w:szCs w:val="18"/>
              </w:rPr>
              <w:t xml:space="preserve">Episcopal-specific rules: diocesan assessment, Canon Title I §7, parochial report fields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denomination_rules/umc</w:t>
            </w:r>
          </w:p>
        </w:tc>
        <w:tc>
          <w:tcPr>
            <w:tcMar>
              <w:top w:type="dxa" w:w="80"/>
              <w:left w:type="dxa" w:w="120"/>
              <w:bottom w:type="dxa" w:w="80"/>
              <w:right w:type="dxa" w:w="120"/>
            </w:tcMar>
            <w:vAlign w:val="center"/>
          </w:tcPr>
          <w:p>
            <w:r>
              <w:rPr>
                <w:b w:val="false"/>
                <w:bCs w:val="false"/>
                <w:color w:val="333333"/>
                <w:sz w:val="18"/>
                <w:szCs w:val="18"/>
              </w:rPr>
              <w:t xml:space="preserve">UMC rules: GCFA COA, apportionment computation, circuit segregation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denomination_rules/catholic_parish</w:t>
            </w:r>
          </w:p>
        </w:tc>
        <w:tc>
          <w:tcPr>
            <w:tcMar>
              <w:top w:type="dxa" w:w="80"/>
              <w:left w:type="dxa" w:w="120"/>
              <w:bottom w:type="dxa" w:w="80"/>
              <w:right w:type="dxa" w:w="120"/>
            </w:tcMar>
            <w:vAlign w:val="center"/>
          </w:tcPr>
          <w:p>
            <w:r>
              <w:rPr>
                <w:b w:val="false"/>
                <w:bCs w:val="false"/>
                <w:color w:val="333333"/>
                <w:sz w:val="18"/>
                <w:szCs w:val="18"/>
              </w:rPr>
              <w:t xml:space="preserve">Catholic parish: diocese COA control, offertory/second-collection, Mass stipend</w:t>
            </w:r>
          </w:p>
        </w:tc>
      </w:tr>
    </w:tbl>
    <w:p>
      <w:pPr>
        <w:pStyle w:val="Heading2"/>
        <w:spacing w:after="100" w:before="300"/>
      </w:pPr>
      <w:r>
        <w:rPr>
          <w:b/>
          <w:bCs/>
          <w:color w:val="2E4057"/>
          <w:sz w:val="26"/>
          <w:szCs w:val="26"/>
        </w:rPr>
        <w:t xml:space="preserve">3.4 Reviewer</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Skill</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c>
          <w:tcPr>
            <w:shd w:fill="2E4057" w:val="clear"/>
            <w:tcMar>
              <w:top w:type="dxa" w:w="80"/>
              <w:left w:type="dxa" w:w="120"/>
              <w:bottom w:type="dxa" w:w="80"/>
              <w:right w:type="dxa" w:w="120"/>
            </w:tcMar>
            <w:vAlign w:val="center"/>
          </w:tcPr>
          <w:p>
            <w:r>
              <w:rPr>
                <w:b/>
                <w:bCs/>
                <w:color w:val="FFFFFF"/>
                <w:sz w:val="18"/>
                <w:szCs w:val="18"/>
              </w:rPr>
              <w:t xml:space="preserve">Verdicts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allocation_reviewer</w:t>
            </w:r>
          </w:p>
        </w:tc>
        <w:tc>
          <w:tcPr>
            <w:tcMar>
              <w:top w:type="dxa" w:w="80"/>
              <w:left w:type="dxa" w:w="120"/>
              <w:bottom w:type="dxa" w:w="80"/>
              <w:right w:type="dxa" w:w="120"/>
            </w:tcMar>
            <w:vAlign w:val="center"/>
          </w:tcPr>
          <w:p>
            <w:r>
              <w:rPr>
                <w:b w:val="false"/>
                <w:bCs w:val="false"/>
                <w:color w:val="333333"/>
                <w:sz w:val="18"/>
                <w:szCs w:val="18"/>
              </w:rPr>
              <w:t xml:space="preserve">Validate draft allocations against restriction rules, confidence threshold, housing limit, capitalisation check</w:t>
            </w:r>
          </w:p>
        </w:tc>
        <w:tc>
          <w:tcPr>
            <w:tcMar>
              <w:top w:type="dxa" w:w="80"/>
              <w:left w:type="dxa" w:w="120"/>
              <w:bottom w:type="dxa" w:w="80"/>
              <w:right w:type="dxa" w:w="120"/>
            </w:tcMar>
            <w:vAlign w:val="center"/>
          </w:tcPr>
          <w:p>
            <w:r>
              <w:rPr>
                <w:b w:val="false"/>
                <w:bCs w:val="false"/>
                <w:color w:val="333333"/>
                <w:sz w:val="18"/>
                <w:szCs w:val="18"/>
              </w:rPr>
              <w:t xml:space="preserve">APPROVED | REVISE | ESCALATE</w:t>
            </w:r>
          </w:p>
        </w:tc>
      </w:tr>
    </w:tbl>
    <w:p>
      <w:pPr>
        <w:pStyle w:val="Heading2"/>
        <w:spacing w:after="100" w:before="300"/>
      </w:pPr>
      <w:r>
        <w:rPr>
          <w:b/>
          <w:bCs/>
          <w:color w:val="2E4057"/>
          <w:sz w:val="26"/>
          <w:szCs w:val="26"/>
        </w:rPr>
        <w:t xml:space="preserve">3.5 Conversationalist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Skill</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hitl_invoice_gate</w:t>
            </w:r>
          </w:p>
        </w:tc>
        <w:tc>
          <w:tcPr>
            <w:tcMar>
              <w:top w:type="dxa" w:w="80"/>
              <w:left w:type="dxa" w:w="120"/>
              <w:bottom w:type="dxa" w:w="80"/>
              <w:right w:type="dxa" w:w="120"/>
            </w:tcMar>
            <w:vAlign w:val="center"/>
          </w:tcPr>
          <w:p>
            <w:r>
              <w:rPr>
                <w:b w:val="false"/>
                <w:bCs w:val="false"/>
                <w:color w:val="333333"/>
                <w:sz w:val="18"/>
                <w:szCs w:val="18"/>
              </w:rPr>
              <w:t xml:space="preserve">Present escalated items to treasurer / finance committee / personnel committee / missions committee; collect decisions; resume Flow</w:t>
            </w:r>
          </w:p>
        </w:tc>
      </w:tr>
    </w:tbl>
    <w:p>
      <w:pPr>
        <w:pStyle w:val="Heading2"/>
        <w:spacing w:after="100" w:before="300"/>
      </w:pPr>
      <w:r>
        <w:rPr>
          <w:b/>
          <w:bCs/>
          <w:color w:val="2E4057"/>
          <w:sz w:val="26"/>
          <w:szCs w:val="26"/>
        </w:rPr>
        <w:t xml:space="preserve">3.6 Membrane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Skill</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accounting_domain_distillation</w:t>
            </w:r>
          </w:p>
        </w:tc>
        <w:tc>
          <w:tcPr>
            <w:tcMar>
              <w:top w:type="dxa" w:w="80"/>
              <w:left w:type="dxa" w:w="120"/>
              <w:bottom w:type="dxa" w:w="80"/>
              <w:right w:type="dxa" w:w="120"/>
            </w:tcMar>
            <w:vAlign w:val="center"/>
          </w:tcPr>
          <w:p>
            <w:r>
              <w:rPr>
                <w:b w:val="false"/>
                <w:bCs w:val="false"/>
                <w:color w:val="333333"/>
                <w:sz w:val="18"/>
                <w:szCs w:val="18"/>
              </w:rPr>
              <w:t xml:space="preserve">Strip internal reasoning; validate completeness; emit JOURNAL_ENTRY_READY to Embark event mesh</w:t>
            </w:r>
          </w:p>
        </w:tc>
      </w:tr>
    </w:tbl>
    <w:p>
      <w:r>
        <w:br w:type="page"/>
      </w:r>
    </w:p>
    <w:p>
      <w:pPr>
        <w:pStyle w:val="Heading1"/>
        <w:spacing w:after="150" w:before="400"/>
      </w:pPr>
      <w:r>
        <w:rPr>
          <w:b/>
          <w:bCs/>
          <w:color w:val="2E4057"/>
          <w:sz w:val="32"/>
          <w:szCs w:val="32"/>
        </w:rPr>
        <w:t xml:space="preserve">4. Accounting Domain Membrane</w:t>
      </w:r>
    </w:p>
    <w:p>
      <w:pPr>
        <w:spacing w:after="80" w:before="80"/>
      </w:pPr>
      <w:r>
        <w:rPr>
          <w:sz w:val="20"/>
          <w:szCs w:val="20"/>
        </w:rPr>
        <w:t xml:space="preserve">File: membranes/accounting_domain_membrane.yaml</w:t>
      </w:r>
    </w:p>
    <w:p>
      <w:pPr>
        <w:spacing w:after="80" w:before="80"/>
      </w:pPr>
      <w:r>
        <w:t xml:space="preserve"/>
      </w:r>
    </w:p>
    <w:p>
      <w:pPr>
        <w:spacing w:after="80" w:before="80"/>
      </w:pPr>
      <w:r>
        <w:rPr>
          <w:b w:val="false"/>
          <w:bCs w:val="false"/>
          <w:sz w:val="20"/>
          <w:szCs w:val="20"/>
        </w:rPr>
        <w:t xml:space="preserve">The membrane is the outer boundary of the EIME domain. It sits between the EIME Invoice Processing domain and the broader Embark event mesh. All signals exiting the accounting domain pass through this membrane's five components:</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Component</w:t>
            </w:r>
          </w:p>
        </w:tc>
        <w:tc>
          <w:tcPr>
            <w:shd w:fill="2E4057" w:val="clear"/>
            <w:tcMar>
              <w:top w:type="dxa" w:w="80"/>
              <w:left w:type="dxa" w:w="120"/>
              <w:bottom w:type="dxa" w:w="80"/>
              <w:right w:type="dxa" w:w="120"/>
            </w:tcMar>
            <w:vAlign w:val="center"/>
          </w:tcPr>
          <w:p>
            <w:r>
              <w:rPr>
                <w:b/>
                <w:bCs/>
                <w:color w:val="FFFFFF"/>
                <w:sz w:val="18"/>
                <w:szCs w:val="18"/>
              </w:rPr>
              <w:t xml:space="preserve">Job</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Distiller</w:t>
            </w:r>
          </w:p>
        </w:tc>
        <w:tc>
          <w:tcPr>
            <w:tcMar>
              <w:top w:type="dxa" w:w="80"/>
              <w:left w:type="dxa" w:w="120"/>
              <w:bottom w:type="dxa" w:w="80"/>
              <w:right w:type="dxa" w:w="120"/>
            </w:tcMar>
            <w:vAlign w:val="center"/>
          </w:tcPr>
          <w:p>
            <w:r>
              <w:rPr>
                <w:b w:val="false"/>
                <w:bCs w:val="false"/>
                <w:color w:val="333333"/>
                <w:sz w:val="18"/>
                <w:szCs w:val="18"/>
              </w:rPr>
              <w:t xml:space="preserve">Collects completed JournalEntry; strips internal reasoning artifacts; builds AccountingDomainEvent envelope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Redactor</w:t>
            </w:r>
          </w:p>
        </w:tc>
        <w:tc>
          <w:tcPr>
            <w:tcMar>
              <w:top w:type="dxa" w:w="80"/>
              <w:left w:type="dxa" w:w="120"/>
              <w:bottom w:type="dxa" w:w="80"/>
              <w:right w:type="dxa" w:w="120"/>
            </w:tcMar>
            <w:vAlign w:val="center"/>
          </w:tcPr>
          <w:p>
            <w:r>
              <w:rPr>
                <w:b w:val="false"/>
                <w:bCs w:val="false"/>
                <w:color w:val="333333"/>
                <w:sz w:val="18"/>
                <w:szCs w:val="18"/>
              </w:rPr>
              <w:t xml:space="preserve">Blocks raw PDFs, strips confidence scores and classification rationale, pseudonymizes reviewer IDs before cross-domain publication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Guider Layer</w:t>
            </w:r>
          </w:p>
        </w:tc>
        <w:tc>
          <w:tcPr>
            <w:tcMar>
              <w:top w:type="dxa" w:w="80"/>
              <w:left w:type="dxa" w:w="120"/>
              <w:bottom w:type="dxa" w:w="80"/>
              <w:right w:type="dxa" w:w="120"/>
            </w:tcMar>
            <w:vAlign w:val="center"/>
          </w:tcPr>
          <w:p>
            <w:r>
              <w:rPr>
                <w:b w:val="false"/>
                <w:bCs w:val="false"/>
                <w:color w:val="333333"/>
                <w:sz w:val="18"/>
                <w:szCs w:val="18"/>
              </w:rPr>
              <w:t xml:space="preserve">6-position cascade (see below) — annotates, blocks, or escalates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Publisher</w:t>
            </w:r>
          </w:p>
        </w:tc>
        <w:tc>
          <w:tcPr>
            <w:tcMar>
              <w:top w:type="dxa" w:w="80"/>
              <w:left w:type="dxa" w:w="120"/>
              <w:bottom w:type="dxa" w:w="80"/>
              <w:right w:type="dxa" w:w="120"/>
            </w:tcMar>
            <w:vAlign w:val="center"/>
          </w:tcPr>
          <w:p>
            <w:r>
              <w:rPr>
                <w:b w:val="false"/>
                <w:bCs w:val="false"/>
                <w:color w:val="333333"/>
                <w:sz w:val="18"/>
                <w:szCs w:val="18"/>
              </w:rPr>
              <w:t xml:space="preserve">Emits to Redis Streams on accounting.* channels; enforces rate limits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Receptor</w:t>
            </w:r>
          </w:p>
        </w:tc>
        <w:tc>
          <w:tcPr>
            <w:tcMar>
              <w:top w:type="dxa" w:w="80"/>
              <w:left w:type="dxa" w:w="120"/>
              <w:bottom w:type="dxa" w:w="80"/>
              <w:right w:type="dxa" w:w="120"/>
            </w:tcMar>
            <w:vAlign w:val="center"/>
          </w:tcPr>
          <w:p>
            <w:r>
              <w:rPr>
                <w:b w:val="false"/>
                <w:bCs w:val="false"/>
                <w:color w:val="333333"/>
                <w:sz w:val="18"/>
                <w:szCs w:val="18"/>
              </w:rPr>
              <w:t xml:space="preserve">Inbound handler for signals from other Embark domains (v1: empty; v2: budget amendments from Stewardship)</w:t>
            </w:r>
          </w:p>
        </w:tc>
      </w:tr>
    </w:tbl>
    <w:p>
      <w:pPr>
        <w:spacing w:after="80" w:before="80"/>
      </w:pPr>
      <w:r>
        <w:t xml:space="preserve"/>
      </w:r>
    </w:p>
    <w:p>
      <w:pPr>
        <w:pStyle w:val="Heading3"/>
        <w:spacing w:after="80" w:before="200"/>
      </w:pPr>
      <w:r>
        <w:rPr>
          <w:b/>
          <w:bCs/>
          <w:color w:val="4A90D9"/>
          <w:sz w:val="22"/>
          <w:szCs w:val="22"/>
        </w:rPr>
        <w:t xml:space="preserve">Guider Cascade (6 positions)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Position</w:t>
            </w:r>
          </w:p>
        </w:tc>
        <w:tc>
          <w:tcPr>
            <w:shd w:fill="2E4057" w:val="clear"/>
            <w:tcMar>
              <w:top w:type="dxa" w:w="80"/>
              <w:left w:type="dxa" w:w="120"/>
              <w:bottom w:type="dxa" w:w="80"/>
              <w:right w:type="dxa" w:w="120"/>
            </w:tcMar>
            <w:vAlign w:val="center"/>
          </w:tcPr>
          <w:p>
            <w:r>
              <w:rPr>
                <w:b/>
                <w:bCs/>
                <w:color w:val="FFFFFF"/>
                <w:sz w:val="18"/>
                <w:szCs w:val="18"/>
              </w:rPr>
              <w:t xml:space="preserve">Guider</w:t>
            </w:r>
          </w:p>
        </w:tc>
        <w:tc>
          <w:tcPr>
            <w:shd w:fill="2E4057" w:val="clear"/>
            <w:tcMar>
              <w:top w:type="dxa" w:w="80"/>
              <w:left w:type="dxa" w:w="120"/>
              <w:bottom w:type="dxa" w:w="80"/>
              <w:right w:type="dxa" w:w="120"/>
            </w:tcMar>
            <w:vAlign w:val="center"/>
          </w:tcPr>
          <w:p>
            <w:r>
              <w:rPr>
                <w:b/>
                <w:bCs/>
                <w:color w:val="FFFFFF"/>
                <w:sz w:val="18"/>
                <w:szCs w:val="18"/>
              </w:rPr>
              <w:t xml:space="preserve">Type</w:t>
            </w:r>
          </w:p>
        </w:tc>
        <w:tc>
          <w:tcPr>
            <w:shd w:fill="2E4057" w:val="clear"/>
            <w:tcMar>
              <w:top w:type="dxa" w:w="80"/>
              <w:left w:type="dxa" w:w="120"/>
              <w:bottom w:type="dxa" w:w="80"/>
              <w:right w:type="dxa" w:w="120"/>
            </w:tcMar>
            <w:vAlign w:val="center"/>
          </w:tcPr>
          <w:p>
            <w:r>
              <w:rPr>
                <w:b/>
                <w:bCs/>
                <w:color w:val="FFFFFF"/>
                <w:sz w:val="18"/>
                <w:szCs w:val="18"/>
              </w:rPr>
              <w:t xml:space="preserve">Invariant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1</w:t>
            </w:r>
          </w:p>
        </w:tc>
        <w:tc>
          <w:tcPr>
            <w:tcMar>
              <w:top w:type="dxa" w:w="80"/>
              <w:left w:type="dxa" w:w="120"/>
              <w:bottom w:type="dxa" w:w="80"/>
              <w:right w:type="dxa" w:w="120"/>
            </w:tcMar>
            <w:vAlign w:val="center"/>
          </w:tcPr>
          <w:p>
            <w:r>
              <w:rPr>
                <w:b w:val="false"/>
                <w:bCs w:val="false"/>
                <w:color w:val="333333"/>
                <w:sz w:val="18"/>
                <w:szCs w:val="18"/>
              </w:rPr>
              <w:t xml:space="preserve">accounting-integrity</w:t>
            </w:r>
          </w:p>
        </w:tc>
        <w:tc>
          <w:tcPr>
            <w:tcMar>
              <w:top w:type="dxa" w:w="80"/>
              <w:left w:type="dxa" w:w="120"/>
              <w:bottom w:type="dxa" w:w="80"/>
              <w:right w:type="dxa" w:w="120"/>
            </w:tcMar>
            <w:vAlign w:val="center"/>
          </w:tcPr>
          <w:p>
            <w:r>
              <w:rPr>
                <w:b w:val="false"/>
                <w:bCs w:val="false"/>
                <w:color w:val="333333"/>
                <w:sz w:val="18"/>
                <w:szCs w:val="18"/>
              </w:rPr>
              <w:t xml:space="preserve">NEW</w:t>
            </w:r>
          </w:p>
        </w:tc>
        <w:tc>
          <w:tcPr>
            <w:tcMar>
              <w:top w:type="dxa" w:w="80"/>
              <w:left w:type="dxa" w:w="120"/>
              <w:bottom w:type="dxa" w:w="80"/>
              <w:right w:type="dxa" w:w="120"/>
            </w:tcMar>
            <w:vAlign w:val="center"/>
          </w:tcPr>
          <w:p>
            <w:r>
              <w:rPr>
                <w:b w:val="false"/>
                <w:bCs w:val="false"/>
                <w:color w:val="333333"/>
                <w:sz w:val="18"/>
                <w:szCs w:val="18"/>
              </w:rPr>
              <w:t xml:space="preserve">No unbalanced entry or restriction violation crosses; dual-approval enforced</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2</w:t>
            </w:r>
          </w:p>
        </w:tc>
        <w:tc>
          <w:tcPr>
            <w:tcMar>
              <w:top w:type="dxa" w:w="80"/>
              <w:left w:type="dxa" w:w="120"/>
              <w:bottom w:type="dxa" w:w="80"/>
              <w:right w:type="dxa" w:w="120"/>
            </w:tcMar>
            <w:vAlign w:val="center"/>
          </w:tcPr>
          <w:p>
            <w:r>
              <w:rPr>
                <w:b w:val="false"/>
                <w:bCs w:val="false"/>
                <w:color w:val="333333"/>
                <w:sz w:val="18"/>
                <w:szCs w:val="18"/>
              </w:rPr>
              <w:t xml:space="preserve">payment-dedup</w:t>
            </w:r>
          </w:p>
        </w:tc>
        <w:tc>
          <w:tcPr>
            <w:tcMar>
              <w:top w:type="dxa" w:w="80"/>
              <w:left w:type="dxa" w:w="120"/>
              <w:bottom w:type="dxa" w:w="80"/>
              <w:right w:type="dxa" w:w="120"/>
            </w:tcMar>
            <w:vAlign w:val="center"/>
          </w:tcPr>
          <w:p>
            <w:r>
              <w:rPr>
                <w:b w:val="false"/>
                <w:bCs w:val="false"/>
                <w:color w:val="333333"/>
                <w:sz w:val="18"/>
                <w:szCs w:val="18"/>
              </w:rPr>
              <w:t xml:space="preserve">NEW</w:t>
            </w:r>
          </w:p>
        </w:tc>
        <w:tc>
          <w:tcPr>
            <w:tcMar>
              <w:top w:type="dxa" w:w="80"/>
              <w:left w:type="dxa" w:w="120"/>
              <w:bottom w:type="dxa" w:w="80"/>
              <w:right w:type="dxa" w:w="120"/>
            </w:tcMar>
            <w:vAlign w:val="center"/>
          </w:tcPr>
          <w:p>
            <w:r>
              <w:rPr>
                <w:b w:val="false"/>
                <w:bCs w:val="false"/>
                <w:color w:val="333333"/>
                <w:sz w:val="18"/>
                <w:szCs w:val="18"/>
              </w:rPr>
              <w:t xml:space="preserve">No ACH/Vanco JE crosses without Vanco import dedup check</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3</w:t>
            </w:r>
          </w:p>
        </w:tc>
        <w:tc>
          <w:tcPr>
            <w:tcMar>
              <w:top w:type="dxa" w:w="80"/>
              <w:left w:type="dxa" w:w="120"/>
              <w:bottom w:type="dxa" w:w="80"/>
              <w:right w:type="dxa" w:w="120"/>
            </w:tcMar>
            <w:vAlign w:val="center"/>
          </w:tcPr>
          <w:p>
            <w:r>
              <w:rPr>
                <w:b w:val="false"/>
                <w:bCs w:val="false"/>
                <w:color w:val="333333"/>
                <w:sz w:val="18"/>
                <w:szCs w:val="18"/>
              </w:rPr>
              <w:t xml:space="preserve">polity-and-deference</w:t>
            </w:r>
          </w:p>
        </w:tc>
        <w:tc>
          <w:tcPr>
            <w:tcMar>
              <w:top w:type="dxa" w:w="80"/>
              <w:left w:type="dxa" w:w="120"/>
              <w:bottom w:type="dxa" w:w="80"/>
              <w:right w:type="dxa" w:w="120"/>
            </w:tcMar>
            <w:vAlign w:val="center"/>
          </w:tcPr>
          <w:p>
            <w:r>
              <w:rPr>
                <w:b w:val="false"/>
                <w:bCs w:val="false"/>
                <w:color w:val="333333"/>
                <w:sz w:val="18"/>
                <w:szCs w:val="18"/>
              </w:rPr>
              <w:t xml:space="preserve">Reused (Core Seven)</w:t>
            </w:r>
          </w:p>
        </w:tc>
        <w:tc>
          <w:tcPr>
            <w:tcMar>
              <w:top w:type="dxa" w:w="80"/>
              <w:left w:type="dxa" w:w="120"/>
              <w:bottom w:type="dxa" w:w="80"/>
              <w:right w:type="dxa" w:w="120"/>
            </w:tcMar>
            <w:vAlign w:val="center"/>
          </w:tcPr>
          <w:p>
            <w:r>
              <w:rPr>
                <w:b w:val="false"/>
                <w:bCs w:val="false"/>
                <w:color w:val="333333"/>
                <w:sz w:val="18"/>
                <w:szCs w:val="18"/>
              </w:rPr>
              <w:t xml:space="preserve">Confirms dual approval on record; routes single-approver JEs to treasurer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4</w:t>
            </w:r>
          </w:p>
        </w:tc>
        <w:tc>
          <w:tcPr>
            <w:tcMar>
              <w:top w:type="dxa" w:w="80"/>
              <w:left w:type="dxa" w:w="120"/>
              <w:bottom w:type="dxa" w:w="80"/>
              <w:right w:type="dxa" w:w="120"/>
            </w:tcMar>
            <w:vAlign w:val="center"/>
          </w:tcPr>
          <w:p>
            <w:r>
              <w:rPr>
                <w:b w:val="false"/>
                <w:bCs w:val="false"/>
                <w:color w:val="333333"/>
                <w:sz w:val="18"/>
                <w:szCs w:val="18"/>
              </w:rPr>
              <w:t xml:space="preserve">abundance-and-stewardship</w:t>
            </w:r>
          </w:p>
        </w:tc>
        <w:tc>
          <w:tcPr>
            <w:tcMar>
              <w:top w:type="dxa" w:w="80"/>
              <w:left w:type="dxa" w:w="120"/>
              <w:bottom w:type="dxa" w:w="80"/>
              <w:right w:type="dxa" w:w="120"/>
            </w:tcMar>
            <w:vAlign w:val="center"/>
          </w:tcPr>
          <w:p>
            <w:r>
              <w:rPr>
                <w:b w:val="false"/>
                <w:bCs w:val="false"/>
                <w:color w:val="333333"/>
                <w:sz w:val="18"/>
                <w:szCs w:val="18"/>
              </w:rPr>
              <w:t xml:space="preserve">Reused (Core Seven)</w:t>
            </w:r>
          </w:p>
        </w:tc>
        <w:tc>
          <w:tcPr>
            <w:tcMar>
              <w:top w:type="dxa" w:w="80"/>
              <w:left w:type="dxa" w:w="120"/>
              <w:bottom w:type="dxa" w:w="80"/>
              <w:right w:type="dxa" w:w="120"/>
            </w:tcMar>
            <w:vAlign w:val="center"/>
          </w:tcPr>
          <w:p>
            <w:r>
              <w:rPr>
                <w:b w:val="false"/>
                <w:bCs w:val="false"/>
                <w:color w:val="333333"/>
                <w:sz w:val="18"/>
                <w:szCs w:val="18"/>
              </w:rPr>
              <w:t xml:space="preserve">Requires alternatives before BUDGET_OVERAGE_RISK is published scarcity-only</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5</w:t>
            </w:r>
          </w:p>
        </w:tc>
        <w:tc>
          <w:tcPr>
            <w:tcMar>
              <w:top w:type="dxa" w:w="80"/>
              <w:left w:type="dxa" w:w="120"/>
              <w:bottom w:type="dxa" w:w="80"/>
              <w:right w:type="dxa" w:w="120"/>
            </w:tcMar>
            <w:vAlign w:val="center"/>
          </w:tcPr>
          <w:p>
            <w:r>
              <w:rPr>
                <w:b w:val="false"/>
                <w:bCs w:val="false"/>
                <w:color w:val="333333"/>
                <w:sz w:val="18"/>
                <w:szCs w:val="18"/>
              </w:rPr>
              <w:t xml:space="preserve">witness-and-provenance</w:t>
            </w:r>
          </w:p>
        </w:tc>
        <w:tc>
          <w:tcPr>
            <w:tcMar>
              <w:top w:type="dxa" w:w="80"/>
              <w:left w:type="dxa" w:w="120"/>
              <w:bottom w:type="dxa" w:w="80"/>
              <w:right w:type="dxa" w:w="120"/>
            </w:tcMar>
            <w:vAlign w:val="center"/>
          </w:tcPr>
          <w:p>
            <w:r>
              <w:rPr>
                <w:b w:val="false"/>
                <w:bCs w:val="false"/>
                <w:color w:val="333333"/>
                <w:sz w:val="18"/>
                <w:szCs w:val="18"/>
              </w:rPr>
              <w:t xml:space="preserve">Reused (Core Seven)</w:t>
            </w:r>
          </w:p>
        </w:tc>
        <w:tc>
          <w:tcPr>
            <w:tcMar>
              <w:top w:type="dxa" w:w="80"/>
              <w:left w:type="dxa" w:w="120"/>
              <w:bottom w:type="dxa" w:w="80"/>
              <w:right w:type="dxa" w:w="120"/>
            </w:tcMar>
            <w:vAlign w:val="center"/>
          </w:tcPr>
          <w:p>
            <w:r>
              <w:rPr>
                <w:b w:val="false"/>
                <w:bCs w:val="false"/>
                <w:color w:val="333333"/>
                <w:sz w:val="18"/>
                <w:szCs w:val="18"/>
              </w:rPr>
              <w:t xml:space="preserve">Restriction violations must cite a canon or donor document, not agent inference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w:t>
            </w:r>
          </w:p>
        </w:tc>
        <w:tc>
          <w:tcPr>
            <w:tcMar>
              <w:top w:type="dxa" w:w="80"/>
              <w:left w:type="dxa" w:w="120"/>
              <w:bottom w:type="dxa" w:w="80"/>
              <w:right w:type="dxa" w:w="120"/>
            </w:tcMar>
            <w:vAlign w:val="center"/>
          </w:tcPr>
          <w:p>
            <w:r>
              <w:rPr>
                <w:b w:val="false"/>
                <w:bCs w:val="false"/>
                <w:color w:val="333333"/>
                <w:sz w:val="18"/>
                <w:szCs w:val="18"/>
              </w:rPr>
              <w:t xml:space="preserve">dignity</w:t>
            </w:r>
          </w:p>
        </w:tc>
        <w:tc>
          <w:tcPr>
            <w:tcMar>
              <w:top w:type="dxa" w:w="80"/>
              <w:left w:type="dxa" w:w="120"/>
              <w:bottom w:type="dxa" w:w="80"/>
              <w:right w:type="dxa" w:w="120"/>
            </w:tcMar>
            <w:vAlign w:val="center"/>
          </w:tcPr>
          <w:p>
            <w:r>
              <w:rPr>
                <w:b w:val="false"/>
                <w:bCs w:val="false"/>
                <w:color w:val="333333"/>
                <w:sz w:val="18"/>
                <w:szCs w:val="18"/>
              </w:rPr>
              <w:t xml:space="preserve">Reused (Core Seven)</w:t>
            </w:r>
          </w:p>
        </w:tc>
        <w:tc>
          <w:tcPr>
            <w:tcMar>
              <w:top w:type="dxa" w:w="80"/>
              <w:left w:type="dxa" w:w="120"/>
              <w:bottom w:type="dxa" w:w="80"/>
              <w:right w:type="dxa" w:w="120"/>
            </w:tcMar>
            <w:vAlign w:val="center"/>
          </w:tcPr>
          <w:p>
            <w:r>
              <w:rPr>
                <w:b w:val="false"/>
                <w:bCs w:val="false"/>
                <w:color w:val="333333"/>
                <w:sz w:val="18"/>
                <w:szCs w:val="18"/>
              </w:rPr>
              <w:t xml:space="preserve">Clergy compensation postings receive dignity-impact note</w:t>
            </w:r>
          </w:p>
        </w:tc>
      </w:tr>
    </w:tbl>
    <w:p>
      <w:r>
        <w:br w:type="page"/>
      </w:r>
    </w:p>
    <w:p>
      <w:pPr>
        <w:pStyle w:val="Heading1"/>
        <w:spacing w:after="150" w:before="400"/>
      </w:pPr>
      <w:r>
        <w:rPr>
          <w:b/>
          <w:bCs/>
          <w:color w:val="2E4057"/>
          <w:sz w:val="32"/>
          <w:szCs w:val="32"/>
        </w:rPr>
        <w:t xml:space="preserve">5. New Perturbations (10)</w:t>
      </w:r>
    </w:p>
    <w:p>
      <w:pPr>
        <w:spacing w:after="80" w:before="80"/>
      </w:pPr>
      <w:r>
        <w:rPr>
          <w:sz w:val="20"/>
          <w:szCs w:val="20"/>
        </w:rPr>
        <w:t xml:space="preserve">Registry file: perturbations/perturbations.yaml  |  IDs assigned: 59–68  |  All start at maturity: proposed</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ID</w:t>
            </w:r>
          </w:p>
        </w:tc>
        <w:tc>
          <w:tcPr>
            <w:shd w:fill="2E4057" w:val="clear"/>
            <w:tcMar>
              <w:top w:type="dxa" w:w="80"/>
              <w:left w:type="dxa" w:w="120"/>
              <w:bottom w:type="dxa" w:w="80"/>
              <w:right w:type="dxa" w:w="120"/>
            </w:tcMar>
            <w:vAlign w:val="center"/>
          </w:tcPr>
          <w:p>
            <w:r>
              <w:rPr>
                <w:b/>
                <w:bCs/>
                <w:color w:val="FFFFFF"/>
                <w:sz w:val="18"/>
                <w:szCs w:val="18"/>
              </w:rPr>
              <w:t xml:space="preserve">Name</w:t>
            </w:r>
          </w:p>
        </w:tc>
        <w:tc>
          <w:tcPr>
            <w:shd w:fill="2E4057" w:val="clear"/>
            <w:tcMar>
              <w:top w:type="dxa" w:w="80"/>
              <w:left w:type="dxa" w:w="120"/>
              <w:bottom w:type="dxa" w:w="80"/>
              <w:right w:type="dxa" w:w="120"/>
            </w:tcMar>
            <w:vAlign w:val="center"/>
          </w:tcPr>
          <w:p>
            <w:r>
              <w:rPr>
                <w:b/>
                <w:bCs/>
                <w:color w:val="FFFFFF"/>
                <w:sz w:val="18"/>
                <w:szCs w:val="18"/>
              </w:rPr>
              <w:t xml:space="preserve">Privacy</w:t>
            </w:r>
          </w:p>
        </w:tc>
        <w:tc>
          <w:tcPr>
            <w:shd w:fill="2E4057" w:val="clear"/>
            <w:tcMar>
              <w:top w:type="dxa" w:w="80"/>
              <w:left w:type="dxa" w:w="120"/>
              <w:bottom w:type="dxa" w:w="80"/>
              <w:right w:type="dxa" w:w="120"/>
            </w:tcMar>
            <w:vAlign w:val="center"/>
          </w:tcPr>
          <w:p>
            <w:r>
              <w:rPr>
                <w:b/>
                <w:bCs/>
                <w:color w:val="FFFFFF"/>
                <w:sz w:val="18"/>
                <w:szCs w:val="18"/>
              </w:rPr>
              <w:t xml:space="preserve">Class</w:t>
            </w:r>
          </w:p>
        </w:tc>
        <w:tc>
          <w:tcPr>
            <w:shd w:fill="2E4057" w:val="clear"/>
            <w:tcMar>
              <w:top w:type="dxa" w:w="80"/>
              <w:left w:type="dxa" w:w="120"/>
              <w:bottom w:type="dxa" w:w="80"/>
              <w:right w:type="dxa" w:w="120"/>
            </w:tcMar>
            <w:vAlign w:val="center"/>
          </w:tcPr>
          <w:p>
            <w:r>
              <w:rPr>
                <w:b/>
                <w:bCs/>
                <w:color w:val="FFFFFF"/>
                <w:sz w:val="18"/>
                <w:szCs w:val="18"/>
              </w:rPr>
              <w:t xml:space="preserve">Notes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59</w:t>
            </w:r>
          </w:p>
        </w:tc>
        <w:tc>
          <w:tcPr>
            <w:tcMar>
              <w:top w:type="dxa" w:w="80"/>
              <w:left w:type="dxa" w:w="120"/>
              <w:bottom w:type="dxa" w:w="80"/>
              <w:right w:type="dxa" w:w="120"/>
            </w:tcMar>
            <w:vAlign w:val="center"/>
          </w:tcPr>
          <w:p>
            <w:r>
              <w:rPr>
                <w:b w:val="false"/>
                <w:bCs w:val="false"/>
                <w:color w:val="333333"/>
                <w:sz w:val="18"/>
                <w:szCs w:val="18"/>
              </w:rPr>
              <w:t xml:space="preserve">INVOICE_INGESTED</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Pipeline entry point; internal domain only</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60</w:t>
            </w:r>
          </w:p>
        </w:tc>
        <w:tc>
          <w:tcPr>
            <w:tcMar>
              <w:top w:type="dxa" w:w="80"/>
              <w:left w:type="dxa" w:w="120"/>
              <w:bottom w:type="dxa" w:w="80"/>
              <w:right w:type="dxa" w:w="120"/>
            </w:tcMar>
            <w:vAlign w:val="center"/>
          </w:tcPr>
          <w:p>
            <w:r>
              <w:rPr>
                <w:b w:val="false"/>
                <w:bCs w:val="false"/>
                <w:color w:val="333333"/>
                <w:sz w:val="18"/>
                <w:szCs w:val="18"/>
              </w:rPr>
              <w:t xml:space="preserve">MAPPING_CONFIDENCE_LOW</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Triggers HITL routing; 0.85 threshold</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61</w:t>
            </w:r>
          </w:p>
        </w:tc>
        <w:tc>
          <w:tcPr>
            <w:tcMar>
              <w:top w:type="dxa" w:w="80"/>
              <w:left w:type="dxa" w:w="120"/>
              <w:bottom w:type="dxa" w:w="80"/>
              <w:right w:type="dxa" w:w="120"/>
            </w:tcMar>
            <w:vAlign w:val="center"/>
          </w:tcPr>
          <w:p>
            <w:r>
              <w:rPr>
                <w:b w:val="false"/>
                <w:bCs w:val="false"/>
                <w:color w:val="333333"/>
                <w:sz w:val="18"/>
                <w:szCs w:val="18"/>
              </w:rPr>
              <w:t xml:space="preserve">BUDGET_OVERAGE_RISK</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Crosses outer membrane to Stewardship; triggers abundance guider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62</w:t>
            </w:r>
          </w:p>
        </w:tc>
        <w:tc>
          <w:tcPr>
            <w:tcMar>
              <w:top w:type="dxa" w:w="80"/>
              <w:left w:type="dxa" w:w="120"/>
              <w:bottom w:type="dxa" w:w="80"/>
              <w:right w:type="dxa" w:w="120"/>
            </w:tcMar>
            <w:vAlign w:val="center"/>
          </w:tcPr>
          <w:p>
            <w:r>
              <w:rPr>
                <w:b w:val="false"/>
                <w:bCs w:val="false"/>
                <w:color w:val="333333"/>
                <w:sz w:val="18"/>
                <w:szCs w:val="18"/>
              </w:rPr>
              <w:t xml:space="preserve">FUND_RESTRICTION_VIOLATION</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Hard BLOCK; must cite canon or donor restriction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63</w:t>
            </w:r>
          </w:p>
        </w:tc>
        <w:tc>
          <w:tcPr>
            <w:tcMar>
              <w:top w:type="dxa" w:w="80"/>
              <w:left w:type="dxa" w:w="120"/>
              <w:bottom w:type="dxa" w:w="80"/>
              <w:right w:type="dxa" w:w="120"/>
            </w:tcMar>
            <w:vAlign w:val="center"/>
          </w:tcPr>
          <w:p>
            <w:r>
              <w:rPr>
                <w:b w:val="false"/>
                <w:bCs w:val="false"/>
                <w:color w:val="333333"/>
                <w:sz w:val="18"/>
                <w:szCs w:val="18"/>
              </w:rPr>
              <w:t xml:space="preserve">JOURNAL_ENTRY_READY</w:t>
            </w:r>
          </w:p>
        </w:tc>
        <w:tc>
          <w:tcPr>
            <w:tcMar>
              <w:top w:type="dxa" w:w="80"/>
              <w:left w:type="dxa" w:w="120"/>
              <w:bottom w:type="dxa" w:w="80"/>
              <w:right w:type="dxa" w:w="120"/>
            </w:tcMar>
            <w:vAlign w:val="center"/>
          </w:tcPr>
          <w:p>
            <w:r>
              <w:rPr>
                <w:b w:val="false"/>
                <w:bCs w:val="false"/>
                <w:color w:val="333333"/>
                <w:sz w:val="18"/>
                <w:szCs w:val="18"/>
              </w:rPr>
              <w:t xml:space="preserve">P0</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Primary cross-domain emission; stripped summary only</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64</w:t>
            </w:r>
          </w:p>
        </w:tc>
        <w:tc>
          <w:tcPr>
            <w:tcMar>
              <w:top w:type="dxa" w:w="80"/>
              <w:left w:type="dxa" w:w="120"/>
              <w:bottom w:type="dxa" w:w="80"/>
              <w:right w:type="dxa" w:w="120"/>
            </w:tcMar>
            <w:vAlign w:val="center"/>
          </w:tcPr>
          <w:p>
            <w:r>
              <w:rPr>
                <w:b w:val="false"/>
                <w:bCs w:val="false"/>
                <w:color w:val="333333"/>
                <w:sz w:val="18"/>
                <w:szCs w:val="18"/>
              </w:rPr>
              <w:t xml:space="preserve">HITL_ESCALATION</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Routes to treasurer / finance / personnel / missions committee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65</w:t>
            </w:r>
          </w:p>
        </w:tc>
        <w:tc>
          <w:tcPr>
            <w:tcMar>
              <w:top w:type="dxa" w:w="80"/>
              <w:left w:type="dxa" w:w="120"/>
              <w:bottom w:type="dxa" w:w="80"/>
              <w:right w:type="dxa" w:w="120"/>
            </w:tcMar>
            <w:vAlign w:val="center"/>
          </w:tcPr>
          <w:p>
            <w:r>
              <w:rPr>
                <w:b w:val="false"/>
                <w:bCs w:val="false"/>
                <w:color w:val="333333"/>
                <w:sz w:val="18"/>
                <w:szCs w:val="18"/>
              </w:rPr>
              <w:t xml:space="preserve">HITL_DECISION_RETURNED</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Retained 13 months for audit compliance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66</w:t>
            </w:r>
          </w:p>
        </w:tc>
        <w:tc>
          <w:tcPr>
            <w:tcMar>
              <w:top w:type="dxa" w:w="80"/>
              <w:left w:type="dxa" w:w="120"/>
              <w:bottom w:type="dxa" w:w="80"/>
              <w:right w:type="dxa" w:w="120"/>
            </w:tcMar>
            <w:vAlign w:val="center"/>
          </w:tcPr>
          <w:p>
            <w:r>
              <w:rPr>
                <w:b w:val="false"/>
                <w:bCs w:val="false"/>
                <w:color w:val="333333"/>
                <w:sz w:val="18"/>
                <w:szCs w:val="18"/>
              </w:rPr>
              <w:t xml:space="preserve">APPROVAL_DEADLINE_PRESSURE</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Extends TEMPORAL_PRESSURE; 48h reminder, 5-day escalation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67</w:t>
            </w:r>
          </w:p>
        </w:tc>
        <w:tc>
          <w:tcPr>
            <w:tcMar>
              <w:top w:type="dxa" w:w="80"/>
              <w:left w:type="dxa" w:w="120"/>
              <w:bottom w:type="dxa" w:w="80"/>
              <w:right w:type="dxa" w:w="120"/>
            </w:tcMar>
            <w:vAlign w:val="center"/>
          </w:tcPr>
          <w:p>
            <w:r>
              <w:rPr>
                <w:b w:val="false"/>
                <w:bCs w:val="false"/>
                <w:color w:val="333333"/>
                <w:sz w:val="18"/>
                <w:szCs w:val="18"/>
              </w:rPr>
              <w:t xml:space="preserve">RECONCILIATION_EXCEPTION</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Carries corrective JE proposal; bank reconciliation</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68</w:t>
            </w:r>
          </w:p>
        </w:tc>
        <w:tc>
          <w:tcPr>
            <w:tcMar>
              <w:top w:type="dxa" w:w="80"/>
              <w:left w:type="dxa" w:w="120"/>
              <w:bottom w:type="dxa" w:w="80"/>
              <w:right w:type="dxa" w:w="120"/>
            </w:tcMar>
            <w:vAlign w:val="center"/>
          </w:tcPr>
          <w:p>
            <w:r>
              <w:rPr>
                <w:b w:val="false"/>
                <w:bCs w:val="false"/>
                <w:color w:val="333333"/>
                <w:sz w:val="18"/>
                <w:szCs w:val="18"/>
              </w:rPr>
              <w:t xml:space="preserve">PAYMENT_DEDUP_RISK</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Accounting Module</w:t>
            </w:r>
          </w:p>
        </w:tc>
        <w:tc>
          <w:tcPr>
            <w:tcMar>
              <w:top w:type="dxa" w:w="80"/>
              <w:left w:type="dxa" w:w="120"/>
              <w:bottom w:type="dxa" w:w="80"/>
              <w:right w:type="dxa" w:w="120"/>
            </w:tcMar>
            <w:vAlign w:val="center"/>
          </w:tcPr>
          <w:p>
            <w:r>
              <w:rPr>
                <w:b w:val="false"/>
                <w:bCs w:val="false"/>
                <w:color w:val="333333"/>
                <w:sz w:val="18"/>
                <w:szCs w:val="18"/>
              </w:rPr>
              <w:t xml:space="preserve">Hard BLOCK; Vanco + EIME ACH conflict; new payment-dedup guider</w:t>
            </w:r>
          </w:p>
        </w:tc>
      </w:tr>
    </w:tbl>
    <w:p>
      <w:r>
        <w:br w:type="page"/>
      </w:r>
    </w:p>
    <w:p>
      <w:pPr>
        <w:pStyle w:val="Heading1"/>
        <w:spacing w:after="150" w:before="400"/>
      </w:pPr>
      <w:r>
        <w:rPr>
          <w:b/>
          <w:bCs/>
          <w:color w:val="2E4057"/>
          <w:sz w:val="32"/>
          <w:szCs w:val="32"/>
        </w:rPr>
        <w:t xml:space="preserve">6. Event Mesh (Redis Streams + Pub/Sub)</w:t>
      </w:r>
    </w:p>
    <w:p>
      <w:pPr>
        <w:spacing w:after="80" w:before="80"/>
      </w:pPr>
      <w:r>
        <w:rPr>
          <w:sz w:val="20"/>
          <w:szCs w:val="20"/>
        </w:rPr>
        <w:t xml:space="preserve">Files: mesh/mesh_config.yaml, mesh/asyncapi.yaml, mesh/event_envelope.schema.json</w:t>
      </w:r>
    </w:p>
    <w:p>
      <w:pPr>
        <w:spacing w:after="80" w:before="80"/>
      </w:pPr>
      <w:r>
        <w:t xml:space="preserve"/>
      </w:r>
    </w:p>
    <w:p>
      <w:pPr>
        <w:spacing w:after="80" w:before="80"/>
      </w:pPr>
      <w:r>
        <w:rPr>
          <w:sz w:val="20"/>
          <w:szCs w:val="20"/>
        </w:rPr>
        <w:t xml:space="preserve">All channels follow the naming convention: {tenant}:{domain}:{kind}:{lifecycle}:{type}</w:t>
      </w:r>
    </w:p>
    <w:p>
      <w:pPr>
        <w:spacing w:after="80" w:before="80"/>
      </w:pPr>
      <w:r>
        <w:t xml:space="preserve"/>
      </w:r>
    </w:p>
    <w:p>
      <w:pPr>
        <w:pStyle w:val="Heading2"/>
        <w:spacing w:after="100" w:before="300"/>
      </w:pPr>
      <w:r>
        <w:rPr>
          <w:b/>
          <w:bCs/>
          <w:color w:val="2E4057"/>
          <w:sz w:val="26"/>
          <w:szCs w:val="26"/>
        </w:rPr>
        <w:t xml:space="preserve">6.1 Cross-Domain Channels (outer membrane)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Channel</w:t>
            </w:r>
          </w:p>
        </w:tc>
        <w:tc>
          <w:tcPr>
            <w:shd w:fill="2E4057" w:val="clear"/>
            <w:tcMar>
              <w:top w:type="dxa" w:w="80"/>
              <w:left w:type="dxa" w:w="120"/>
              <w:bottom w:type="dxa" w:w="80"/>
              <w:right w:type="dxa" w:w="120"/>
            </w:tcMar>
            <w:vAlign w:val="center"/>
          </w:tcPr>
          <w:p>
            <w:r>
              <w:rPr>
                <w:b/>
                <w:bCs/>
                <w:color w:val="FFFFFF"/>
                <w:sz w:val="18"/>
                <w:szCs w:val="18"/>
              </w:rPr>
              <w:t xml:space="preserve">Transport</w:t>
            </w:r>
          </w:p>
        </w:tc>
        <w:tc>
          <w:tcPr>
            <w:shd w:fill="2E4057" w:val="clear"/>
            <w:tcMar>
              <w:top w:type="dxa" w:w="80"/>
              <w:left w:type="dxa" w:w="120"/>
              <w:bottom w:type="dxa" w:w="80"/>
              <w:right w:type="dxa" w:w="120"/>
            </w:tcMar>
            <w:vAlign w:val="center"/>
          </w:tcPr>
          <w:p>
            <w:r>
              <w:rPr>
                <w:b/>
                <w:bCs/>
                <w:color w:val="FFFFFF"/>
                <w:sz w:val="18"/>
                <w:szCs w:val="18"/>
              </w:rPr>
              <w:t xml:space="preserve">Privacy</w:t>
            </w:r>
          </w:p>
        </w:tc>
        <w:tc>
          <w:tcPr>
            <w:shd w:fill="2E4057" w:val="clear"/>
            <w:tcMar>
              <w:top w:type="dxa" w:w="80"/>
              <w:left w:type="dxa" w:w="120"/>
              <w:bottom w:type="dxa" w:w="80"/>
              <w:right w:type="dxa" w:w="120"/>
            </w:tcMar>
            <w:vAlign w:val="center"/>
          </w:tcPr>
          <w:p>
            <w:r>
              <w:rPr>
                <w:b/>
                <w:bCs/>
                <w:color w:val="FFFFFF"/>
                <w:sz w:val="18"/>
                <w:szCs w:val="18"/>
              </w:rPr>
              <w:t xml:space="preserve">Consumers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embarknow:accounting:impact:proposed:journal_entry_ready</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P0</w:t>
            </w:r>
          </w:p>
        </w:tc>
        <w:tc>
          <w:tcPr>
            <w:tcMar>
              <w:top w:type="dxa" w:w="80"/>
              <w:left w:type="dxa" w:w="120"/>
              <w:bottom w:type="dxa" w:w="80"/>
              <w:right w:type="dxa" w:w="120"/>
            </w:tcMar>
            <w:vAlign w:val="center"/>
          </w:tcPr>
          <w:p>
            <w:r>
              <w:rPr>
                <w:b w:val="false"/>
                <w:bCs w:val="false"/>
                <w:color w:val="333333"/>
                <w:sz w:val="18"/>
                <w:szCs w:val="18"/>
              </w:rPr>
              <w:t xml:space="preserve">stewardship:budget_tracker, reporting:financial_reports, stewardship:journal_entry_listener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embarknow:accounting:impact:proposed:budget_overage_risk</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P1</w:t>
            </w:r>
          </w:p>
        </w:tc>
        <w:tc>
          <w:tcPr>
            <w:tcMar>
              <w:top w:type="dxa" w:w="80"/>
              <w:left w:type="dxa" w:w="120"/>
              <w:bottom w:type="dxa" w:w="80"/>
              <w:right w:type="dxa" w:w="120"/>
            </w:tcMar>
            <w:vAlign w:val="center"/>
          </w:tcPr>
          <w:p>
            <w:r>
              <w:rPr>
                <w:b w:val="false"/>
                <w:bCs w:val="false"/>
                <w:color w:val="333333"/>
                <w:sz w:val="18"/>
                <w:szCs w:val="18"/>
              </w:rPr>
              <w:t xml:space="preserve">stewardship:budget_tracker, reporting:budget_dashboard</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embarknow:accounting:impact:proposed:reconciliation_completed</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P0</w:t>
            </w:r>
          </w:p>
        </w:tc>
        <w:tc>
          <w:tcPr>
            <w:tcMar>
              <w:top w:type="dxa" w:w="80"/>
              <w:left w:type="dxa" w:w="120"/>
              <w:bottom w:type="dxa" w:w="80"/>
              <w:right w:type="dxa" w:w="120"/>
            </w:tcMar>
            <w:vAlign w:val="center"/>
          </w:tcPr>
          <w:p>
            <w:r>
              <w:rPr>
                <w:b w:val="false"/>
                <w:bCs w:val="false"/>
                <w:color w:val="333333"/>
                <w:sz w:val="18"/>
                <w:szCs w:val="18"/>
              </w:rPr>
              <w:t xml:space="preserve">reporting:financial_reports, stewardship:period_close_listener</w:t>
            </w:r>
          </w:p>
        </w:tc>
      </w:tr>
    </w:tbl>
    <w:p>
      <w:pPr>
        <w:spacing w:after="80" w:before="80"/>
      </w:pPr>
      <w:r>
        <w:t xml:space="preserve"/>
      </w:r>
    </w:p>
    <w:p>
      <w:pPr>
        <w:pStyle w:val="Heading2"/>
        <w:spacing w:after="100" w:before="300"/>
      </w:pPr>
      <w:r>
        <w:rPr>
          <w:b/>
          <w:bCs/>
          <w:color w:val="2E4057"/>
          <w:sz w:val="26"/>
          <w:szCs w:val="26"/>
        </w:rPr>
        <w:t xml:space="preserve">6.2 Internal Domain Channels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Channel (suffix)</w:t>
            </w:r>
          </w:p>
        </w:tc>
        <w:tc>
          <w:tcPr>
            <w:shd w:fill="2E4057" w:val="clear"/>
            <w:tcMar>
              <w:top w:type="dxa" w:w="80"/>
              <w:left w:type="dxa" w:w="120"/>
              <w:bottom w:type="dxa" w:w="80"/>
              <w:right w:type="dxa" w:w="120"/>
            </w:tcMar>
            <w:vAlign w:val="center"/>
          </w:tcPr>
          <w:p>
            <w:r>
              <w:rPr>
                <w:b/>
                <w:bCs/>
                <w:color w:val="FFFFFF"/>
                <w:sz w:val="18"/>
                <w:szCs w:val="18"/>
              </w:rPr>
              <w:t xml:space="preserve">Transport</w:t>
            </w:r>
          </w:p>
        </w:tc>
        <w:tc>
          <w:tcPr>
            <w:shd w:fill="2E4057" w:val="clear"/>
            <w:tcMar>
              <w:top w:type="dxa" w:w="80"/>
              <w:left w:type="dxa" w:w="120"/>
              <w:bottom w:type="dxa" w:w="80"/>
              <w:right w:type="dxa" w:w="120"/>
            </w:tcMar>
            <w:vAlign w:val="center"/>
          </w:tcPr>
          <w:p>
            <w:r>
              <w:rPr>
                <w:b/>
                <w:bCs/>
                <w:color w:val="FFFFFF"/>
                <w:sz w:val="18"/>
                <w:szCs w:val="18"/>
              </w:rPr>
              <w:t xml:space="preserve">Purpose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invoice_ingested</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Pipeline entry; status narrator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mapping_confidence_low</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Triggers HITL router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fund_restriction_violation</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Hard block; compliance log (13 months)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hitl_escalation</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Routes escalated items to notification dispatcher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hitl_decision_returned</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Resumes suspended Flow (13 months retained)</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approval_deadline_pressure</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Reminder and escalation scheduler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payment_dedup_risk</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Hard block; Vanco dedup resolver</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advisory_status:processing_status</w:t>
            </w:r>
          </w:p>
        </w:tc>
        <w:tc>
          <w:tcPr>
            <w:tcMar>
              <w:top w:type="dxa" w:w="80"/>
              <w:left w:type="dxa" w:w="120"/>
              <w:bottom w:type="dxa" w:w="80"/>
              <w:right w:type="dxa" w:w="120"/>
            </w:tcMar>
            <w:vAlign w:val="center"/>
          </w:tcPr>
          <w:p>
            <w:r>
              <w:rPr>
                <w:b w:val="false"/>
                <w:bCs w:val="false"/>
                <w:color w:val="333333"/>
                <w:sz w:val="18"/>
                <w:szCs w:val="18"/>
              </w:rPr>
              <w:t xml:space="preserve">Pub/Sub</w:t>
            </w:r>
          </w:p>
        </w:tc>
        <w:tc>
          <w:tcPr>
            <w:tcMar>
              <w:top w:type="dxa" w:w="80"/>
              <w:left w:type="dxa" w:w="120"/>
              <w:bottom w:type="dxa" w:w="80"/>
              <w:right w:type="dxa" w:w="120"/>
            </w:tcMar>
            <w:vAlign w:val="center"/>
          </w:tcPr>
          <w:p>
            <w:r>
              <w:rPr>
                <w:b w:val="false"/>
                <w:bCs w:val="false"/>
                <w:color w:val="333333"/>
                <w:sz w:val="18"/>
                <w:szCs w:val="18"/>
              </w:rPr>
              <w:t xml:space="preserve">Real-time chat rail status (fire-and-forget)</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feedback:hitl_outcome</w:t>
            </w:r>
          </w:p>
        </w:tc>
        <w:tc>
          <w:tcPr>
            <w:tcMar>
              <w:top w:type="dxa" w:w="80"/>
              <w:left w:type="dxa" w:w="120"/>
              <w:bottom w:type="dxa" w:w="80"/>
              <w:right w:type="dxa" w:w="120"/>
            </w:tcMar>
            <w:vAlign w:val="center"/>
          </w:tcPr>
          <w:p>
            <w:r>
              <w:rPr>
                <w:b w:val="false"/>
                <w:bCs w:val="false"/>
                <w:color w:val="333333"/>
                <w:sz w:val="18"/>
                <w:szCs w:val="18"/>
              </w:rPr>
              <w:t xml:space="preserve">Streams</w:t>
            </w:r>
          </w:p>
        </w:tc>
        <w:tc>
          <w:tcPr>
            <w:tcMar>
              <w:top w:type="dxa" w:w="80"/>
              <w:left w:type="dxa" w:w="120"/>
              <w:bottom w:type="dxa" w:w="80"/>
              <w:right w:type="dxa" w:w="120"/>
            </w:tcMar>
            <w:vAlign w:val="center"/>
          </w:tcPr>
          <w:p>
            <w:r>
              <w:rPr>
                <w:b w:val="false"/>
                <w:bCs w:val="false"/>
                <w:color w:val="333333"/>
                <w:sz w:val="18"/>
                <w:szCs w:val="18"/>
              </w:rPr>
              <w:t xml:space="preserve">HITL reviewer feedback for membrane recalibration</w:t>
            </w:r>
          </w:p>
        </w:tc>
      </w:tr>
    </w:tbl>
    <w:p>
      <w:r>
        <w:br w:type="page"/>
      </w:r>
    </w:p>
    <w:p>
      <w:pPr>
        <w:pStyle w:val="Heading1"/>
        <w:spacing w:after="150" w:before="400"/>
      </w:pPr>
      <w:r>
        <w:rPr>
          <w:b/>
          <w:bCs/>
          <w:color w:val="2E4057"/>
          <w:sz w:val="32"/>
          <w:szCs w:val="32"/>
        </w:rPr>
        <w:t xml:space="preserve">7. Recommended Build Order</w:t>
      </w:r>
    </w:p>
    <w:p>
      <w:pPr>
        <w:spacing w:after="80" w:before="80"/>
      </w:pPr>
      <w:r>
        <w:rPr>
          <w:sz w:val="20"/>
          <w:szCs w:val="20"/>
        </w:rPr>
        <w:t xml:space="preserve">Follow this sequence. Later phases depend on earlier ones; do not start Phase 3 before Phase 1 is tested.</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Phase</w:t>
            </w:r>
          </w:p>
        </w:tc>
        <w:tc>
          <w:tcPr>
            <w:shd w:fill="2E4057" w:val="clear"/>
            <w:tcMar>
              <w:top w:type="dxa" w:w="80"/>
              <w:left w:type="dxa" w:w="120"/>
              <w:bottom w:type="dxa" w:w="80"/>
              <w:right w:type="dxa" w:w="120"/>
            </w:tcMar>
            <w:vAlign w:val="center"/>
          </w:tcPr>
          <w:p>
            <w:r>
              <w:rPr>
                <w:b/>
                <w:bCs/>
                <w:color w:val="FFFFFF"/>
                <w:sz w:val="18"/>
                <w:szCs w:val="18"/>
              </w:rPr>
              <w:t xml:space="preserve">What to Build</w:t>
            </w:r>
          </w:p>
        </w:tc>
        <w:tc>
          <w:tcPr>
            <w:shd w:fill="2E4057" w:val="clear"/>
            <w:tcMar>
              <w:top w:type="dxa" w:w="80"/>
              <w:left w:type="dxa" w:w="120"/>
              <w:bottom w:type="dxa" w:w="80"/>
              <w:right w:type="dxa" w:w="120"/>
            </w:tcMar>
            <w:vAlign w:val="center"/>
          </w:tcPr>
          <w:p>
            <w:r>
              <w:rPr>
                <w:b/>
                <w:bCs/>
                <w:color w:val="FFFFFF"/>
                <w:sz w:val="18"/>
                <w:szCs w:val="18"/>
              </w:rPr>
              <w:t xml:space="preserve">Artifacts</w:t>
            </w:r>
          </w:p>
        </w:tc>
        <w:tc>
          <w:tcPr>
            <w:shd w:fill="2E4057" w:val="clear"/>
            <w:tcMar>
              <w:top w:type="dxa" w:w="80"/>
              <w:left w:type="dxa" w:w="120"/>
              <w:bottom w:type="dxa" w:w="80"/>
              <w:right w:type="dxa" w:w="120"/>
            </w:tcMar>
            <w:vAlign w:val="center"/>
          </w:tcPr>
          <w:p>
            <w:r>
              <w:rPr>
                <w:b/>
                <w:bCs/>
                <w:color w:val="FFFFFF"/>
                <w:sz w:val="18"/>
                <w:szCs w:val="18"/>
              </w:rPr>
              <w:t xml:space="preserve">Notes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1 — Foundation</w:t>
            </w:r>
          </w:p>
        </w:tc>
        <w:tc>
          <w:tcPr>
            <w:tcMar>
              <w:top w:type="dxa" w:w="80"/>
              <w:left w:type="dxa" w:w="120"/>
              <w:bottom w:type="dxa" w:w="80"/>
              <w:right w:type="dxa" w:w="120"/>
            </w:tcMar>
            <w:vAlign w:val="center"/>
          </w:tcPr>
          <w:p>
            <w:r>
              <w:rPr>
                <w:b w:val="false"/>
                <w:bCs w:val="false"/>
                <w:color w:val="333333"/>
                <w:sz w:val="18"/>
                <w:szCs w:val="18"/>
              </w:rPr>
              <w:t xml:space="preserve">Perturbations + Membrane</w:t>
            </w:r>
          </w:p>
        </w:tc>
        <w:tc>
          <w:tcPr>
            <w:tcMar>
              <w:top w:type="dxa" w:w="80"/>
              <w:left w:type="dxa" w:w="120"/>
              <w:bottom w:type="dxa" w:w="80"/>
              <w:right w:type="dxa" w:w="120"/>
            </w:tcMar>
            <w:vAlign w:val="center"/>
          </w:tcPr>
          <w:p>
            <w:r>
              <w:rPr>
                <w:b w:val="false"/>
                <w:bCs w:val="false"/>
                <w:color w:val="333333"/>
                <w:sz w:val="18"/>
                <w:szCs w:val="18"/>
              </w:rPr>
              <w:t xml:space="preserve">perturbations/perturbations.yaml, membranes/accounting_domain_membrane.yaml, mesh/event_envelope.schema.json</w:t>
            </w:r>
          </w:p>
        </w:tc>
        <w:tc>
          <w:tcPr>
            <w:tcMar>
              <w:top w:type="dxa" w:w="80"/>
              <w:left w:type="dxa" w:w="120"/>
              <w:bottom w:type="dxa" w:w="80"/>
              <w:right w:type="dxa" w:w="120"/>
            </w:tcMar>
            <w:vAlign w:val="center"/>
          </w:tcPr>
          <w:p>
            <w:r>
              <w:rPr>
                <w:b w:val="false"/>
                <w:bCs w:val="false"/>
                <w:color w:val="333333"/>
                <w:sz w:val="18"/>
                <w:szCs w:val="18"/>
              </w:rPr>
              <w:t xml:space="preserve">Register perturbations first; the membrane config references them</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2 — Transport</w:t>
            </w:r>
          </w:p>
        </w:tc>
        <w:tc>
          <w:tcPr>
            <w:tcMar>
              <w:top w:type="dxa" w:w="80"/>
              <w:left w:type="dxa" w:w="120"/>
              <w:bottom w:type="dxa" w:w="80"/>
              <w:right w:type="dxa" w:w="120"/>
            </w:tcMar>
            <w:vAlign w:val="center"/>
          </w:tcPr>
          <w:p>
            <w:r>
              <w:rPr>
                <w:b w:val="false"/>
                <w:bCs w:val="false"/>
                <w:color w:val="333333"/>
                <w:sz w:val="18"/>
                <w:szCs w:val="18"/>
              </w:rPr>
              <w:t xml:space="preserve">Redis mesh channels + consumer groups</w:t>
            </w:r>
          </w:p>
        </w:tc>
        <w:tc>
          <w:tcPr>
            <w:tcMar>
              <w:top w:type="dxa" w:w="80"/>
              <w:left w:type="dxa" w:w="120"/>
              <w:bottom w:type="dxa" w:w="80"/>
              <w:right w:type="dxa" w:w="120"/>
            </w:tcMar>
            <w:vAlign w:val="center"/>
          </w:tcPr>
          <w:p>
            <w:r>
              <w:rPr>
                <w:b w:val="false"/>
                <w:bCs w:val="false"/>
                <w:color w:val="333333"/>
                <w:sz w:val="18"/>
                <w:szCs w:val="18"/>
              </w:rPr>
              <w:t xml:space="preserve">mesh/mesh_config.yaml, mesh/asyncapi.yaml</w:t>
            </w:r>
          </w:p>
        </w:tc>
        <w:tc>
          <w:tcPr>
            <w:tcMar>
              <w:top w:type="dxa" w:w="80"/>
              <w:left w:type="dxa" w:w="120"/>
              <w:bottom w:type="dxa" w:w="80"/>
              <w:right w:type="dxa" w:w="120"/>
            </w:tcMar>
            <w:vAlign w:val="center"/>
          </w:tcPr>
          <w:p>
            <w:r>
              <w:rPr>
                <w:b w:val="false"/>
                <w:bCs w:val="false"/>
                <w:color w:val="333333"/>
                <w:sz w:val="18"/>
                <w:szCs w:val="18"/>
              </w:rPr>
              <w:t xml:space="preserve">Stand up Redis Streams before any agent sends signals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3 — Skill Library</w:t>
            </w:r>
          </w:p>
        </w:tc>
        <w:tc>
          <w:tcPr>
            <w:tcMar>
              <w:top w:type="dxa" w:w="80"/>
              <w:left w:type="dxa" w:w="120"/>
              <w:bottom w:type="dxa" w:w="80"/>
              <w:right w:type="dxa" w:w="120"/>
            </w:tcMar>
            <w:vAlign w:val="center"/>
          </w:tcPr>
          <w:p>
            <w:r>
              <w:rPr>
                <w:b w:val="false"/>
                <w:bCs w:val="false"/>
                <w:color w:val="333333"/>
                <w:sz w:val="18"/>
                <w:szCs w:val="18"/>
              </w:rPr>
              <w:t xml:space="preserve">All 19 SKILL.md files</w:t>
            </w:r>
          </w:p>
        </w:tc>
        <w:tc>
          <w:tcPr>
            <w:tcMar>
              <w:top w:type="dxa" w:w="80"/>
              <w:left w:type="dxa" w:w="120"/>
              <w:bottom w:type="dxa" w:w="80"/>
              <w:right w:type="dxa" w:w="120"/>
            </w:tcMar>
            <w:vAlign w:val="center"/>
          </w:tcPr>
          <w:p>
            <w:r>
              <w:rPr>
                <w:b w:val="false"/>
                <w:bCs w:val="false"/>
                <w:color w:val="333333"/>
                <w:sz w:val="18"/>
                <w:szCs w:val="18"/>
              </w:rPr>
              <w:t xml:space="preserve">skills/ directory</w:t>
            </w:r>
          </w:p>
        </w:tc>
        <w:tc>
          <w:tcPr>
            <w:tcMar>
              <w:top w:type="dxa" w:w="80"/>
              <w:left w:type="dxa" w:w="120"/>
              <w:bottom w:type="dxa" w:w="80"/>
              <w:right w:type="dxa" w:w="120"/>
            </w:tcMar>
            <w:vAlign w:val="center"/>
          </w:tcPr>
          <w:p>
            <w:r>
              <w:rPr>
                <w:b w:val="false"/>
                <w:bCs w:val="false"/>
                <w:color w:val="333333"/>
                <w:sz w:val="18"/>
                <w:szCs w:val="18"/>
              </w:rPr>
              <w:t xml:space="preserve">Skills are discovered at runtime; no code deploys for skill additions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4 — Guiders</w:t>
            </w:r>
          </w:p>
        </w:tc>
        <w:tc>
          <w:tcPr>
            <w:tcMar>
              <w:top w:type="dxa" w:w="80"/>
              <w:left w:type="dxa" w:w="120"/>
              <w:bottom w:type="dxa" w:w="80"/>
              <w:right w:type="dxa" w:w="120"/>
            </w:tcMar>
            <w:vAlign w:val="center"/>
          </w:tcPr>
          <w:p>
            <w:r>
              <w:rPr>
                <w:b w:val="false"/>
                <w:bCs w:val="false"/>
                <w:color w:val="333333"/>
                <w:sz w:val="18"/>
                <w:szCs w:val="18"/>
              </w:rPr>
              <w:t xml:space="preserve">2 new guiders</w:t>
            </w:r>
          </w:p>
        </w:tc>
        <w:tc>
          <w:tcPr>
            <w:tcMar>
              <w:top w:type="dxa" w:w="80"/>
              <w:left w:type="dxa" w:w="120"/>
              <w:bottom w:type="dxa" w:w="80"/>
              <w:right w:type="dxa" w:w="120"/>
            </w:tcMar>
            <w:vAlign w:val="center"/>
          </w:tcPr>
          <w:p>
            <w:r>
              <w:rPr>
                <w:b w:val="false"/>
                <w:bCs w:val="false"/>
                <w:color w:val="333333"/>
                <w:sz w:val="18"/>
                <w:szCs w:val="18"/>
              </w:rPr>
              <w:t xml:space="preserve">guiders/accounting-integrity/, guiders/payment-dedup/</w:t>
            </w:r>
          </w:p>
        </w:tc>
        <w:tc>
          <w:tcPr>
            <w:tcMar>
              <w:top w:type="dxa" w:w="80"/>
              <w:left w:type="dxa" w:w="120"/>
              <w:bottom w:type="dxa" w:w="80"/>
              <w:right w:type="dxa" w:w="120"/>
            </w:tcMar>
            <w:vAlign w:val="center"/>
          </w:tcPr>
          <w:p>
            <w:r>
              <w:rPr>
                <w:b w:val="false"/>
                <w:bCs w:val="false"/>
                <w:color w:val="333333"/>
                <w:sz w:val="18"/>
                <w:szCs w:val="18"/>
              </w:rPr>
              <w:t xml:space="preserve">Guiders run in the membrane cascade — wire them before the membrane goes live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5 — Core Pipeline</w:t>
            </w:r>
          </w:p>
        </w:tc>
        <w:tc>
          <w:tcPr>
            <w:tcMar>
              <w:top w:type="dxa" w:w="80"/>
              <w:left w:type="dxa" w:w="120"/>
              <w:bottom w:type="dxa" w:w="80"/>
              <w:right w:type="dxa" w:w="120"/>
            </w:tcMar>
            <w:vAlign w:val="center"/>
          </w:tcPr>
          <w:p>
            <w:r>
              <w:rPr>
                <w:b w:val="false"/>
                <w:bCs w:val="false"/>
                <w:color w:val="333333"/>
                <w:sz w:val="18"/>
                <w:szCs w:val="18"/>
              </w:rPr>
              <w:t xml:space="preserve">pdf_extraction → line_item_classifier → gl_account_mapper → allocation_reviewer → journal_entry_builder</w:t>
            </w:r>
          </w:p>
        </w:tc>
        <w:tc>
          <w:tcPr>
            <w:tcMar>
              <w:top w:type="dxa" w:w="80"/>
              <w:left w:type="dxa" w:w="120"/>
              <w:bottom w:type="dxa" w:w="80"/>
              <w:right w:type="dxa" w:w="120"/>
            </w:tcMar>
            <w:vAlign w:val="center"/>
          </w:tcPr>
          <w:p>
            <w:r>
              <w:rPr>
                <w:b w:val="false"/>
                <w:bCs w:val="false"/>
                <w:color w:val="333333"/>
                <w:sz w:val="18"/>
                <w:szCs w:val="18"/>
              </w:rPr>
              <w:t xml:space="preserve">skills/worker/ + skills/reviewer/</w:t>
            </w:r>
          </w:p>
        </w:tc>
        <w:tc>
          <w:tcPr>
            <w:tcMar>
              <w:top w:type="dxa" w:w="80"/>
              <w:left w:type="dxa" w:w="120"/>
              <w:bottom w:type="dxa" w:w="80"/>
              <w:right w:type="dxa" w:w="120"/>
            </w:tcMar>
            <w:vAlign w:val="center"/>
          </w:tcPr>
          <w:p>
            <w:r>
              <w:rPr>
                <w:b w:val="false"/>
                <w:bCs w:val="false"/>
                <w:color w:val="333333"/>
                <w:sz w:val="18"/>
                <w:szCs w:val="18"/>
              </w:rPr>
              <w:t xml:space="preserve">Test with 10 sample invoices across 3 denomination types before advancing</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6 — HITL Gate</w:t>
            </w:r>
          </w:p>
        </w:tc>
        <w:tc>
          <w:tcPr>
            <w:tcMar>
              <w:top w:type="dxa" w:w="80"/>
              <w:left w:type="dxa" w:w="120"/>
              <w:bottom w:type="dxa" w:w="80"/>
              <w:right w:type="dxa" w:w="120"/>
            </w:tcMar>
            <w:vAlign w:val="center"/>
          </w:tcPr>
          <w:p>
            <w:r>
              <w:rPr>
                <w:b w:val="false"/>
                <w:bCs w:val="false"/>
                <w:color w:val="333333"/>
                <w:sz w:val="18"/>
                <w:szCs w:val="18"/>
              </w:rPr>
              <w:t xml:space="preserve">hitl_invoice_gate + notification dispatcher</w:t>
            </w:r>
          </w:p>
        </w:tc>
        <w:tc>
          <w:tcPr>
            <w:tcMar>
              <w:top w:type="dxa" w:w="80"/>
              <w:left w:type="dxa" w:w="120"/>
              <w:bottom w:type="dxa" w:w="80"/>
              <w:right w:type="dxa" w:w="120"/>
            </w:tcMar>
            <w:vAlign w:val="center"/>
          </w:tcPr>
          <w:p>
            <w:r>
              <w:rPr>
                <w:b w:val="false"/>
                <w:bCs w:val="false"/>
                <w:color w:val="333333"/>
                <w:sz w:val="18"/>
                <w:szCs w:val="18"/>
              </w:rPr>
              <w:t xml:space="preserve">skills/conversation/hitl_invoice_gate/</w:t>
            </w:r>
          </w:p>
        </w:tc>
        <w:tc>
          <w:tcPr>
            <w:tcMar>
              <w:top w:type="dxa" w:w="80"/>
              <w:left w:type="dxa" w:w="120"/>
              <w:bottom w:type="dxa" w:w="80"/>
              <w:right w:type="dxa" w:w="120"/>
            </w:tcMar>
            <w:vAlign w:val="center"/>
          </w:tcPr>
          <w:p>
            <w:r>
              <w:rPr>
                <w:b w:val="false"/>
                <w:bCs w:val="false"/>
                <w:color w:val="333333"/>
                <w:sz w:val="18"/>
                <w:szCs w:val="18"/>
              </w:rPr>
              <w:t xml:space="preserve">Requires Phase 5 complete; HITL is the critical path for low-confidence postings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7 — Membrane</w:t>
            </w:r>
          </w:p>
        </w:tc>
        <w:tc>
          <w:tcPr>
            <w:tcMar>
              <w:top w:type="dxa" w:w="80"/>
              <w:left w:type="dxa" w:w="120"/>
              <w:bottom w:type="dxa" w:w="80"/>
              <w:right w:type="dxa" w:w="120"/>
            </w:tcMar>
            <w:vAlign w:val="center"/>
          </w:tcPr>
          <w:p>
            <w:r>
              <w:rPr>
                <w:b w:val="false"/>
                <w:bCs w:val="false"/>
                <w:color w:val="333333"/>
                <w:sz w:val="18"/>
                <w:szCs w:val="18"/>
              </w:rPr>
              <w:t xml:space="preserve">accounting_domain_distillation + outer membrane wiring</w:t>
            </w:r>
          </w:p>
        </w:tc>
        <w:tc>
          <w:tcPr>
            <w:tcMar>
              <w:top w:type="dxa" w:w="80"/>
              <w:left w:type="dxa" w:w="120"/>
              <w:bottom w:type="dxa" w:w="80"/>
              <w:right w:type="dxa" w:w="120"/>
            </w:tcMar>
            <w:vAlign w:val="center"/>
          </w:tcPr>
          <w:p>
            <w:r>
              <w:rPr>
                <w:b w:val="false"/>
                <w:bCs w:val="false"/>
                <w:color w:val="333333"/>
                <w:sz w:val="18"/>
                <w:szCs w:val="18"/>
              </w:rPr>
              <w:t xml:space="preserve">skills/membrane/accounting_domain_distillation/</w:t>
            </w:r>
          </w:p>
        </w:tc>
        <w:tc>
          <w:tcPr>
            <w:tcMar>
              <w:top w:type="dxa" w:w="80"/>
              <w:left w:type="dxa" w:w="120"/>
              <w:bottom w:type="dxa" w:w="80"/>
              <w:right w:type="dxa" w:w="120"/>
            </w:tcMar>
            <w:vAlign w:val="center"/>
          </w:tcPr>
          <w:p>
            <w:r>
              <w:rPr>
                <w:b w:val="false"/>
                <w:bCs w:val="false"/>
                <w:color w:val="333333"/>
                <w:sz w:val="18"/>
                <w:szCs w:val="18"/>
              </w:rPr>
              <w:t xml:space="preserve">Integrate with Redis in Phase 2 first; membrane emits to event mesh</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8 — Approval + Posting</w:t>
            </w:r>
          </w:p>
        </w:tc>
        <w:tc>
          <w:tcPr>
            <w:tcMar>
              <w:top w:type="dxa" w:w="80"/>
              <w:left w:type="dxa" w:w="120"/>
              <w:bottom w:type="dxa" w:w="80"/>
              <w:right w:type="dxa" w:w="120"/>
            </w:tcMar>
            <w:vAlign w:val="center"/>
          </w:tcPr>
          <w:p>
            <w:r>
              <w:rPr>
                <w:b w:val="false"/>
                <w:bCs w:val="false"/>
                <w:color w:val="333333"/>
                <w:sz w:val="18"/>
                <w:szCs w:val="18"/>
              </w:rPr>
              <w:t xml:space="preserve">Approval workflow + ACS Realm posting (browser automation)</w:t>
            </w:r>
          </w:p>
        </w:tc>
        <w:tc>
          <w:tcPr>
            <w:tcMar>
              <w:top w:type="dxa" w:w="80"/>
              <w:left w:type="dxa" w:w="120"/>
              <w:bottom w:type="dxa" w:w="80"/>
              <w:right w:type="dxa" w:w="120"/>
            </w:tcMar>
            <w:vAlign w:val="center"/>
          </w:tcPr>
          <w:p>
            <w:r>
              <w:rPr>
                <w:b w:val="false"/>
                <w:bCs w:val="false"/>
                <w:color w:val="333333"/>
                <w:sz w:val="18"/>
                <w:szCs w:val="18"/>
              </w:rPr>
              <w:t xml:space="preserve">Approval orchestrator (agent design TBD)</w:t>
            </w:r>
          </w:p>
        </w:tc>
        <w:tc>
          <w:tcPr>
            <w:tcMar>
              <w:top w:type="dxa" w:w="80"/>
              <w:left w:type="dxa" w:w="120"/>
              <w:bottom w:type="dxa" w:w="80"/>
              <w:right w:type="dxa" w:w="120"/>
            </w:tcMar>
            <w:vAlign w:val="center"/>
          </w:tcPr>
          <w:p>
            <w:r>
              <w:rPr>
                <w:b w:val="false"/>
                <w:bCs w:val="false"/>
                <w:color w:val="333333"/>
                <w:sz w:val="18"/>
                <w:szCs w:val="18"/>
              </w:rPr>
              <w:t xml:space="preserve">ACS browser automation is highest-ROI feature per FRD §6 gap note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9 — Reconciliation + Payment</w:t>
            </w:r>
          </w:p>
        </w:tc>
        <w:tc>
          <w:tcPr>
            <w:tcMar>
              <w:top w:type="dxa" w:w="80"/>
              <w:left w:type="dxa" w:w="120"/>
              <w:bottom w:type="dxa" w:w="80"/>
              <w:right w:type="dxa" w:w="120"/>
            </w:tcMar>
            <w:vAlign w:val="center"/>
          </w:tcPr>
          <w:p>
            <w:r>
              <w:rPr>
                <w:b w:val="false"/>
                <w:bCs w:val="false"/>
                <w:color w:val="333333"/>
                <w:sz w:val="18"/>
                <w:szCs w:val="18"/>
              </w:rPr>
              <w:t xml:space="preserve">Bank reconciliation agent + payment initiation</w:t>
            </w:r>
          </w:p>
        </w:tc>
        <w:tc>
          <w:tcPr>
            <w:tcMar>
              <w:top w:type="dxa" w:w="80"/>
              <w:left w:type="dxa" w:w="120"/>
              <w:bottom w:type="dxa" w:w="80"/>
              <w:right w:type="dxa" w:w="120"/>
            </w:tcMar>
            <w:vAlign w:val="center"/>
          </w:tcPr>
          <w:p>
            <w:r>
              <w:rPr>
                <w:b w:val="false"/>
                <w:bCs w:val="false"/>
                <w:color w:val="333333"/>
                <w:sz w:val="18"/>
                <w:szCs w:val="18"/>
              </w:rPr>
              <w:t xml:space="preserve">skills/worker/payment_matching/</w:t>
            </w:r>
          </w:p>
        </w:tc>
        <w:tc>
          <w:tcPr>
            <w:tcMar>
              <w:top w:type="dxa" w:w="80"/>
              <w:left w:type="dxa" w:w="120"/>
              <w:bottom w:type="dxa" w:w="80"/>
              <w:right w:type="dxa" w:w="120"/>
            </w:tcMar>
            <w:vAlign w:val="center"/>
          </w:tcPr>
          <w:p>
            <w:r>
              <w:rPr>
                <w:b w:val="false"/>
                <w:bCs w:val="false"/>
                <w:color w:val="333333"/>
                <w:sz w:val="18"/>
                <w:szCs w:val="18"/>
              </w:rPr>
              <w:t xml:space="preserve">Phase 3 in FRD; payment_dedup guider is pre-wired from Phase 4</w:t>
            </w:r>
          </w:p>
        </w:tc>
      </w:tr>
    </w:tbl>
    <w:p>
      <w:r>
        <w:br w:type="page"/>
      </w:r>
    </w:p>
    <w:p>
      <w:pPr>
        <w:pStyle w:val="Heading1"/>
        <w:spacing w:after="150" w:before="400"/>
      </w:pPr>
      <w:r>
        <w:rPr>
          <w:b/>
          <w:bCs/>
          <w:color w:val="2E4057"/>
          <w:sz w:val="32"/>
          <w:szCs w:val="32"/>
        </w:rPr>
        <w:t xml:space="preserve">8. Open Items for Engineering</w:t>
      </w:r>
    </w:p>
    <w:p>
      <w:pPr>
        <w:spacing w:after="80" w:before="80"/>
      </w:pPr>
      <w:r>
        <w:rPr>
          <w:sz w:val="20"/>
          <w:szCs w:val="20"/>
        </w:rPr>
        <w:t xml:space="preserve">These items were flagged during extraction and were not resolved before bundle generation. They must be resolved before the corresponding build phase begins.</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shd w:fill="2E4057" w:val="clear"/>
            <w:tcMar>
              <w:top w:type="dxa" w:w="80"/>
              <w:left w:type="dxa" w:w="120"/>
              <w:bottom w:type="dxa" w:w="80"/>
              <w:right w:type="dxa" w:w="120"/>
            </w:tcMar>
            <w:vAlign w:val="center"/>
          </w:tcPr>
          <w:p>
            <w:r>
              <w:rPr>
                <w:b/>
                <w:bCs/>
                <w:color w:val="FFFFFF"/>
                <w:sz w:val="18"/>
                <w:szCs w:val="18"/>
              </w:rPr>
              <w:t xml:space="preserve">#</w:t>
            </w:r>
          </w:p>
        </w:tc>
        <w:tc>
          <w:tcPr>
            <w:shd w:fill="2E4057" w:val="clear"/>
            <w:tcMar>
              <w:top w:type="dxa" w:w="80"/>
              <w:left w:type="dxa" w:w="120"/>
              <w:bottom w:type="dxa" w:w="80"/>
              <w:right w:type="dxa" w:w="120"/>
            </w:tcMar>
            <w:vAlign w:val="center"/>
          </w:tcPr>
          <w:p>
            <w:r>
              <w:rPr>
                <w:b/>
                <w:bCs/>
                <w:color w:val="FFFFFF"/>
                <w:sz w:val="18"/>
                <w:szCs w:val="18"/>
              </w:rPr>
              <w:t xml:space="preserve">Question</w:t>
            </w:r>
          </w:p>
        </w:tc>
        <w:tc>
          <w:tcPr>
            <w:shd w:fill="2E4057" w:val="clear"/>
            <w:tcMar>
              <w:top w:type="dxa" w:w="80"/>
              <w:left w:type="dxa" w:w="120"/>
              <w:bottom w:type="dxa" w:w="80"/>
              <w:right w:type="dxa" w:w="120"/>
            </w:tcMar>
            <w:vAlign w:val="center"/>
          </w:tcPr>
          <w:p>
            <w:r>
              <w:rPr>
                <w:b/>
                <w:bCs/>
                <w:color w:val="FFFFFF"/>
                <w:sz w:val="18"/>
                <w:szCs w:val="18"/>
              </w:rPr>
              <w:t xml:space="preserve">Affects</w:t>
            </w:r>
          </w:p>
        </w:tc>
        <w:tc>
          <w:tcPr>
            <w:shd w:fill="2E4057" w:val="clear"/>
            <w:tcMar>
              <w:top w:type="dxa" w:w="80"/>
              <w:left w:type="dxa" w:w="120"/>
              <w:bottom w:type="dxa" w:w="80"/>
              <w:right w:type="dxa" w:w="120"/>
            </w:tcMar>
            <w:vAlign w:val="center"/>
          </w:tcPr>
          <w:p>
            <w:r>
              <w:rPr>
                <w:b/>
                <w:bCs/>
                <w:color w:val="FFFFFF"/>
                <w:sz w:val="18"/>
                <w:szCs w:val="18"/>
              </w:rPr>
              <w:t xml:space="preserve">Assumption Used in Bundle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Q-1</w:t>
            </w:r>
          </w:p>
        </w:tc>
        <w:tc>
          <w:tcPr>
            <w:tcMar>
              <w:top w:type="dxa" w:w="80"/>
              <w:left w:type="dxa" w:w="120"/>
              <w:bottom w:type="dxa" w:w="80"/>
              <w:right w:type="dxa" w:w="120"/>
            </w:tcMar>
            <w:vAlign w:val="center"/>
          </w:tcPr>
          <w:p>
            <w:r>
              <w:rPr>
                <w:b w:val="false"/>
                <w:bCs w:val="false"/>
                <w:color w:val="333333"/>
                <w:sz w:val="18"/>
                <w:szCs w:val="18"/>
              </w:rPr>
              <w:t xml:space="preserve">ACS-only (FRD) vs multi-ledger (FRS): which scope for v1?</w:t>
            </w:r>
          </w:p>
        </w:tc>
        <w:tc>
          <w:tcPr>
            <w:tcMar>
              <w:top w:type="dxa" w:w="80"/>
              <w:left w:type="dxa" w:w="120"/>
              <w:bottom w:type="dxa" w:w="80"/>
              <w:right w:type="dxa" w:w="120"/>
            </w:tcMar>
            <w:vAlign w:val="center"/>
          </w:tcPr>
          <w:p>
            <w:r>
              <w:rPr>
                <w:b w:val="false"/>
                <w:bCs w:val="false"/>
                <w:color w:val="333333"/>
                <w:sz w:val="18"/>
                <w:szCs w:val="18"/>
              </w:rPr>
              <w:t xml:space="preserve">Build Phase 8 — posting integration</w:t>
            </w:r>
          </w:p>
        </w:tc>
        <w:tc>
          <w:tcPr>
            <w:tcMar>
              <w:top w:type="dxa" w:w="80"/>
              <w:left w:type="dxa" w:w="120"/>
              <w:bottom w:type="dxa" w:w="80"/>
              <w:right w:type="dxa" w:w="120"/>
            </w:tcMar>
            <w:vAlign w:val="center"/>
          </w:tcPr>
          <w:p>
            <w:r>
              <w:rPr>
                <w:b w:val="false"/>
                <w:bCs w:val="false"/>
                <w:color w:val="333333"/>
                <w:sz w:val="18"/>
                <w:szCs w:val="18"/>
              </w:rPr>
              <w:t xml:space="preserve">FRS values used: multi-ledger abstraction in membrane; ACS Realm as v1 target via ledger_target enum</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Q-2</w:t>
            </w:r>
          </w:p>
        </w:tc>
        <w:tc>
          <w:tcPr>
            <w:tcMar>
              <w:top w:type="dxa" w:w="80"/>
              <w:left w:type="dxa" w:w="120"/>
              <w:bottom w:type="dxa" w:w="80"/>
              <w:right w:type="dxa" w:w="120"/>
            </w:tcMar>
            <w:vAlign w:val="center"/>
          </w:tcPr>
          <w:p>
            <w:r>
              <w:rPr>
                <w:b w:val="false"/>
                <w:bCs w:val="false"/>
                <w:color w:val="333333"/>
                <w:sz w:val="18"/>
                <w:szCs w:val="18"/>
              </w:rPr>
              <w:t xml:space="preserve">HITL confidence threshold: 0.70 (FRD) vs 0.85 (FRS)</w:t>
            </w:r>
          </w:p>
        </w:tc>
        <w:tc>
          <w:tcPr>
            <w:tcMar>
              <w:top w:type="dxa" w:w="80"/>
              <w:left w:type="dxa" w:w="120"/>
              <w:bottom w:type="dxa" w:w="80"/>
              <w:right w:type="dxa" w:w="120"/>
            </w:tcMar>
            <w:vAlign w:val="center"/>
          </w:tcPr>
          <w:p>
            <w:r>
              <w:rPr>
                <w:b w:val="false"/>
                <w:bCs w:val="false"/>
                <w:color w:val="333333"/>
                <w:sz w:val="18"/>
                <w:szCs w:val="18"/>
              </w:rPr>
              <w:t xml:space="preserve">allocation_reviewer + gl_account_mapper skills</w:t>
            </w:r>
          </w:p>
        </w:tc>
        <w:tc>
          <w:tcPr>
            <w:tcMar>
              <w:top w:type="dxa" w:w="80"/>
              <w:left w:type="dxa" w:w="120"/>
              <w:bottom w:type="dxa" w:w="80"/>
              <w:right w:type="dxa" w:w="120"/>
            </w:tcMar>
            <w:vAlign w:val="center"/>
          </w:tcPr>
          <w:p>
            <w:r>
              <w:rPr>
                <w:b w:val="false"/>
                <w:bCs w:val="false"/>
                <w:color w:val="333333"/>
                <w:sz w:val="18"/>
                <w:szCs w:val="18"/>
              </w:rPr>
              <w:t xml:space="preserve">FRS value 0.85 used — more conservative, audit-friendly</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Q-3</w:t>
            </w:r>
          </w:p>
        </w:tc>
        <w:tc>
          <w:tcPr>
            <w:tcMar>
              <w:top w:type="dxa" w:w="80"/>
              <w:left w:type="dxa" w:w="120"/>
              <w:bottom w:type="dxa" w:w="80"/>
              <w:right w:type="dxa" w:w="120"/>
            </w:tcMar>
            <w:vAlign w:val="center"/>
          </w:tcPr>
          <w:p>
            <w:r>
              <w:rPr>
                <w:b w:val="false"/>
                <w:bCs w:val="false"/>
                <w:color w:val="333333"/>
                <w:sz w:val="18"/>
                <w:szCs w:val="18"/>
              </w:rPr>
              <w:t xml:space="preserve">ACS Realm API vs browser automation</w:t>
            </w:r>
          </w:p>
        </w:tc>
        <w:tc>
          <w:tcPr>
            <w:tcMar>
              <w:top w:type="dxa" w:w="80"/>
              <w:left w:type="dxa" w:w="120"/>
              <w:bottom w:type="dxa" w:w="80"/>
              <w:right w:type="dxa" w:w="120"/>
            </w:tcMar>
            <w:vAlign w:val="center"/>
          </w:tcPr>
          <w:p>
            <w:r>
              <w:rPr>
                <w:b w:val="false"/>
                <w:bCs w:val="false"/>
                <w:color w:val="333333"/>
                <w:sz w:val="18"/>
                <w:szCs w:val="18"/>
              </w:rPr>
              <w:t xml:space="preserve">Build Phase 8</w:t>
            </w:r>
          </w:p>
        </w:tc>
        <w:tc>
          <w:tcPr>
            <w:tcMar>
              <w:top w:type="dxa" w:w="80"/>
              <w:left w:type="dxa" w:w="120"/>
              <w:bottom w:type="dxa" w:w="80"/>
              <w:right w:type="dxa" w:w="120"/>
            </w:tcMar>
            <w:vAlign w:val="center"/>
          </w:tcPr>
          <w:p>
            <w:r>
              <w:rPr>
                <w:b w:val="false"/>
                <w:bCs w:val="false"/>
                <w:color w:val="333333"/>
                <w:sz w:val="18"/>
                <w:szCs w:val="18"/>
              </w:rPr>
              <w:t xml:space="preserve">Browser automation assumed as primary; API as future upgrade</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Q-5</w:t>
            </w:r>
          </w:p>
        </w:tc>
        <w:tc>
          <w:tcPr>
            <w:tcMar>
              <w:top w:type="dxa" w:w="80"/>
              <w:left w:type="dxa" w:w="120"/>
              <w:bottom w:type="dxa" w:w="80"/>
              <w:right w:type="dxa" w:w="120"/>
            </w:tcMar>
            <w:vAlign w:val="center"/>
          </w:tcPr>
          <w:p>
            <w:r>
              <w:rPr>
                <w:b w:val="false"/>
                <w:bCs w:val="false"/>
                <w:color w:val="333333"/>
                <w:sz w:val="18"/>
                <w:szCs w:val="18"/>
              </w:rPr>
              <w:t xml:space="preserve">Full GL code → budget owner mapping (only Kyle Bynum confirmed)</w:t>
            </w:r>
          </w:p>
        </w:tc>
        <w:tc>
          <w:tcPr>
            <w:tcMar>
              <w:top w:type="dxa" w:w="80"/>
              <w:left w:type="dxa" w:w="120"/>
              <w:bottom w:type="dxa" w:w="80"/>
              <w:right w:type="dxa" w:w="120"/>
            </w:tcMar>
            <w:vAlign w:val="center"/>
          </w:tcPr>
          <w:p>
            <w:r>
              <w:rPr>
                <w:b w:val="false"/>
                <w:bCs w:val="false"/>
                <w:color w:val="333333"/>
                <w:sz w:val="18"/>
                <w:szCs w:val="18"/>
              </w:rPr>
              <w:t xml:space="preserve">hitl_invoice_gate routing + approval chain config</w:t>
            </w:r>
          </w:p>
        </w:tc>
        <w:tc>
          <w:tcPr>
            <w:tcMar>
              <w:top w:type="dxa" w:w="80"/>
              <w:left w:type="dxa" w:w="120"/>
              <w:bottom w:type="dxa" w:w="80"/>
              <w:right w:type="dxa" w:w="120"/>
            </w:tcMar>
            <w:vAlign w:val="center"/>
          </w:tcPr>
          <w:p>
            <w:r>
              <w:rPr>
                <w:b w:val="false"/>
                <w:bCs w:val="false"/>
                <w:color w:val="333333"/>
                <w:sz w:val="18"/>
                <w:szCs w:val="18"/>
              </w:rPr>
              <w:t xml:space="preserve">Config-driven; seed data needed from Matt Babcock</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Q-8</w:t>
            </w:r>
          </w:p>
        </w:tc>
        <w:tc>
          <w:tcPr>
            <w:tcMar>
              <w:top w:type="dxa" w:w="80"/>
              <w:left w:type="dxa" w:w="120"/>
              <w:bottom w:type="dxa" w:w="80"/>
              <w:right w:type="dxa" w:w="120"/>
            </w:tcMar>
            <w:vAlign w:val="center"/>
          </w:tcPr>
          <w:p>
            <w:r>
              <w:rPr>
                <w:b w:val="false"/>
                <w:bCs w:val="false"/>
                <w:color w:val="333333"/>
                <w:sz w:val="18"/>
                <w:szCs w:val="18"/>
              </w:rPr>
              <w:t xml:space="preserve">COA semantic search strategy (embedding model for gl_account_search_tool)</w:t>
            </w:r>
          </w:p>
        </w:tc>
        <w:tc>
          <w:tcPr>
            <w:tcMar>
              <w:top w:type="dxa" w:w="80"/>
              <w:left w:type="dxa" w:w="120"/>
              <w:bottom w:type="dxa" w:w="80"/>
              <w:right w:type="dxa" w:w="120"/>
            </w:tcMar>
            <w:vAlign w:val="center"/>
          </w:tcPr>
          <w:p>
            <w:r>
              <w:rPr>
                <w:b w:val="false"/>
                <w:bCs w:val="false"/>
                <w:color w:val="333333"/>
                <w:sz w:val="18"/>
                <w:szCs w:val="18"/>
              </w:rPr>
              <w:t xml:space="preserve">gl_account_mapper accuracy</w:t>
            </w:r>
          </w:p>
        </w:tc>
        <w:tc>
          <w:tcPr>
            <w:tcMar>
              <w:top w:type="dxa" w:w="80"/>
              <w:left w:type="dxa" w:w="120"/>
              <w:bottom w:type="dxa" w:w="80"/>
              <w:right w:type="dxa" w:w="120"/>
            </w:tcMar>
            <w:vAlign w:val="center"/>
          </w:tcPr>
          <w:p>
            <w:r>
              <w:rPr>
                <w:b w:val="false"/>
                <w:bCs w:val="false"/>
                <w:color w:val="333333"/>
                <w:sz w:val="18"/>
                <w:szCs w:val="18"/>
              </w:rPr>
              <w:t xml:space="preserve">Engineering spike recommended: FAISS per-tenant index vs keyword fallback</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Q-9</w:t>
            </w:r>
          </w:p>
        </w:tc>
        <w:tc>
          <w:tcPr>
            <w:tcMar>
              <w:top w:type="dxa" w:w="80"/>
              <w:left w:type="dxa" w:w="120"/>
              <w:bottom w:type="dxa" w:w="80"/>
              <w:right w:type="dxa" w:w="120"/>
            </w:tcMar>
            <w:vAlign w:val="center"/>
          </w:tcPr>
          <w:p>
            <w:r>
              <w:rPr>
                <w:b w:val="false"/>
                <w:bCs w:val="false"/>
                <w:color w:val="333333"/>
                <w:sz w:val="18"/>
                <w:szCs w:val="18"/>
              </w:rPr>
              <w:t xml:space="preserve">Vendor registry ownership for parsonage/missions detection</w:t>
            </w:r>
          </w:p>
        </w:tc>
        <w:tc>
          <w:tcPr>
            <w:tcMar>
              <w:top w:type="dxa" w:w="80"/>
              <w:left w:type="dxa" w:w="120"/>
              <w:bottom w:type="dxa" w:w="80"/>
              <w:right w:type="dxa" w:w="120"/>
            </w:tcMar>
            <w:vAlign w:val="center"/>
          </w:tcPr>
          <w:p>
            <w:r>
              <w:rPr>
                <w:b w:val="false"/>
                <w:bCs w:val="false"/>
                <w:color w:val="333333"/>
                <w:sz w:val="18"/>
                <w:szCs w:val="18"/>
              </w:rPr>
              <w:t xml:space="preserve">line_item_classifier accuracy on housing/missions flags</w:t>
            </w:r>
          </w:p>
        </w:tc>
        <w:tc>
          <w:tcPr>
            <w:tcMar>
              <w:top w:type="dxa" w:w="80"/>
              <w:left w:type="dxa" w:w="120"/>
              <w:bottom w:type="dxa" w:w="80"/>
              <w:right w:type="dxa" w:w="120"/>
            </w:tcMar>
            <w:vAlign w:val="center"/>
          </w:tcPr>
          <w:p>
            <w:r>
              <w:rPr>
                <w:b w:val="false"/>
                <w:bCs w:val="false"/>
                <w:color w:val="333333"/>
                <w:sz w:val="18"/>
                <w:szCs w:val="18"/>
              </w:rPr>
              <w:t xml:space="preserve">Global Embark registry + church admin local additions assumed</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Q-12</w:t>
            </w:r>
          </w:p>
        </w:tc>
        <w:tc>
          <w:tcPr>
            <w:tcMar>
              <w:top w:type="dxa" w:w="80"/>
              <w:left w:type="dxa" w:w="120"/>
              <w:bottom w:type="dxa" w:w="80"/>
              <w:right w:type="dxa" w:w="120"/>
            </w:tcMar>
            <w:vAlign w:val="center"/>
          </w:tcPr>
          <w:p>
            <w:r>
              <w:rPr>
                <w:b w:val="false"/>
                <w:bCs w:val="false"/>
                <w:color w:val="333333"/>
                <w:sz w:val="18"/>
                <w:szCs w:val="18"/>
              </w:rPr>
              <w:t xml:space="preserve">Skill authoring governance — sandboxing + reviewer approval for new skills</w:t>
            </w:r>
          </w:p>
        </w:tc>
        <w:tc>
          <w:tcPr>
            <w:tcMar>
              <w:top w:type="dxa" w:w="80"/>
              <w:left w:type="dxa" w:w="120"/>
              <w:bottom w:type="dxa" w:w="80"/>
              <w:right w:type="dxa" w:w="120"/>
            </w:tcMar>
            <w:vAlign w:val="center"/>
          </w:tcPr>
          <w:p>
            <w:r>
              <w:rPr>
                <w:b w:val="false"/>
                <w:bCs w:val="false"/>
                <w:color w:val="333333"/>
                <w:sz w:val="18"/>
                <w:szCs w:val="18"/>
              </w:rPr>
              <w:t xml:space="preserve">All skill archetypes</w:t>
            </w:r>
          </w:p>
        </w:tc>
        <w:tc>
          <w:tcPr>
            <w:tcMar>
              <w:top w:type="dxa" w:w="80"/>
              <w:left w:type="dxa" w:w="120"/>
              <w:bottom w:type="dxa" w:w="80"/>
              <w:right w:type="dxa" w:w="120"/>
            </w:tcMar>
            <w:vAlign w:val="center"/>
          </w:tcPr>
          <w:p>
            <w:r>
              <w:rPr>
                <w:b w:val="false"/>
                <w:bCs w:val="false"/>
                <w:color w:val="333333"/>
                <w:sz w:val="18"/>
                <w:szCs w:val="18"/>
              </w:rPr>
              <w:t xml:space="preserve">Engineering spike recommended before enabling external skill authors</w:t>
            </w:r>
          </w:p>
        </w:tc>
      </w:tr>
      <w:tr>
        <w:tc>
          <w:tcPr>
            <w:shd w:fill="F5F7FA" w:val="clear"/>
            <w:tcMar>
              <w:top w:type="dxa" w:w="80"/>
              <w:left w:type="dxa" w:w="120"/>
              <w:bottom w:type="dxa" w:w="80"/>
              <w:right w:type="dxa" w:w="120"/>
            </w:tcMar>
            <w:vAlign w:val="center"/>
          </w:tcPr>
          <w:p>
            <w:r>
              <w:rPr>
                <w:b w:val="false"/>
                <w:bCs w:val="false"/>
                <w:color w:val="333333"/>
                <w:sz w:val="18"/>
                <w:szCs w:val="18"/>
              </w:rPr>
              <w:t xml:space="preserve">Q-13 (resolved)</w:t>
            </w:r>
          </w:p>
        </w:tc>
        <w:tc>
          <w:tcPr>
            <w:tcMar>
              <w:top w:type="dxa" w:w="80"/>
              <w:left w:type="dxa" w:w="120"/>
              <w:bottom w:type="dxa" w:w="80"/>
              <w:right w:type="dxa" w:w="120"/>
            </w:tcMar>
            <w:vAlign w:val="center"/>
          </w:tcPr>
          <w:p>
            <w:r>
              <w:rPr>
                <w:b w:val="false"/>
                <w:bCs w:val="false"/>
                <w:color w:val="333333"/>
                <w:sz w:val="18"/>
                <w:szCs w:val="18"/>
              </w:rPr>
              <w:t xml:space="preserve">Vanco auto-import + EIME ACH double-payment risk</w:t>
            </w:r>
          </w:p>
        </w:tc>
        <w:tc>
          <w:tcPr>
            <w:tcMar>
              <w:top w:type="dxa" w:w="80"/>
              <w:left w:type="dxa" w:w="120"/>
              <w:bottom w:type="dxa" w:w="80"/>
              <w:right w:type="dxa" w:w="120"/>
            </w:tcMar>
            <w:vAlign w:val="center"/>
          </w:tcPr>
          <w:p>
            <w:r>
              <w:rPr>
                <w:b w:val="false"/>
                <w:bCs w:val="false"/>
                <w:color w:val="333333"/>
                <w:sz w:val="18"/>
                <w:szCs w:val="18"/>
              </w:rPr>
              <w:t xml:space="preserve">payment_matching + membrane</w:t>
            </w:r>
          </w:p>
        </w:tc>
        <w:tc>
          <w:tcPr>
            <w:tcMar>
              <w:top w:type="dxa" w:w="80"/>
              <w:left w:type="dxa" w:w="120"/>
              <w:bottom w:type="dxa" w:w="80"/>
              <w:right w:type="dxa" w:w="120"/>
            </w:tcMar>
            <w:vAlign w:val="center"/>
          </w:tcPr>
          <w:p>
            <w:r>
              <w:rPr>
                <w:b w:val="false"/>
                <w:bCs w:val="false"/>
                <w:color w:val="333333"/>
                <w:sz w:val="18"/>
                <w:szCs w:val="18"/>
              </w:rPr>
              <w:t xml:space="preserve">Resolved via payment-dedup guider + PAYMENT_DEDUP_RISK perturbation</w:t>
            </w:r>
          </w:p>
        </w:tc>
      </w:tr>
    </w:tbl>
    <w:p>
      <w:r>
        <w:br w:type="page"/>
      </w:r>
    </w:p>
    <w:p>
      <w:pPr>
        <w:pStyle w:val="Heading1"/>
        <w:spacing w:after="150" w:before="400"/>
      </w:pPr>
      <w:r>
        <w:rPr>
          <w:b/>
          <w:bCs/>
          <w:color w:val="2E4057"/>
          <w:sz w:val="32"/>
          <w:szCs w:val="32"/>
        </w:rPr>
        <w:t xml:space="preserve">9. Registry Write-Back</w:t>
      </w:r>
    </w:p>
    <w:p>
      <w:pPr>
        <w:spacing w:after="80" w:before="80"/>
      </w:pPr>
      <w:r>
        <w:rPr>
          <w:sz w:val="20"/>
          <w:szCs w:val="20"/>
        </w:rPr>
        <w:t xml:space="preserve">The registry diff file is at: docs/registry-additions.xlsx</w:t>
      </w:r>
    </w:p>
    <w:p>
      <w:pPr>
        <w:spacing w:after="80" w:before="80"/>
      </w:pPr>
      <w:r>
        <w:t xml:space="preserve"/>
      </w:r>
    </w:p>
    <w:p>
      <w:pPr>
        <w:spacing w:after="80" w:before="80"/>
      </w:pPr>
      <w:r>
        <w:rPr>
          <w:sz w:val="20"/>
          <w:szCs w:val="20"/>
        </w:rPr>
        <w:t xml:space="preserve">This workbook contains 3 sheets: Perturbations (10 new entries, IDs 59–68), Guider Capabilities (2 new entries), and Guider Messages (10 new entries). All entries are set to status: proposed.</w:t>
      </w:r>
    </w:p>
    <w:p>
      <w:pPr>
        <w:spacing w:after="80" w:before="80"/>
      </w:pPr>
      <w:r>
        <w:t xml:space="preserve"/>
      </w:r>
    </w:p>
    <w:p>
      <w:pPr>
        <w:spacing w:after="80" w:before="80"/>
      </w:pPr>
      <w:r>
        <w:rPr>
          <w:sz w:val="20"/>
          <w:szCs w:val="20"/>
        </w:rPr>
        <w:t xml:space="preserve">To apply: confirm the diff at Checkpoint 3, and the orchestrator will append entries to the three canonical registry files. Backups will be written to docs/registry-backup-&lt;timestamp&gt;/ before any changes are made.</w:t>
      </w:r>
    </w:p>
    <w:p>
      <w:pPr>
        <w:spacing w:after="80" w:before="80"/>
      </w:pPr>
      <w:r>
        <w:t xml:space="preserve"/>
      </w:r>
    </w:p>
    <w:p>
      <w:pPr>
        <w:spacing w:after="80" w:before="80"/>
      </w:pPr>
      <w:r>
        <w:rPr>
          <w:i/>
          <w:iCs/>
          <w:sz w:val="20"/>
          <w:szCs w:val="20"/>
        </w:rPr>
        <w:t xml:space="preserve">The diff file mirrors the canonical registry column structure exactly — a copy-paste merge is also valid if the automated write-back is not used.</w:t>
      </w:r>
    </w:p>
    <w:p>
      <w:r>
        <w:br w:type="page"/>
      </w:r>
    </w:p>
    <w:p>
      <w:pPr>
        <w:pStyle w:val="Heading1"/>
        <w:spacing w:after="150" w:before="400"/>
      </w:pPr>
      <w:r>
        <w:rPr>
          <w:b/>
          <w:bCs/>
          <w:color w:val="2E4057"/>
          <w:sz w:val="32"/>
          <w:szCs w:val="32"/>
        </w:rPr>
        <w:t xml:space="preserve">10. Design Notes</w:t>
      </w:r>
    </w:p>
    <w:p>
      <w:pPr>
        <w:pStyle w:val="Heading2"/>
        <w:spacing w:after="100" w:before="300"/>
      </w:pPr>
      <w:r>
        <w:rPr>
          <w:b/>
          <w:bCs/>
          <w:color w:val="2E4057"/>
          <w:sz w:val="26"/>
          <w:szCs w:val="26"/>
        </w:rPr>
        <w:t xml:space="preserve">Scope of This Bundle</w:t>
      </w:r>
    </w:p>
    <w:p>
      <w:pPr>
        <w:spacing w:after="80" w:before="80"/>
      </w:pPr>
      <w:r>
        <w:rPr>
          <w:sz w:val="20"/>
          <w:szCs w:val="20"/>
        </w:rPr>
        <w:t xml:space="preserve">Per the design session scope: this bundle covers skills, membranes, perturbations, guiders, and the event mesh. Agent YAML definitions, CrewAI task/crew scaffolds, agent prompts, and the UI FRD are not included in this run. Those artifacts can be generated by re-running the orchestrator with the relevant phases enabled.</w:t>
      </w:r>
    </w:p>
    <w:p>
      <w:pPr>
        <w:spacing w:after="80" w:before="80"/>
      </w:pPr>
      <w:r>
        <w:t xml:space="preserve"/>
      </w:r>
    </w:p>
    <w:p>
      <w:pPr>
        <w:pStyle w:val="Heading2"/>
        <w:spacing w:after="100" w:before="300"/>
      </w:pPr>
      <w:r>
        <w:rPr>
          <w:b/>
          <w:bCs/>
          <w:color w:val="2E4057"/>
          <w:sz w:val="26"/>
          <w:szCs w:val="26"/>
        </w:rPr>
        <w:t xml:space="preserve">Reused Registry Entries</w:t>
      </w:r>
    </w:p>
    <w:p>
      <w:pPr>
        <w:spacing w:after="80" w:before="80"/>
      </w:pPr>
      <w:r>
        <w:rPr>
          <w:sz w:val="20"/>
          <w:szCs w:val="20"/>
        </w:rPr>
        <w:t xml:space="preserve">Four existing Core Seven guiders were wired into the membrane cascade without new registry entries: polity-and-deference (position 3), abundance-and-stewardship (position 4), witness-and-provenance (position 5), dignity (position 6). The existing RISK_SIGNAL perturbation (#8) is reused for POSTING_FAILED scenarios via existing infrastructure.</w:t>
      </w:r>
    </w:p>
    <w:p>
      <w:pPr>
        <w:spacing w:after="80" w:before="80"/>
      </w:pPr>
      <w:r>
        <w:t xml:space="preserve"/>
      </w:r>
    </w:p>
    <w:p>
      <w:pPr>
        <w:pStyle w:val="Heading2"/>
        <w:spacing w:after="100" w:before="300"/>
      </w:pPr>
      <w:r>
        <w:rPr>
          <w:b/>
          <w:bCs/>
          <w:color w:val="2E4057"/>
          <w:sz w:val="26"/>
          <w:szCs w:val="26"/>
        </w:rPr>
        <w:t xml:space="preserve">FRS Skills Already Fully Specified</w:t>
      </w:r>
    </w:p>
    <w:p>
      <w:pPr>
        <w:spacing w:after="80" w:before="80"/>
      </w:pPr>
      <w:r>
        <w:rPr>
          <w:sz w:val="20"/>
          <w:szCs w:val="20"/>
        </w:rPr>
        <w:t xml:space="preserve">The FRS (EIME_FRS_v1_0_1.docx) fully specifies 8 skills in step-by-step workflow format: pdf_extraction, coa_reference_loader, line_item_classifier, gl_account_mapper, allocation_reviewer, hitl_invoice_gate, journal_entry_builder, and accounting_domain_distillation. The remaining 11 skills were designed from the FRD/FRS description context. Both sets are now in SKILL.md format in the skills/ directory.</w:t>
      </w:r>
    </w:p>
    <w:p>
      <w:pPr>
        <w:spacing w:after="80" w:before="80"/>
      </w:pPr>
      <w:r>
        <w:t xml:space="preserve"/>
      </w:r>
    </w:p>
    <w:p>
      <w:pPr>
        <w:spacing w:after="80" w:before="80"/>
      </w:pPr>
      <w:r>
        <w:rPr>
          <w:i/>
          <w:iCs/>
          <w:sz w:val="20"/>
          <w:szCs w:val="20"/>
        </w:rPr>
        <w:t xml:space="preserve">EmbarkNow  |  EIME Implementation Bundle  |  v1.0 Draft  |  2026-05-07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EIME Implementation Index</dc:title>
  <dc:creator>design-bundle-orchestrator</dc:creator>
  <dc:description>Development team onboarding document for the EIME bundle</dc:description>
  <cp:lastModifiedBy>Un-named</cp:lastModifiedBy>
  <cp:revision>1</cp:revision>
  <dcterms:created xsi:type="dcterms:W3CDTF">2026-05-07T11:24:41.674Z</dcterms:created>
  <dcterms:modified xsi:type="dcterms:W3CDTF">2026-05-07T11:24:41.675Z</dcterms:modified>
</cp:coreProperties>
</file>

<file path=docProps/custom.xml><?xml version="1.0" encoding="utf-8"?>
<Properties xmlns="http://schemas.openxmlformats.org/officeDocument/2006/custom-properties" xmlns:vt="http://schemas.openxmlformats.org/officeDocument/2006/docPropsVTypes"/>
</file>