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aps/>
          <w:color w:val="2E75B6"/>
          <w:sz w:val="22"/>
          <w:szCs w:val="22"/>
        </w:rPr>
        <w:t xml:space="preserve">PLAN DE NEGOCIO</w:t>
      </w:r>
    </w:p>
    <w:p>
      <w:pPr>
        <w:pBdr>
          <w:bottom w:val="single" w:color="D4A017" w:sz="6" w:space="1"/>
        </w:pBdr>
        <w:spacing w:after="80"/>
        <w:jc w:val="center"/>
      </w:pPr>
      <w:r>
        <w:rPr>
          <w:sz w:val="10"/>
          <w:szCs w:val="10"/>
        </w:rPr>
        <w:t xml:space="preserve"> </w:t>
      </w:r>
    </w:p>
    <w:p>
      <w:pPr>
        <w:spacing w:before="200"/>
      </w:pPr>
    </w:p>
    <w:p>
      <w:pPr>
        <w:spacing w:after="200"/>
        <w:jc w:val="center"/>
      </w:pPr>
      <w:r>
        <w:rPr>
          <w:rFonts w:ascii="Arial" w:cs="Arial" w:eastAsia="Arial" w:hAnsi="Arial"/>
          <w:b/>
          <w:bCs/>
          <w:color w:val="1B3A5C"/>
          <w:sz w:val="56"/>
          <w:szCs w:val="56"/>
        </w:rPr>
        <w:t xml:space="preserve">HedgePoint MX</w:t>
      </w:r>
    </w:p>
    <w:p>
      <w:pPr>
        <w:spacing w:after="600"/>
        <w:jc w:val="center"/>
      </w:pPr>
      <w:r>
        <w:rPr>
          <w:rFonts w:ascii="Arial" w:cs="Arial" w:eastAsia="Arial" w:hAnsi="Arial"/>
          <w:i/>
          <w:iCs/>
          <w:color w:val="666666"/>
          <w:sz w:val="26"/>
          <w:szCs w:val="26"/>
        </w:rPr>
        <w:t xml:space="preserve">Consultoría en Gestión de Riesgos Financieros para PyMEs</w:t>
      </w:r>
    </w:p>
    <w:p>
      <w:pPr>
        <w:pBdr>
          <w:bottom w:val="single" w:color="CCCCCC" w:sz="2" w:space="1"/>
        </w:pBdr>
        <w:spacing w:after="80"/>
        <w:jc w:val="center"/>
      </w:pPr>
      <w:r>
        <w:rPr>
          <w:sz w:val="10"/>
          <w:szCs w:val="10"/>
        </w:rPr>
        <w:t xml:space="preserve"> </w:t>
      </w:r>
    </w:p>
    <w:p>
      <w:pPr>
        <w:spacing w:before="200"/>
      </w:pPr>
    </w:p>
    <w:p>
      <w:pPr>
        <w:spacing w:after="100"/>
        <w:jc w:val="center"/>
      </w:pPr>
      <w:r>
        <w:rPr>
          <w:rFonts w:ascii="Arial" w:cs="Arial" w:eastAsia="Arial" w:hAnsi="Arial"/>
          <w:color w:val="222222"/>
          <w:sz w:val="22"/>
          <w:szCs w:val="22"/>
        </w:rPr>
        <w:t xml:space="preserve">Plan de Negocio + Arquitectura Técnica de Agentes IA</w:t>
      </w:r>
    </w:p>
    <w:p>
      <w:pPr>
        <w:spacing w:after="100"/>
        <w:jc w:val="center"/>
      </w:pPr>
      <w:r>
        <w:rPr>
          <w:rFonts w:ascii="Arial" w:cs="Arial" w:eastAsia="Arial" w:hAnsi="Arial"/>
          <w:b/>
          <w:bCs/>
          <w:color w:val="C0392B"/>
          <w:sz w:val="20"/>
          <w:szCs w:val="20"/>
        </w:rPr>
        <w:t xml:space="preserve">Documento Confidencial</w:t>
      </w:r>
    </w:p>
    <w:p>
      <w:pPr>
        <w:spacing w:after="100"/>
        <w:jc w:val="center"/>
      </w:pPr>
      <w:r>
        <w:rPr>
          <w:rFonts w:ascii="Arial" w:cs="Arial" w:eastAsia="Arial" w:hAnsi="Arial"/>
          <w:color w:val="666666"/>
          <w:sz w:val="20"/>
          <w:szCs w:val="20"/>
        </w:rPr>
        <w:t xml:space="preserve">Marzo 2026</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B3A5C"/>
          <w:sz w:val="36"/>
          <w:szCs w:val="36"/>
        </w:rPr>
        <w:t xml:space="preserve">PARTE 1: PLAN DE NEGOCIO</w:t>
      </w:r>
    </w:p>
    <w:p>
      <w:pPr>
        <w:pBdr>
          <w:bottom w:val="single" w:color="D4A017" w:sz="6" w:space="1"/>
        </w:pBdr>
        <w:spacing w:after="0"/>
      </w:pPr>
      <w:r>
        <w:rPr>
          <w:sz w:val="6"/>
          <w:szCs w:val="6"/>
        </w:rPr>
        <w:t xml:space="preserve"> </w:t>
      </w:r>
    </w:p>
    <w:p>
      <w:pPr>
        <w:pStyle w:val="Heading1"/>
        <w:spacing w:before="360" w:after="200"/>
      </w:pPr>
      <w:r>
        <w:rPr>
          <w:rFonts w:ascii="Arial" w:cs="Arial" w:eastAsia="Arial" w:hAnsi="Arial"/>
          <w:b/>
          <w:bCs/>
          <w:color w:val="1B3A5C"/>
          <w:sz w:val="32"/>
          <w:szCs w:val="32"/>
        </w:rPr>
        <w:t xml:space="preserve">1. Resumen Ejecutivo</w:t>
      </w:r>
    </w:p>
    <w:p>
      <w:pPr>
        <w:spacing w:after="120" w:line="276"/>
        <w:jc w:val="left"/>
      </w:pPr>
      <w:r>
        <w:rPr>
          <w:rFonts w:ascii="Arial" w:cs="Arial" w:eastAsia="Arial" w:hAnsi="Arial"/>
          <w:color w:val="222222"/>
          <w:sz w:val="21"/>
          <w:szCs w:val="21"/>
        </w:rPr>
        <w:t xml:space="preserve">HedgePoint MX es una consultora de gestión de riesgos financieros enfocada en proteger la rentabilidad de PyMEs mexicanas frente a la volatilidad del tipo de cambio y precios de commodities. A diferencia de los bancos que venden productos estandarizados con spreads opacos, HedgePoint actúa como un asesor independiente que diagnostica la exposición real del cliente y recomienda la estrategia óptima, que puede incluir derivados financieros, cambios operativos o renegociación de contratos.</w:t>
      </w:r>
    </w:p>
    <w:p>
      <w:pPr>
        <w:spacing w:after="120" w:line="276"/>
        <w:jc w:val="left"/>
      </w:pPr>
      <w:r>
        <w:rPr>
          <w:rFonts w:ascii="Arial" w:cs="Arial" w:eastAsia="Arial" w:hAnsi="Arial"/>
          <w:color w:val="222222"/>
          <w:sz w:val="21"/>
          <w:szCs w:val="21"/>
        </w:rPr>
        <w:t xml:space="preserve">El diferenciador principal es la combinación de análisis cuantitativo avanzado (Python, modelos de ML) con agentes de inteligencia artificial que permiten ofrecer un servicio personalizado a una fracción del costo de las consultoras tradicionales. Esto permite atender un mercado desatendido: empresas medianas con facturación de $50M-$200M MXN/año que son demasiado pequeñas para las Big 4 pero demasiado expuestas para no cubrirse.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Propuesta de valor en una frase</w:t>
            </w:r>
          </w:p>
          <w:p>
            <w:pPr>
              <w:spacing w:after="0"/>
            </w:pPr>
            <w:r>
              <w:rPr>
                <w:rFonts w:ascii="Arial" w:cs="Arial" w:eastAsia="Arial" w:hAnsi="Arial"/>
                <w:color w:val="222222"/>
                <w:sz w:val="20"/>
                <w:szCs w:val="20"/>
              </w:rPr>
              <w:t xml:space="preserve">El doctor que diagnostica tu riesgo financiero y te receta el tratamiento correcto, no la farmacia que siempre te vende el mismo medicamento.</w:t>
            </w:r>
          </w:p>
        </w:tc>
      </w:tr>
    </w:tbl>
    <w:p>
      <w:pPr>
        <w:pStyle w:val="Heading1"/>
        <w:spacing w:before="360" w:after="200"/>
      </w:pPr>
      <w:r>
        <w:rPr>
          <w:rFonts w:ascii="Arial" w:cs="Arial" w:eastAsia="Arial" w:hAnsi="Arial"/>
          <w:b/>
          <w:bCs/>
          <w:color w:val="1B3A5C"/>
          <w:sz w:val="32"/>
          <w:szCs w:val="32"/>
        </w:rPr>
        <w:t xml:space="preserve">2. El Problema</w:t>
      </w:r>
    </w:p>
    <w:p>
      <w:pPr>
        <w:spacing w:after="120" w:line="276"/>
        <w:jc w:val="left"/>
      </w:pPr>
      <w:r>
        <w:rPr>
          <w:rFonts w:ascii="Arial" w:cs="Arial" w:eastAsia="Arial" w:hAnsi="Arial"/>
          <w:color w:val="222222"/>
          <w:sz w:val="21"/>
          <w:szCs w:val="21"/>
        </w:rPr>
        <w:t xml:space="preserve">Las PyMEs mexicanas con operaciones en divisas o commodities enfrentan un triple problema:</w:t>
      </w:r>
    </w:p>
    <w:p>
      <w:pPr>
        <w:spacing w:after="120" w:line="276"/>
      </w:pPr>
      <w:r>
        <w:rPr>
          <w:rFonts w:ascii="Arial" w:cs="Arial" w:eastAsia="Arial" w:hAnsi="Arial"/>
          <w:b/>
          <w:bCs/>
          <w:color w:val="222222"/>
          <w:sz w:val="21"/>
          <w:szCs w:val="21"/>
        </w:rPr>
        <w:t xml:space="preserve">Exposición no gestionada: </w:t>
      </w:r>
      <w:r>
        <w:rPr>
          <w:rFonts w:ascii="Arial" w:cs="Arial" w:eastAsia="Arial" w:hAnsi="Arial"/>
          <w:color w:val="222222"/>
          <w:sz w:val="21"/>
          <w:szCs w:val="21"/>
        </w:rPr>
        <w:t xml:space="preserve">El 98.6% de las empresas en México son PyMEs. Muchas importan o exportan sin ninguna estrategia de cobertura. Cuando el tipo de cambio se mueve 5-10%, sus márgenes desaparecen.</w:t>
      </w:r>
    </w:p>
    <w:p>
      <w:pPr>
        <w:spacing w:after="120" w:line="276"/>
      </w:pPr>
      <w:r>
        <w:rPr>
          <w:rFonts w:ascii="Arial" w:cs="Arial" w:eastAsia="Arial" w:hAnsi="Arial"/>
          <w:b/>
          <w:bCs/>
          <w:color w:val="222222"/>
          <w:sz w:val="21"/>
          <w:szCs w:val="21"/>
        </w:rPr>
        <w:t xml:space="preserve">Opciones inadecuadas: </w:t>
      </w:r>
      <w:r>
        <w:rPr>
          <w:rFonts w:ascii="Arial" w:cs="Arial" w:eastAsia="Arial" w:hAnsi="Arial"/>
          <w:color w:val="222222"/>
          <w:sz w:val="21"/>
          <w:szCs w:val="21"/>
        </w:rPr>
        <w:t xml:space="preserve">Los bancos ofrecen derivados con spreads de 5-20 centavos por dólar, montos mínimos de $500K USD, y cero análisis de timing. Las consultoras grandes cobran $200K+ MXN por proyecto, fuera del alcance de estas empresas.</w:t>
      </w:r>
    </w:p>
    <w:p>
      <w:pPr>
        <w:spacing w:after="120" w:line="276"/>
      </w:pPr>
      <w:r>
        <w:rPr>
          <w:rFonts w:ascii="Arial" w:cs="Arial" w:eastAsia="Arial" w:hAnsi="Arial"/>
          <w:b/>
          <w:bCs/>
          <w:color w:val="222222"/>
          <w:sz w:val="21"/>
          <w:szCs w:val="21"/>
        </w:rPr>
        <w:t xml:space="preserve">Falta de educación financiera: </w:t>
      </w:r>
      <w:r>
        <w:rPr>
          <w:rFonts w:ascii="Arial" w:cs="Arial" w:eastAsia="Arial" w:hAnsi="Arial"/>
          <w:color w:val="222222"/>
          <w:sz w:val="21"/>
          <w:szCs w:val="21"/>
        </w:rPr>
        <w:t xml:space="preserve">Los dueños de PyMEs asocian "derivados" con especulación y riesgo, no con protección. Necesitan un asesor que les explique en lenguaje simple y les muestre números concretos.</w:t>
      </w:r>
    </w:p>
    <w:p>
      <w:pPr>
        <w:pStyle w:val="Heading1"/>
        <w:spacing w:before="360" w:after="200"/>
      </w:pPr>
      <w:r>
        <w:rPr>
          <w:rFonts w:ascii="Arial" w:cs="Arial" w:eastAsia="Arial" w:hAnsi="Arial"/>
          <w:b/>
          <w:bCs/>
          <w:color w:val="1B3A5C"/>
          <w:sz w:val="32"/>
          <w:szCs w:val="32"/>
        </w:rPr>
        <w:t xml:space="preserve">3. Mercado Objetivo</w:t>
      </w:r>
    </w:p>
    <w:p>
      <w:pPr>
        <w:pStyle w:val="Heading2"/>
        <w:spacing w:before="280" w:after="160"/>
      </w:pPr>
      <w:r>
        <w:rPr>
          <w:rFonts w:ascii="Arial" w:cs="Arial" w:eastAsia="Arial" w:hAnsi="Arial"/>
          <w:b/>
          <w:bCs/>
          <w:color w:val="2E75B6"/>
          <w:sz w:val="26"/>
          <w:szCs w:val="26"/>
        </w:rPr>
        <w:t xml:space="preserve">3.1 Segmentos Prioritarios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Exposición principal</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Dolor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Importadores medianos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FX (USD/MXN)</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Pagan facturas en USD mensualmente, ya entienden el problema</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7AE60"/>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Agroexportadores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FX + commodities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Doble exposición: precio de cosecha + tipo de cambio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Constructoras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Commodities (acero, cemento)</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Contratos a largo plazo con precios fijos pero costos variables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Media-Alta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Maquiladoras de exportación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FX inverso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Venden en USD, pagan nómina en MXN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Industria de empaque/plásticos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Commodities (resinas)</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Derivados del petróleo, alta volatilidad</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Logística y transporte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FX + combustible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Diesel cotizado en USD, contratos en MXN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Media</w:t>
            </w:r>
          </w:p>
        </w:tc>
      </w:tr>
    </w:tbl>
    <w:p>
      <w:pPr>
        <w:spacing w:before="120"/>
      </w:pPr>
    </w:p>
    <w:p>
      <w:pPr>
        <w:spacing w:after="120" w:line="276"/>
        <w:jc w:val="left"/>
      </w:pPr>
      <w:r>
        <w:rPr>
          <w:rFonts w:ascii="Arial" w:cs="Arial" w:eastAsia="Arial" w:hAnsi="Arial"/>
          <w:color w:val="222222"/>
          <w:sz w:val="21"/>
          <w:szCs w:val="21"/>
        </w:rPr>
        <w:t xml:space="preserve">El cliente ideal inicial es un importador mediano con facturación de $50M-$200M MXN/año, que compra $200K-$1M USD mensuales en insumos. Este perfil ya entiende el problema, tiene flujos predecibles y un ciclo de venta corto.</w:t>
      </w:r>
    </w:p>
    <w:p>
      <w:pPr>
        <w:pStyle w:val="Heading1"/>
        <w:spacing w:before="360" w:after="200"/>
      </w:pPr>
      <w:r>
        <w:rPr>
          <w:rFonts w:ascii="Arial" w:cs="Arial" w:eastAsia="Arial" w:hAnsi="Arial"/>
          <w:b/>
          <w:bCs/>
          <w:color w:val="1B3A5C"/>
          <w:sz w:val="32"/>
          <w:szCs w:val="32"/>
        </w:rPr>
        <w:t xml:space="preserve">4. Panorama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Competidor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Fortaleza</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Debilidad para PyMEs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Tu ventaja</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Banco Base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Ejecuta coberturas, buenos spreads, sin costo de apertura</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No analiza timing ni optimiza estrategia</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Análisis técnico + recomendación de momento óptimo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Monex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Líder en mercado de cambios, derivados OTC completos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Enfoque en empresas grandes, atención genérica para PyMEs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Atención personalizada con agentes IA</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BBVA / Banorte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Infraestructura completa, confianza de marca</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Montos mínimos altos, spreads opacos, burocracia</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Transparencia total en costos e independencia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Grant Thornton / Big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Análisis sofisticado, credibilidad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Fees prohibitivos ($200K+ MXN/proyecto)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Mismo nivel de análisis a 1/10 del costo</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TreasuryView (SaaS)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Software accesible, simulaciones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No ejecuta ni asesora, solo herramienta</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Servicio completo: diagnóstico + estrategia + ejecución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Posicionamiento competitivo</w:t>
            </w:r>
          </w:p>
          <w:p>
            <w:pPr>
              <w:spacing w:after="0"/>
            </w:pPr>
            <w:r>
              <w:rPr>
                <w:rFonts w:ascii="Arial" w:cs="Arial" w:eastAsia="Arial" w:hAnsi="Arial"/>
                <w:color w:val="222222"/>
                <w:sz w:val="20"/>
                <w:szCs w:val="20"/>
              </w:rPr>
              <w:t xml:space="preserve">HedgePoint ocupa el espacio vacío entre los bancos especializados (que ejecutan pero no asesoran) y las consultoras premium (que asesoran pero son inaccesibles). No existe un competidor directo en México que ofrezca consultoría de riesgo con tecnología de IA enfocada exclusivamente en PyMEs.</w:t>
            </w:r>
          </w:p>
        </w:tc>
      </w:tr>
    </w:tbl>
    <w:p>
      <w:pPr>
        <w:pStyle w:val="Heading1"/>
        <w:spacing w:before="360" w:after="200"/>
      </w:pPr>
      <w:r>
        <w:rPr>
          <w:rFonts w:ascii="Arial" w:cs="Arial" w:eastAsia="Arial" w:hAnsi="Arial"/>
          <w:b/>
          <w:bCs/>
          <w:color w:val="1B3A5C"/>
          <w:sz w:val="32"/>
          <w:szCs w:val="32"/>
        </w:rPr>
        <w:t xml:space="preserve">5. Modelo de Negocio y Pricing</w:t>
      </w:r>
    </w:p>
    <w:p>
      <w:pPr>
        <w:pStyle w:val="Heading2"/>
        <w:spacing w:before="280" w:after="160"/>
      </w:pPr>
      <w:r>
        <w:rPr>
          <w:rFonts w:ascii="Arial" w:cs="Arial" w:eastAsia="Arial" w:hAnsi="Arial"/>
          <w:b/>
          <w:bCs/>
          <w:color w:val="2E75B6"/>
          <w:sz w:val="26"/>
          <w:szCs w:val="26"/>
        </w:rPr>
        <w:t xml:space="preserve">5.1 Estructura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Fuente de ingreso</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Rango estimado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Cuándo aplica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Fee mensual de consultoría</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Retainer fijo</w:t>
            </w:r>
          </w:p>
        </w:tc>
        <w:tc>
          <w:tcPr>
            <w:tcW w:type="dxa" w:w="2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$8,000 - $25,000 MXN/mes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Desde el día 1 con cada cliente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Markup sobre cobertura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Centavos/USD sobre el forward ejecutado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2-8 centavos/USD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Cada vez que se ejecuta una cobertura</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Performance fee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del ahorro demostrado vs. spot</w:t>
            </w:r>
          </w:p>
        </w:tc>
        <w:tc>
          <w:tcPr>
            <w:tcW w:type="dxa" w:w="2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10-15% del ahorro</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Trimestral, cuando la cobertura genera ahorro medible</w:t>
            </w:r>
          </w:p>
        </w:tc>
      </w:tr>
    </w:tbl>
    <w:p>
      <w:pPr>
        <w:pStyle w:val="Heading2"/>
        <w:spacing w:before="280" w:after="160"/>
      </w:pPr>
      <w:r>
        <w:rPr>
          <w:rFonts w:ascii="Arial" w:cs="Arial" w:eastAsia="Arial" w:hAnsi="Arial"/>
          <w:b/>
          <w:bCs/>
          <w:color w:val="2E75B6"/>
          <w:sz w:val="26"/>
          <w:szCs w:val="26"/>
        </w:rPr>
        <w:t xml:space="preserve">5.2 Proyección de Ingresos (10 clientes medianos)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Estimación conservadora</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Estimación optimista</w:t>
            </w:r>
          </w:p>
        </w:tc>
      </w:tr>
      <w:tr>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Fee mensual (10 clientes x $15K promedio)</w:t>
            </w:r>
          </w:p>
        </w:tc>
        <w:tc>
          <w:tcPr>
            <w:tcW w:type="dxa" w:w="293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$150,000 MXN/mes</w:t>
            </w:r>
          </w:p>
        </w:tc>
        <w:tc>
          <w:tcPr>
            <w:tcW w:type="dxa" w:w="293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$250,000 MXN/mes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Markup sobre coberturas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$50,000 MXN/mes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$150,000 MXN/mes</w:t>
            </w:r>
          </w:p>
        </w:tc>
      </w:tr>
      <w:tr>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Performance fees (trimestral)</w:t>
            </w:r>
          </w:p>
        </w:tc>
        <w:tc>
          <w:tcPr>
            <w:tcW w:type="dxa" w:w="293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$75,000 MXN/trimestre</w:t>
            </w:r>
          </w:p>
        </w:tc>
        <w:tc>
          <w:tcPr>
            <w:tcW w:type="dxa" w:w="293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$200,000 MXN/trimestre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INGRESO ANUAL TOTAL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$2.7M MXN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$5.6M MXN</w:t>
            </w:r>
          </w:p>
        </w:tc>
      </w:tr>
    </w:tbl>
    <w:p>
      <w:pPr>
        <w:pStyle w:val="Heading2"/>
        <w:spacing w:before="280" w:after="160"/>
      </w:pPr>
      <w:r>
        <w:rPr>
          <w:rFonts w:ascii="Arial" w:cs="Arial" w:eastAsia="Arial" w:hAnsi="Arial"/>
          <w:b/>
          <w:bCs/>
          <w:color w:val="2E75B6"/>
          <w:sz w:val="26"/>
          <w:szCs w:val="26"/>
        </w:rPr>
        <w:t xml:space="preserve">5.3 Ventaja de precio vs. bancos</w:t>
      </w:r>
    </w:p>
    <w:p>
      <w:pPr>
        <w:spacing w:after="120" w:line="276"/>
        <w:jc w:val="left"/>
      </w:pPr>
      <w:r>
        <w:rPr>
          <w:rFonts w:ascii="Arial" w:cs="Arial" w:eastAsia="Arial" w:hAnsi="Arial"/>
          <w:color w:val="222222"/>
          <w:sz w:val="21"/>
          <w:szCs w:val="21"/>
        </w:rPr>
        <w:t xml:space="preserve">Los bancos cobran un spread oculto de 5-20 centavos por dólar en cada operación de forward. Para un cliente que cubre $200,000 USD mensuales, eso representa $10,000-$40,000 MXN/mes en costos ocultos. HedgePoint cobra un fee transparente menor + un spread de 2-8 centavos, generando un ahorro neto del 30-60% para el cliente.</w:t>
      </w:r>
    </w:p>
    <w:p>
      <w:pPr>
        <w:pStyle w:val="Heading1"/>
        <w:spacing w:before="360" w:after="200"/>
      </w:pPr>
      <w:r>
        <w:rPr>
          <w:rFonts w:ascii="Arial" w:cs="Arial" w:eastAsia="Arial" w:hAnsi="Arial"/>
          <w:b/>
          <w:bCs/>
          <w:color w:val="1B3A5C"/>
          <w:sz w:val="32"/>
          <w:szCs w:val="32"/>
        </w:rPr>
        <w:t xml:space="preserve">6. Modelo de Operación</w:t>
      </w:r>
    </w:p>
    <w:p>
      <w:pPr>
        <w:pStyle w:val="Heading2"/>
        <w:spacing w:before="280" w:after="160"/>
      </w:pPr>
      <w:r>
        <w:rPr>
          <w:rFonts w:ascii="Arial" w:cs="Arial" w:eastAsia="Arial" w:hAnsi="Arial"/>
          <w:b/>
          <w:bCs/>
          <w:color w:val="2E75B6"/>
          <w:sz w:val="26"/>
          <w:szCs w:val="26"/>
        </w:rPr>
        <w:t xml:space="preserve">6.1 Flujo de servicio</w:t>
      </w:r>
    </w:p>
    <w:p>
      <w:pPr>
        <w:spacing w:after="120" w:line="276"/>
      </w:pPr>
      <w:r>
        <w:rPr>
          <w:rFonts w:ascii="Arial" w:cs="Arial" w:eastAsia="Arial" w:hAnsi="Arial"/>
          <w:b/>
          <w:bCs/>
          <w:color w:val="222222"/>
          <w:sz w:val="21"/>
          <w:szCs w:val="21"/>
        </w:rPr>
        <w:t xml:space="preserve">Fase 1 - Diagnóstico (Semana 1-2): </w:t>
      </w:r>
      <w:r>
        <w:rPr>
          <w:rFonts w:ascii="Arial" w:cs="Arial" w:eastAsia="Arial" w:hAnsi="Arial"/>
          <w:color w:val="222222"/>
          <w:sz w:val="21"/>
          <w:szCs w:val="21"/>
        </w:rPr>
        <w:t xml:space="preserve">Análisis de exposición del cliente. El agente de onboarding recopila datos financieros, calcula exposición y genera un reporte preliminar automatizado.</w:t>
      </w:r>
    </w:p>
    <w:p>
      <w:pPr>
        <w:spacing w:after="120" w:line="276"/>
      </w:pPr>
      <w:r>
        <w:rPr>
          <w:rFonts w:ascii="Arial" w:cs="Arial" w:eastAsia="Arial" w:hAnsi="Arial"/>
          <w:b/>
          <w:bCs/>
          <w:color w:val="222222"/>
          <w:sz w:val="21"/>
          <w:szCs w:val="21"/>
        </w:rPr>
        <w:t xml:space="preserve">Fase 2 - Estrategia (Semana 2-3): </w:t>
      </w:r>
      <w:r>
        <w:rPr>
          <w:rFonts w:ascii="Arial" w:cs="Arial" w:eastAsia="Arial" w:hAnsi="Arial"/>
          <w:color w:val="222222"/>
          <w:sz w:val="21"/>
          <w:szCs w:val="21"/>
        </w:rPr>
        <w:t xml:space="preserve">Diseño de la política de cobertura. Puede incluir derivados, dolarización natural, cláusulas de ajuste de precio, o diversificación de proveedores.</w:t>
      </w:r>
    </w:p>
    <w:p>
      <w:pPr>
        <w:spacing w:after="120" w:line="276"/>
      </w:pPr>
      <w:r>
        <w:rPr>
          <w:rFonts w:ascii="Arial" w:cs="Arial" w:eastAsia="Arial" w:hAnsi="Arial"/>
          <w:b/>
          <w:bCs/>
          <w:color w:val="222222"/>
          <w:sz w:val="21"/>
          <w:szCs w:val="21"/>
        </w:rPr>
        <w:t xml:space="preserve">Fase 3 - Ejecución (Continuo): </w:t>
      </w:r>
      <w:r>
        <w:rPr>
          <w:rFonts w:ascii="Arial" w:cs="Arial" w:eastAsia="Arial" w:hAnsi="Arial"/>
          <w:color w:val="222222"/>
          <w:sz w:val="21"/>
          <w:szCs w:val="21"/>
        </w:rPr>
        <w:t xml:space="preserve">Canalización de coberturas a través de Banco Base, Monex o el banco del cliente. El agente de monitoreo vigila el mercado 24/7 y envía alertas cuando se activan triggers de entrada.</w:t>
      </w:r>
    </w:p>
    <w:p>
      <w:pPr>
        <w:spacing w:after="120" w:line="276"/>
      </w:pPr>
      <w:r>
        <w:rPr>
          <w:rFonts w:ascii="Arial" w:cs="Arial" w:eastAsia="Arial" w:hAnsi="Arial"/>
          <w:b/>
          <w:bCs/>
          <w:color w:val="222222"/>
          <w:sz w:val="21"/>
          <w:szCs w:val="21"/>
        </w:rPr>
        <w:t xml:space="preserve">Fase 4 - Monitoreo y reporteo (Mensual): </w:t>
      </w:r>
      <w:r>
        <w:rPr>
          <w:rFonts w:ascii="Arial" w:cs="Arial" w:eastAsia="Arial" w:hAnsi="Arial"/>
          <w:color w:val="222222"/>
          <w:sz w:val="21"/>
          <w:szCs w:val="21"/>
        </w:rPr>
        <w:t xml:space="preserve">Reportes automatizados de P&amp;L de coberturas, exposición residual, y recomendaciones. El agente genera reportes personalizados para cada cliente.</w:t>
      </w:r>
    </w:p>
    <w:p>
      <w:pPr>
        <w:pStyle w:val="Heading2"/>
        <w:spacing w:before="280" w:after="160"/>
      </w:pPr>
      <w:r>
        <w:rPr>
          <w:rFonts w:ascii="Arial" w:cs="Arial" w:eastAsia="Arial" w:hAnsi="Arial"/>
          <w:b/>
          <w:bCs/>
          <w:color w:val="2E75B6"/>
          <w:sz w:val="26"/>
          <w:szCs w:val="26"/>
        </w:rPr>
        <w:t xml:space="preserve">6.2 Marco legal y regulatorio</w:t>
      </w:r>
    </w:p>
    <w:p>
      <w:pPr>
        <w:spacing w:after="120" w:line="276"/>
        <w:jc w:val="left"/>
      </w:pPr>
      <w:r>
        <w:rPr>
          <w:rFonts w:ascii="Arial" w:cs="Arial" w:eastAsia="Arial" w:hAnsi="Arial"/>
          <w:color w:val="222222"/>
          <w:sz w:val="21"/>
          <w:szCs w:val="21"/>
        </w:rPr>
        <w:t xml:space="preserve">HedgePoint opera como consultor independiente, no como intermediario financiero. Las operaciones de derivados se canalizan a través de bancos licenciados (Banco Base, Monex, etc.). Es necesario confirmar con un abogado especializado en fintech/valores que el modelo no requiere registro ante la CNBV como asesor en inversiones.</w:t>
      </w:r>
    </w:p>
    <w:p>
      <w:pPr>
        <w:spacing w:after="120" w:line="276"/>
        <w:jc w:val="left"/>
      </w:pPr>
      <w:r>
        <w:rPr>
          <w:rFonts w:ascii="Arial" w:cs="Arial" w:eastAsia="Arial" w:hAnsi="Arial"/>
          <w:color w:val="222222"/>
          <w:sz w:val="21"/>
          <w:szCs w:val="21"/>
        </w:rPr>
        <w:t xml:space="preserve">La empresa se constituye como S.A.S. o SAPI de C.V., con contratos de prestación de servicios bajo la Ley General de Sociedades Mercantiles. Cada cliente firma un NDA y un contrato de servicios que especifica el alcance de la asesoría y las limitaciones de responsabilidad.</w:t>
      </w:r>
    </w:p>
    <w:p>
      <w:pPr>
        <w:pStyle w:val="Heading1"/>
        <w:spacing w:before="360" w:after="200"/>
      </w:pPr>
      <w:r>
        <w:rPr>
          <w:rFonts w:ascii="Arial" w:cs="Arial" w:eastAsia="Arial" w:hAnsi="Arial"/>
          <w:b/>
          <w:bCs/>
          <w:color w:val="1B3A5C"/>
          <w:sz w:val="32"/>
          <w:szCs w:val="32"/>
        </w:rPr>
        <w:t xml:space="preserve">7. Equipo y Estructura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800"/>
        <w:gridCol w:w="1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Director / Estratega de riesgo (tú)</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Ing. Innovación + MBM EGADE. Diseña estrategias, cierra clientes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Fundador</w:t>
            </w:r>
          </w:p>
        </w:tc>
        <w:tc>
          <w:tcPr>
            <w:tcW w:type="dxa" w:w="1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Analista financiero Jr.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Egresado de finanzas cuantitativas (ITAM, Tec, UNAM)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Empleado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$18K-$25K MXN/mes</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Abogado mercantil/financiero</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Especialista en derecho bursátil y LFPDPPP</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Externo (por proyecto)</w:t>
            </w:r>
          </w:p>
        </w:tc>
        <w:tc>
          <w:tcPr>
            <w:tcW w:type="dxa" w:w="1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$5K-$15K MXN/proyecto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Agentes de 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 agentes automatizados (ver Parte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Infraestructura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$6.5K-$18K MXN/mes</w:t>
            </w:r>
          </w:p>
        </w:tc>
      </w:tr>
    </w:tbl>
    <w:p>
      <w:pPr>
        <w:spacing w:before="120"/>
      </w:pPr>
    </w:p>
    <w:p>
      <w:pPr>
        <w:spacing w:after="120" w:line="276"/>
        <w:jc w:val="left"/>
      </w:pPr>
      <w:r>
        <w:rPr>
          <w:rFonts w:ascii="Arial" w:cs="Arial" w:eastAsia="Arial" w:hAnsi="Arial"/>
          <w:color w:val="222222"/>
          <w:sz w:val="21"/>
          <w:szCs w:val="21"/>
        </w:rPr>
        <w:t xml:space="preserve">Con este setup, una operación que en un banco necesita 5-8 personas, HedgePoint la corre con 2 personas + agentes de IA. Esto permite cobrar 30-50% menos que una consultora y seguir siendo rentable.</w:t>
      </w:r>
    </w:p>
    <w:p>
      <w:pPr>
        <w:pStyle w:val="Heading1"/>
        <w:spacing w:before="360" w:after="200"/>
      </w:pPr>
      <w:r>
        <w:rPr>
          <w:rFonts w:ascii="Arial" w:cs="Arial" w:eastAsia="Arial" w:hAnsi="Arial"/>
          <w:b/>
          <w:bCs/>
          <w:color w:val="1B3A5C"/>
          <w:sz w:val="32"/>
          <w:szCs w:val="32"/>
        </w:rPr>
        <w:t xml:space="preserve">8. Inversión Requerida</w:t>
      </w:r>
    </w:p>
    <w:p>
      <w:pPr>
        <w:pStyle w:val="Heading2"/>
        <w:spacing w:before="280" w:after="160"/>
      </w:pPr>
      <w:r>
        <w:rPr>
          <w:rFonts w:ascii="Arial" w:cs="Arial" w:eastAsia="Arial" w:hAnsi="Arial"/>
          <w:b/>
          <w:bCs/>
          <w:color w:val="2E75B6"/>
          <w:sz w:val="26"/>
          <w:szCs w:val="26"/>
        </w:rPr>
        <w:t xml:space="preserve">8.1 Fase 1: Validación (Meses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Constitución legal + abogado fintech</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$30,000 - $50,000 MXN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Desarrollo de agentes IA + dashboards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$0 - $20,000 MXN (tu tiempo)</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Suscripciones (datos de mercado, APIs, hosting)</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$5,000 - $10,000 MXN/mes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Certificación / credenciales (FRM o similar)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$30,000 - $80,000 MXN</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Marketing inicial (sitio web, LinkedIn, contenido)</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$20,000 - $40,000 MXN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Colchón operativo personal (6 meses)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$60,000 - $120,000 MXN</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SUBTOTAL FASE 1</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$150,000 - $300,000 MXN</w:t>
            </w:r>
          </w:p>
        </w:tc>
      </w:tr>
    </w:tbl>
    <w:p>
      <w:pPr>
        <w:pStyle w:val="Heading2"/>
        <w:spacing w:before="280" w:after="160"/>
      </w:pPr>
      <w:r>
        <w:rPr>
          <w:rFonts w:ascii="Arial" w:cs="Arial" w:eastAsia="Arial" w:hAnsi="Arial"/>
          <w:b/>
          <w:bCs/>
          <w:color w:val="2E75B6"/>
          <w:sz w:val="26"/>
          <w:szCs w:val="26"/>
        </w:rPr>
        <w:t xml:space="preserve">8.2 Fase 2: Primeros 10 Clientes (Meses 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Primer hire (analista financiero Jr.)</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$18,000 - $25,000 MXN/mes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Herramientas de CRM + automatización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$3,000 - $5,000 MXN/mes</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Seguro de responsabilidad profesional</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$15,000 - $30,000 MXN/año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Infraestructura de agentes IA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$6,500 - $18,000 MXN/mes</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SUBTOTAL FASE 2 (12 meses)</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$200,000 - $400,000 MXN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Inversión total estimada</w:t>
            </w:r>
          </w:p>
          <w:p>
            <w:pPr>
              <w:spacing w:after="0"/>
            </w:pPr>
            <w:r>
              <w:rPr>
                <w:rFonts w:ascii="Arial" w:cs="Arial" w:eastAsia="Arial" w:hAnsi="Arial"/>
                <w:color w:val="222222"/>
                <w:sz w:val="20"/>
                <w:szCs w:val="20"/>
              </w:rPr>
              <w:t xml:space="preserve">Para llegar a 10 clientes activos: $400,000 - $700,000 MXN. Es un negocio de capital bajo comparado con cualquier negocio financiero. El costo principal es tiempo y expertise.</w:t>
            </w:r>
          </w:p>
        </w:tc>
      </w:tr>
    </w:tbl>
    <w:p>
      <w:pPr>
        <w:pStyle w:val="Heading1"/>
        <w:spacing w:before="360" w:after="200"/>
      </w:pPr>
      <w:r>
        <w:rPr>
          <w:rFonts w:ascii="Arial" w:cs="Arial" w:eastAsia="Arial" w:hAnsi="Arial"/>
          <w:b/>
          <w:bCs/>
          <w:color w:val="1B3A5C"/>
          <w:sz w:val="32"/>
          <w:szCs w:val="32"/>
        </w:rPr>
        <w:t xml:space="preserve">9.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Regulatorio: CNBV requiere registro como asesor</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E67E22"/>
                <w:sz w:val="20"/>
                <w:szCs w:val="20"/>
              </w:rPr>
              <w:t xml:space="preserve">Media</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C0392B"/>
                <w:sz w:val="20"/>
                <w:szCs w:val="20"/>
              </w:rPr>
              <w:t xml:space="preserve">Alto</w:t>
            </w:r>
          </w:p>
        </w:tc>
        <w:tc>
          <w:tcPr>
            <w:tcW w:type="dxa" w:w="4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Consultar abogado especializado antes de operar. Modelo de consultoría pura reduce riesgo.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Credibilidad: sin track record financiero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Alta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Case studies con paper trades. Certificación FRM. Alianza con alguien del sector.</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Banco Base/Monex integran verticalmente el servicio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E67E22"/>
                <w:sz w:val="20"/>
                <w:szCs w:val="20"/>
              </w:rPr>
              <w:t xml:space="preserve">Baja-Media</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C0392B"/>
                <w:sz w:val="20"/>
                <w:szCs w:val="20"/>
              </w:rPr>
              <w:t xml:space="preserve">Alto</w:t>
            </w:r>
          </w:p>
        </w:tc>
        <w:tc>
          <w:tcPr>
            <w:tcW w:type="dxa" w:w="4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Construir relaciones fuertes con clientes. Tu valor es la independencia.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PyMEs no pagan: resistencia a fees de consultoría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Modelo de performance fee alinea intereses. Mostrar ahorro concreto.</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Error en recomendación de cobertura causa pérdida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7AE60"/>
                <w:sz w:val="20"/>
                <w:szCs w:val="20"/>
              </w:rPr>
              <w:t xml:space="preserve">Baja</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C0392B"/>
                <w:sz w:val="20"/>
                <w:szCs w:val="20"/>
              </w:rPr>
              <w:t xml:space="preserve">Alto</w:t>
            </w:r>
          </w:p>
        </w:tc>
        <w:tc>
          <w:tcPr>
            <w:tcW w:type="dxa" w:w="4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Seguro de responsabilidad profesional. Límites claros en contratos.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Dependencia de APIs de IA externas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Baja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Medio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Modelo híbrido con LLM local como fallback.</w:t>
            </w:r>
          </w:p>
        </w:tc>
      </w:tr>
    </w:tbl>
    <w:p>
      <w:r>
        <w:br w:type="page"/>
      </w:r>
    </w:p>
    <w:p>
      <w:pPr>
        <w:spacing w:after="200"/>
      </w:pPr>
      <w:r>
        <w:rPr>
          <w:rFonts w:ascii="Arial" w:cs="Arial" w:eastAsia="Arial" w:hAnsi="Arial"/>
          <w:b/>
          <w:bCs/>
          <w:color w:val="1B3A5C"/>
          <w:sz w:val="36"/>
          <w:szCs w:val="36"/>
        </w:rPr>
        <w:t xml:space="preserve">PARTE 2: ARQUITECTURA TÉCNICA DE AGENTES IA</w:t>
      </w:r>
    </w:p>
    <w:p>
      <w:pPr>
        <w:pBdr>
          <w:bottom w:val="single" w:color="D4A017" w:sz="6" w:space="1"/>
        </w:pBdr>
        <w:spacing w:after="0"/>
      </w:pPr>
      <w:r>
        <w:rPr>
          <w:sz w:val="6"/>
          <w:szCs w:val="6"/>
        </w:rPr>
        <w:t xml:space="preserve"> </w:t>
      </w:r>
    </w:p>
    <w:p>
      <w:pPr>
        <w:pStyle w:val="Heading1"/>
        <w:spacing w:before="360" w:after="200"/>
      </w:pPr>
      <w:r>
        <w:rPr>
          <w:rFonts w:ascii="Arial" w:cs="Arial" w:eastAsia="Arial" w:hAnsi="Arial"/>
          <w:b/>
          <w:bCs/>
          <w:color w:val="1B3A5C"/>
          <w:sz w:val="32"/>
          <w:szCs w:val="32"/>
        </w:rPr>
        <w:t xml:space="preserve">10. Filosofía de Seguridad</w:t>
      </w:r>
    </w:p>
    <w:p>
      <w:pPr>
        <w:spacing w:after="120" w:line="276"/>
        <w:jc w:val="left"/>
      </w:pPr>
      <w:r>
        <w:rPr>
          <w:rFonts w:ascii="Arial" w:cs="Arial" w:eastAsia="Arial" w:hAnsi="Arial"/>
          <w:color w:val="222222"/>
          <w:sz w:val="21"/>
          <w:szCs w:val="21"/>
        </w:rPr>
        <w:t xml:space="preserve">Los datos financieros de los clientes (exposiciones, posiciones, contratos) son extremadamente sensibles. Un leak podría ser devastador para su negocio. La arquitectura se diseña bajo tres principios:</w:t>
      </w:r>
    </w:p>
    <w:p>
      <w:pPr>
        <w:spacing w:after="120" w:line="276"/>
      </w:pPr>
      <w:r>
        <w:rPr>
          <w:rFonts w:ascii="Arial" w:cs="Arial" w:eastAsia="Arial" w:hAnsi="Arial"/>
          <w:b/>
          <w:bCs/>
          <w:color w:val="222222"/>
          <w:sz w:val="21"/>
          <w:szCs w:val="21"/>
        </w:rPr>
        <w:t xml:space="preserve">1. Datos sensibles nunca salen de tu infraestructura. </w:t>
      </w:r>
      <w:r>
        <w:rPr>
          <w:rFonts w:ascii="Arial" w:cs="Arial" w:eastAsia="Arial" w:hAnsi="Arial"/>
          <w:color w:val="222222"/>
          <w:sz w:val="21"/>
          <w:szCs w:val="21"/>
        </w:rPr>
        <w:t xml:space="preserve">Toda información identificable del cliente se procesa localmente.</w:t>
      </w:r>
    </w:p>
    <w:p>
      <w:pPr>
        <w:spacing w:after="120" w:line="276"/>
      </w:pPr>
      <w:r>
        <w:rPr>
          <w:rFonts w:ascii="Arial" w:cs="Arial" w:eastAsia="Arial" w:hAnsi="Arial"/>
          <w:b/>
          <w:bCs/>
          <w:color w:val="222222"/>
          <w:sz w:val="21"/>
          <w:szCs w:val="21"/>
        </w:rPr>
        <w:t xml:space="preserve">2. Los LLMs comerciales solo reciben datos públicos de mercado. </w:t>
      </w:r>
      <w:r>
        <w:rPr>
          <w:rFonts w:ascii="Arial" w:cs="Arial" w:eastAsia="Arial" w:hAnsi="Arial"/>
          <w:color w:val="222222"/>
          <w:sz w:val="21"/>
          <w:szCs w:val="21"/>
        </w:rPr>
        <w:t xml:space="preserve">Nunca se envía información de clientes a APIs externas.</w:t>
      </w:r>
    </w:p>
    <w:p>
      <w:pPr>
        <w:spacing w:after="120" w:line="276"/>
      </w:pPr>
      <w:r>
        <w:rPr>
          <w:rFonts w:ascii="Arial" w:cs="Arial" w:eastAsia="Arial" w:hAnsi="Arial"/>
          <w:b/>
          <w:bCs/>
          <w:color w:val="222222"/>
          <w:sz w:val="21"/>
          <w:szCs w:val="21"/>
        </w:rPr>
        <w:t xml:space="preserve">3. Defensa en profundidad. </w:t>
      </w:r>
      <w:r>
        <w:rPr>
          <w:rFonts w:ascii="Arial" w:cs="Arial" w:eastAsia="Arial" w:hAnsi="Arial"/>
          <w:color w:val="222222"/>
          <w:sz w:val="21"/>
          <w:szCs w:val="21"/>
        </w:rPr>
        <w:t xml:space="preserve">Encriptación, MFA, logs de auditoría, y anonimización automática como capas de protección.</w:t>
      </w:r>
    </w:p>
    <w:p>
      <w:pPr>
        <w:pStyle w:val="Heading1"/>
        <w:spacing w:before="360" w:after="200"/>
      </w:pPr>
      <w:r>
        <w:rPr>
          <w:rFonts w:ascii="Arial" w:cs="Arial" w:eastAsia="Arial" w:hAnsi="Arial"/>
          <w:b/>
          <w:bCs/>
          <w:color w:val="1B3A5C"/>
          <w:sz w:val="32"/>
          <w:szCs w:val="32"/>
        </w:rPr>
        <w:t xml:space="preserve">11. Arquitectura Híbrida (Recomendada)</w:t>
      </w:r>
    </w:p>
    <w:p>
      <w:pPr>
        <w:spacing w:after="120" w:line="276"/>
        <w:jc w:val="left"/>
      </w:pPr>
      <w:r>
        <w:rPr>
          <w:rFonts w:ascii="Arial" w:cs="Arial" w:eastAsia="Arial" w:hAnsi="Arial"/>
          <w:color w:val="222222"/>
          <w:sz w:val="21"/>
          <w:szCs w:val="21"/>
        </w:rPr>
        <w:t xml:space="preserve">La arquitectura se divide en tres capas que separan los datos sensibles de las tareas de IA:</w:t>
      </w:r>
    </w:p>
    <w:p>
      <w:pPr>
        <w:pStyle w:val="Heading2"/>
        <w:spacing w:before="280" w:after="160"/>
      </w:pPr>
      <w:r>
        <w:rPr>
          <w:rFonts w:ascii="Arial" w:cs="Arial" w:eastAsia="Arial" w:hAnsi="Arial"/>
          <w:b/>
          <w:bCs/>
          <w:color w:val="2E75B6"/>
          <w:sz w:val="26"/>
          <w:szCs w:val="26"/>
        </w:rPr>
        <w:t xml:space="preserve">11.1 Capa 1: Datos Sensibles (Local / VPS Privado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PostgreSQL con encriptación AES-256</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Almacena exposiciones, contratos, posiciones de clientes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Orquestador de workflows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n8n (self-hosted)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Automatiza alertas, reportes, integraciones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Backend API</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Python FastAPI</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Lógica de negocio, cálculos de griegas, modelos cuantitativos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VPS dedicado en México (HostDime MX, Neubox) o local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Garantiza que los datos residan en territorio mexicano</w:t>
            </w:r>
          </w:p>
        </w:tc>
      </w:tr>
    </w:tbl>
    <w:p>
      <w:pPr>
        <w:spacing w:before="80"/>
      </w:pPr>
    </w:p>
    <w:p>
      <w:pPr>
        <w:spacing w:after="120" w:line="276"/>
        <w:jc w:val="left"/>
      </w:pPr>
      <w:r>
        <w:rPr>
          <w:rFonts w:ascii="Arial" w:cs="Arial" w:eastAsia="Arial" w:hAnsi="Arial"/>
          <w:color w:val="222222"/>
          <w:sz w:val="21"/>
          <w:szCs w:val="21"/>
        </w:rPr>
        <w:t xml:space="preserve">Esta capa es el corazón del sistema. Toda la información identificable del cliente vive aquí y nunca sale. Se accede solo a través de VPN con autenticación multifactor.</w:t>
      </w:r>
    </w:p>
    <w:p>
      <w:pPr>
        <w:pStyle w:val="Heading2"/>
        <w:spacing w:before="280" w:after="160"/>
      </w:pPr>
      <w:r>
        <w:rPr>
          <w:rFonts w:ascii="Arial" w:cs="Arial" w:eastAsia="Arial" w:hAnsi="Arial"/>
          <w:b/>
          <w:bCs/>
          <w:color w:val="2E75B6"/>
          <w:sz w:val="26"/>
          <w:szCs w:val="26"/>
        </w:rPr>
        <w:t xml:space="preserve">11.2 Capa 2: LLM Open Source Local (Tareas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Modelo recomendado</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Hardware necesario</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Generación de reportes con datos de clientes</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Llama 3.1 8B o Qwen 2.5 7B</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GPU con 8-16GB VRAM (RTX 4060/4070)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 de WhatsApp que menciona datos del cliente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Llama 3.1 8B (cuantizado Q4)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Misma GPU o CPU con 32GB RAM</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Análisis de posiciones específicas</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Qwen 2.5 14B o Mistral Small</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GPU con 16-24GB VRAM (RTX 4070 Ti/4090)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Fine-tuning para dominio financiero mexicano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Llama 3.1 8B como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GPU con 24GB+ VRAM para entrenamiento</w:t>
            </w:r>
          </w:p>
        </w:tc>
      </w:tr>
    </w:tbl>
    <w:p>
      <w:pPr>
        <w:spacing w:before="80"/>
      </w:pPr>
    </w:p>
    <w:p>
      <w:pPr>
        <w:spacing w:after="120" w:line="276"/>
        <w:jc w:val="left"/>
      </w:pPr>
      <w:r>
        <w:rPr>
          <w:rFonts w:ascii="Arial" w:cs="Arial" w:eastAsia="Arial" w:hAnsi="Arial"/>
          <w:color w:val="222222"/>
          <w:sz w:val="21"/>
          <w:szCs w:val="21"/>
        </w:rPr>
        <w:t xml:space="preserve">Estos modelos corren en tu hardware. Ningún dato sale a internet. La calidad es suficiente para generación de reportes y conversaciones simples. Para análisis complejo, se usa la Capa 3 con datos anonimizados.</w:t>
      </w:r>
    </w:p>
    <w:p>
      <w:pPr>
        <w:pStyle w:val="Heading2"/>
        <w:spacing w:before="280" w:after="160"/>
      </w:pPr>
      <w:r>
        <w:rPr>
          <w:rFonts w:ascii="Arial" w:cs="Arial" w:eastAsia="Arial" w:hAnsi="Arial"/>
          <w:b/>
          <w:bCs/>
          <w:color w:val="2E75B6"/>
          <w:sz w:val="26"/>
          <w:szCs w:val="26"/>
        </w:rPr>
        <w:t xml:space="preserve">11.3 Capa 3: API Comercial (Tareas NO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Datos que se envían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Análisis de mercado general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API (Sonnet)</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Datos públicos: precios FX, noticias, indicadores macro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Investigación macro y geopolítica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API con web 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Consultas genéricas sin datos de clientes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Contenido educativo para clientes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API o GPT-4o</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Temas genéricos de coberturas y derivados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Optimización de estrategia (anonimizado)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API (Sonnet)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"Cliente A cubre Monto X en USD a Y meses" (sin nombres ni datos reales)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Regla de oro de la anonimización</w:t>
            </w:r>
          </w:p>
          <w:p>
            <w:pPr>
              <w:spacing w:after="0"/>
            </w:pPr>
            <w:r>
              <w:rPr>
                <w:rFonts w:ascii="Arial" w:cs="Arial" w:eastAsia="Arial" w:hAnsi="Arial"/>
                <w:color w:val="222222"/>
                <w:sz w:val="20"/>
                <w:szCs w:val="20"/>
              </w:rPr>
              <w:t xml:space="preserve">Antes de enviar cualquier dato a un LLM externo, un middleware automático reemplaza: nombres de empresas por "Cliente A/B/C", montos exactos por rangos, y cualquier dato identificable. Esto se implementa como función en Python que intercepta todas las llamadas a APIs externas.</w:t>
            </w:r>
          </w:p>
        </w:tc>
      </w:tr>
    </w:tbl>
    <w:p>
      <w:pPr>
        <w:pStyle w:val="Heading1"/>
        <w:spacing w:before="360" w:after="200"/>
      </w:pPr>
      <w:r>
        <w:rPr>
          <w:rFonts w:ascii="Arial" w:cs="Arial" w:eastAsia="Arial" w:hAnsi="Arial"/>
          <w:b/>
          <w:bCs/>
          <w:color w:val="1B3A5C"/>
          <w:sz w:val="32"/>
          <w:szCs w:val="32"/>
        </w:rPr>
        <w:t xml:space="preserve">12. Diseño de los 6 Agentes de IA</w:t>
      </w:r>
    </w:p>
    <w:p>
      <w:pPr>
        <w:pStyle w:val="Heading2"/>
        <w:spacing w:before="280" w:after="160"/>
      </w:pPr>
      <w:r>
        <w:rPr>
          <w:rFonts w:ascii="Arial" w:cs="Arial" w:eastAsia="Arial" w:hAnsi="Arial"/>
          <w:b/>
          <w:bCs/>
          <w:color w:val="2E75B6"/>
          <w:sz w:val="26"/>
          <w:szCs w:val="26"/>
        </w:rPr>
        <w:t xml:space="preserve">12.1 Agente de Monitoreo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Vigila tipo de cambio, commodities, tasas de interés y volatilidad 24/7. Envía alertas cuando se activan triggers de cobertura.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 + APIs de datos (Banxico, Alpha Vantage) + n8n para orquestación + WhatsApp Business API para notificaciones.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1 (datos de mercado son públicos, pero los triggers son específicos del cliente).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"El USD/MXN cruzó $20.80 (tu trigger para Constructora X). Recomiendo ejecutar el 50% de la cobertura pendiente."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Reemplaza a 1 analista de mercado dedicado (~$25,000 MXN/mes).</w:t>
            </w:r>
          </w:p>
        </w:tc>
      </w:tr>
    </w:tbl>
    <w:p>
      <w:pPr>
        <w:pStyle w:val="Heading2"/>
        <w:spacing w:before="280" w:after="160"/>
      </w:pPr>
      <w:r>
        <w:rPr>
          <w:rFonts w:ascii="Arial" w:cs="Arial" w:eastAsia="Arial" w:hAnsi="Arial"/>
          <w:b/>
          <w:bCs/>
          <w:color w:val="2E75B6"/>
          <w:sz w:val="26"/>
          <w:szCs w:val="26"/>
        </w:rPr>
        <w:t xml:space="preserve">12.2 Agente de Reportes Personalizados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Genera reporte semanal/mensual de exposición, P&amp;L de coberturas activas, y recomendaciones por cliente.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LLM local (Llama 8B) + datos de Capa 1 + templates en Jinja2 + envío por email/WhatsApp.</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2 (usa datos sensibles del cliente, se procesa localmente).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"Reporte semanal: Tu exposición total es $450K USD. La cobertura activa protege el 60%. El forward a 3 meses vence el 15 de abril."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Elimina 8-10 horas semanales de trabajo manual de reporteo.</w:t>
            </w:r>
          </w:p>
        </w:tc>
      </w:tr>
    </w:tbl>
    <w:p>
      <w:pPr>
        <w:pStyle w:val="Heading2"/>
        <w:spacing w:before="280" w:after="160"/>
      </w:pPr>
      <w:r>
        <w:rPr>
          <w:rFonts w:ascii="Arial" w:cs="Arial" w:eastAsia="Arial" w:hAnsi="Arial"/>
          <w:b/>
          <w:bCs/>
          <w:color w:val="2E75B6"/>
          <w:sz w:val="26"/>
          <w:szCs w:val="26"/>
        </w:rPr>
        <w:t xml:space="preserve">12.3 Agente de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Recopila datos financieros del prospecto vía conversación, calcula exposición inicial, genera diagnóstico preliminar.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LLM local + formulario web/WhatsApp + Python para cálculos + PDF automatizado con resultados.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2 (datos del prospecto son sensibles desde el primer contacto).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"Hola, soy el asistente de HedgePoint. Para calcular tu exposición, necesito saber: cuánto importas en USD al mes, a cuántos meses compras, y cuál es tu margen de utilidad. Con eso te genero un diagnóstico gratuito."</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Reduce ciclo de venta de 3 semanas a 3 días. Escala la captación sin contratar vendedores.</w:t>
            </w:r>
          </w:p>
        </w:tc>
      </w:tr>
    </w:tbl>
    <w:p>
      <w:pPr>
        <w:pStyle w:val="Heading2"/>
        <w:spacing w:before="280" w:after="160"/>
      </w:pPr>
      <w:r>
        <w:rPr>
          <w:rFonts w:ascii="Arial" w:cs="Arial" w:eastAsia="Arial" w:hAnsi="Arial"/>
          <w:b/>
          <w:bCs/>
          <w:color w:val="2E75B6"/>
          <w:sz w:val="26"/>
          <w:szCs w:val="26"/>
        </w:rPr>
        <w:t xml:space="preserve">12.4 Agente Simulador de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Chatbot donde el cliente pregunta escenarios hipotéticos y recibe respuestas con su posición específica.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LLM local + modelos Black-Scholes/Monte Carlo en Python + interfaz web o WhatsApp.</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2 (usa posiciones del cliente para simular escenarios).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Cliente pregunta: "Si el dólar sube a $22, cuánto pierdo?" Agente responde: "Con tu exposición actual de $300K USD, perderías $450K MXN. Con la cobertura propuesta, la pérdida se limita a $45K MXN."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Diferenciador enorme vs. competencia. Ningún banco ofrece esto.</w:t>
            </w:r>
          </w:p>
        </w:tc>
      </w:tr>
    </w:tbl>
    <w:p>
      <w:pPr>
        <w:pStyle w:val="Heading2"/>
        <w:spacing w:before="280" w:after="160"/>
      </w:pPr>
      <w:r>
        <w:rPr>
          <w:rFonts w:ascii="Arial" w:cs="Arial" w:eastAsia="Arial" w:hAnsi="Arial"/>
          <w:b/>
          <w:bCs/>
          <w:color w:val="2E75B6"/>
          <w:sz w:val="26"/>
          <w:szCs w:val="26"/>
        </w:rPr>
        <w:t xml:space="preserve">12.5 Agente de Atención y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Responde preguntas frecuentes, envía recordatorios de vencimiento, agenda llamadas, da seguimiento post-venta.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LLM local (modelo pequeño 7B) + WhatsApp Business API + calendario integrado + CRM.</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2 (maneja datos básicos del cliente).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"Tu forward de $100K USD vence en 5 días. Tu ejecutivo te llamará mañana para discutir la renovación."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Reemplaza a 1 asistente administrativo (~$12K-$15K MXN/mes).</w:t>
            </w:r>
          </w:p>
        </w:tc>
      </w:tr>
    </w:tbl>
    <w:p>
      <w:pPr>
        <w:pStyle w:val="Heading2"/>
        <w:spacing w:before="280" w:after="160"/>
      </w:pPr>
      <w:r>
        <w:rPr>
          <w:rFonts w:ascii="Arial" w:cs="Arial" w:eastAsia="Arial" w:hAnsi="Arial"/>
          <w:b/>
          <w:bCs/>
          <w:color w:val="2E75B6"/>
          <w:sz w:val="26"/>
          <w:szCs w:val="26"/>
        </w:rPr>
        <w:t xml:space="preserve">12.6 Agente de Análisis de Timing (Edge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Modelo de ML que analiza patrones históricos, volatilidad implícita, señales macro y estacionalidad para recomendar el momento óptimo de entrada a coberturas.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Stack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 (scikit-learn, XGBoost) + datos históricos de Banxico/Bloomberg + LLM comercial (Capa 3, anonimizado) para interpretación de noticias.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Capa 1 (modelo corre localmente) + Capa 3 (análisis de noticias con datos públicos).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Ejemplo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"Basado en el análisis: la volatilidad implícita a 3 meses está 15% por debajo del promedio histórico. Las opciones están baratas. Recomiendo comprar puts ahora para proteger el 70% de la exposición de Q3."</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Ahorro</w:t>
            </w:r>
          </w:p>
        </w:tc>
        <w:tc>
          <w:tcPr>
            <w:tcW w:type="dxa" w:w="7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Este es tu diferenciador principal. Nadie más ofrece timing optimizado por ML para PyMEs.</w:t>
            </w:r>
          </w:p>
        </w:tc>
      </w:tr>
    </w:tbl>
    <w:p>
      <w:pPr>
        <w:pStyle w:val="Heading1"/>
        <w:spacing w:before="360" w:after="200"/>
      </w:pPr>
      <w:r>
        <w:rPr>
          <w:rFonts w:ascii="Arial" w:cs="Arial" w:eastAsia="Arial" w:hAnsi="Arial"/>
          <w:b/>
          <w:bCs/>
          <w:color w:val="1B3A5C"/>
          <w:sz w:val="32"/>
          <w:szCs w:val="32"/>
        </w:rPr>
        <w:t xml:space="preserve">13. Medidas de Seguridad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Medida</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Encriptación en reposo</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AES-256 en PostgreSQL y discos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Encriptación en tránsito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TLS 1.3 para toda comunicación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Autenticación multifactor</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MFA para todo acceso a sistemas internos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Anonimización automática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Middleware Python que intercepta llamadas a APIs externas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Crítica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Logs de auditoría</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Registro de quién accedió a qué dato y cuándo</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Política de retención de datos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Eliminar datos que ya no se necesitan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NDA con cada cliente</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Especifica manejo de datos y responsabilidades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Cumplimiento LFPDPPP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Aviso de privacidad y consentimiento explícito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Backups encriptados offsite</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Backup diario a storage encriptado en ubicación separada</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E67E22"/>
                <w:sz w:val="20"/>
                <w:szCs w:val="20"/>
              </w:rPr>
              <w:t xml:space="preserve">Alta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VPN para acceso remoto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WireGuard o similar para acceso a la Capa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Media</w:t>
            </w:r>
          </w:p>
        </w:tc>
      </w:tr>
    </w:tbl>
    <w:p>
      <w:pPr>
        <w:pStyle w:val="Heading1"/>
        <w:spacing w:before="360" w:after="200"/>
      </w:pPr>
      <w:r>
        <w:rPr>
          <w:rFonts w:ascii="Arial" w:cs="Arial" w:eastAsia="Arial" w:hAnsi="Arial"/>
          <w:b/>
          <w:bCs/>
          <w:color w:val="1B3A5C"/>
          <w:sz w:val="32"/>
          <w:szCs w:val="32"/>
        </w:rPr>
        <w:t xml:space="preserve">14. Costos de Infraestructura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mensual</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VPS dedicado en México</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HostDime MX o Neubox (16GB RAM, 4 cores, SSD)</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$3,000 - $6,000 MXN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GPU para LLM local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RunPod cloud o RTX 4070 Ti propia (amortizada)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$2,000 - $8,000 MXN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API comercial (Claude/GPT)</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Sonnet para análisis de mercado</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$1,000 - $3,000 MXN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Datos de mercado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APIs de Banxico (gratis) + Alpha Vantage premium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$500 - $2,000 MXN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WhatsApp Business API</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360dialog o Twilio</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$500 - $1,500 MXN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Backups encriptados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Wasabi o Backblaze B2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$500 - $1,000 MXN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Dominio, email, herramientas</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Google Workspace + dominio</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$500 - $1,000 MXN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TOTAL INFRAESTRUCTURA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$8,000 - $22,500 MXN/mes</w:t>
            </w:r>
          </w:p>
        </w:tc>
      </w:tr>
    </w:tbl>
    <w:p>
      <w:pPr>
        <w:pStyle w:val="Heading1"/>
        <w:spacing w:before="360" w:after="200"/>
      </w:pPr>
      <w:r>
        <w:rPr>
          <w:rFonts w:ascii="Arial" w:cs="Arial" w:eastAsia="Arial" w:hAnsi="Arial"/>
          <w:b/>
          <w:bCs/>
          <w:color w:val="1B3A5C"/>
          <w:sz w:val="32"/>
          <w:szCs w:val="32"/>
        </w:rPr>
        <w:t xml:space="preserve">15. Comparativa de Opciones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1300"/>
        <w:gridCol w:w="12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Opción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Seguridad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Costo inicial</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Calidad IA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Recomendación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VPS Cloud</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Media</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Bajo</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Alta (APIs)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Media</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Para empezar rápido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Local on-premise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Alto ($50K-$150K)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Baja-Media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 clientes lo exigen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LLM open source puro</w:t>
            </w:r>
          </w:p>
        </w:tc>
        <w:tc>
          <w:tcPr>
            <w:tcW w:type="dxa" w:w="11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Muy alta</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Medio-Alto</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Media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Muy alta</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 priorizas privacidad 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Híbrido (recomendado)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Alta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Medio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Media-Alta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Mejor balance</w:t>
            </w:r>
          </w:p>
        </w:tc>
      </w:tr>
    </w:tbl>
    <w:p>
      <w:pPr>
        <w:pStyle w:val="Heading1"/>
        <w:spacing w:before="360" w:after="200"/>
      </w:pPr>
      <w:r>
        <w:rPr>
          <w:rFonts w:ascii="Arial" w:cs="Arial" w:eastAsia="Arial" w:hAnsi="Arial"/>
          <w:b/>
          <w:bCs/>
          <w:color w:val="1B3A5C"/>
          <w:sz w:val="32"/>
          <w:szCs w:val="32"/>
        </w:rPr>
        <w:t xml:space="preserve">16.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Orquestación</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n8n (self-hosted)</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Workflows de automatización, integraciones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 + FastAPI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Lógica de negocio, cálculos financieros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Modelos cuantitativos</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Python (scipy, numpy, scikit-learn, XGBoost)</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Black-Scholes, griegas, Monte Carlo, ML timing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LLM 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Ollama + Llama 3.1 8B / Qwen 2.5 7B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Reportes, agente WhatsApp, análisis sensible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LLM comercial</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API (Sonnet)</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Análisis de mercado, investigación macro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Base de datos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PostgreSQL con pgcrypto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Datos de clientes encriptados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Canal de comunicación</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WhatsApp Business API (360dialog)</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Agentes conversacionales con clientes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React + Tailwind (dashboard interno)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Visualización de posiciones y reportes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CRM</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HubSpot Free o Pipedrive</w:t>
            </w:r>
          </w:p>
        </w:tc>
        <w:tc>
          <w:tcPr>
            <w:tcW w:type="dxa" w:w="4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Gestión de pipeline de ventas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Infraestructura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VPS México + VPN (WireGuard)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Hosting seguro con acceso controlado</w:t>
            </w:r>
          </w:p>
        </w:tc>
      </w:tr>
    </w:tbl>
    <w:p>
      <w:pPr>
        <w:pStyle w:val="Heading1"/>
        <w:spacing w:before="360" w:after="200"/>
      </w:pPr>
      <w:r>
        <w:rPr>
          <w:rFonts w:ascii="Arial" w:cs="Arial" w:eastAsia="Arial" w:hAnsi="Arial"/>
          <w:b/>
          <w:bCs/>
          <w:color w:val="1B3A5C"/>
          <w:sz w:val="32"/>
          <w:szCs w:val="32"/>
        </w:rPr>
        <w:t xml:space="preserve">17.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Periodo</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Hitos principales</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Validación</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Meses 1-3</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Entrevistar 15+ empresas target. Validar demanda. Consultar abogado regulatorio. Obtener certificación.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MVP tecnológico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Meses 3-6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Desarrollar agentes 1 (monitoreo) y 3 (onboarding). Configurar infraestructura híbrida. Construir simulador de ahorro.</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Primeros clientes</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Meses 6-9</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Conseguir 3 clientes piloto (fee reducido o gratis a cambio de case studies). Iterar servicio.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Escalamiento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Meses 9-18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Completar los 6 agentes. Contratar analista Jr. Llegar a 10 clientes. Optimizar modelo de pricing.</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Crecimiento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Meses 18-36</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Expandir a otros sectores. Considerar plataforma SaaS. Evaluar licencia de asesor ante CNBV.</w:t>
            </w:r>
          </w:p>
        </w:tc>
      </w:tr>
    </w:tbl>
    <w:p>
      <w:pPr>
        <w:pStyle w:val="Heading1"/>
        <w:spacing w:before="360" w:after="200"/>
      </w:pPr>
      <w:r>
        <w:rPr>
          <w:rFonts w:ascii="Arial" w:cs="Arial" w:eastAsia="Arial" w:hAnsi="Arial"/>
          <w:b/>
          <w:bCs/>
          <w:color w:val="1B3A5C"/>
          <w:sz w:val="32"/>
          <w:szCs w:val="32"/>
        </w:rPr>
        <w:t xml:space="preserve">18. Próximos Pasos Inmediatos</w:t>
      </w:r>
    </w:p>
    <w:p>
      <w:pPr>
        <w:spacing w:after="120" w:line="276"/>
      </w:pPr>
      <w:r>
        <w:rPr>
          <w:rFonts w:ascii="Arial" w:cs="Arial" w:eastAsia="Arial" w:hAnsi="Arial"/>
          <w:b/>
          <w:bCs/>
          <w:color w:val="222222"/>
          <w:sz w:val="21"/>
          <w:szCs w:val="21"/>
        </w:rPr>
        <w:t xml:space="preserve">1. Validar demanda: </w:t>
      </w:r>
      <w:r>
        <w:rPr>
          <w:rFonts w:ascii="Arial" w:cs="Arial" w:eastAsia="Arial" w:hAnsi="Arial"/>
          <w:color w:val="222222"/>
          <w:sz w:val="21"/>
          <w:szCs w:val="21"/>
        </w:rPr>
        <w:t xml:space="preserve">Entrevistar a 10-15 importadores medianos y constructoras. Preguntar: ¿Han perdido dinero por movimientos en tipo de cambio? ¿Qué hicieron al respecto? ¿Pagarían por un servicio que los proteja?</w:t>
      </w:r>
    </w:p>
    <w:p>
      <w:pPr>
        <w:spacing w:after="120" w:line="276"/>
      </w:pPr>
      <w:r>
        <w:rPr>
          <w:rFonts w:ascii="Arial" w:cs="Arial" w:eastAsia="Arial" w:hAnsi="Arial"/>
          <w:b/>
          <w:bCs/>
          <w:color w:val="222222"/>
          <w:sz w:val="21"/>
          <w:szCs w:val="21"/>
        </w:rPr>
        <w:t xml:space="preserve">2. Resolver el tema regulatorio: </w:t>
      </w:r>
      <w:r>
        <w:rPr>
          <w:rFonts w:ascii="Arial" w:cs="Arial" w:eastAsia="Arial" w:hAnsi="Arial"/>
          <w:color w:val="222222"/>
          <w:sz w:val="21"/>
          <w:szCs w:val="21"/>
        </w:rPr>
        <w:t xml:space="preserve">Agendar consulta con abogado especializado en fintech/valores. Confirmar si el modelo de consultoría pura requiere registro ante CNBV.</w:t>
      </w:r>
    </w:p>
    <w:p>
      <w:pPr>
        <w:spacing w:after="120" w:line="276"/>
      </w:pPr>
      <w:r>
        <w:rPr>
          <w:rFonts w:ascii="Arial" w:cs="Arial" w:eastAsia="Arial" w:hAnsi="Arial"/>
          <w:b/>
          <w:bCs/>
          <w:color w:val="222222"/>
          <w:sz w:val="21"/>
          <w:szCs w:val="21"/>
        </w:rPr>
        <w:t xml:space="preserve">3. Construir proof of concept: </w:t>
      </w:r>
      <w:r>
        <w:rPr>
          <w:rFonts w:ascii="Arial" w:cs="Arial" w:eastAsia="Arial" w:hAnsi="Arial"/>
          <w:color w:val="222222"/>
          <w:sz w:val="21"/>
          <w:szCs w:val="21"/>
        </w:rPr>
        <w:t xml:space="preserve">Dashboard o reporte que muestre a una empresa específica su exposición y cuánto habría ahorrado con coberturas en los últimos 2 años. Esta es tu herramienta de venta #1.</w:t>
      </w:r>
    </w:p>
    <w:p>
      <w:pPr>
        <w:spacing w:after="120" w:line="276"/>
      </w:pPr>
      <w:r>
        <w:rPr>
          <w:rFonts w:ascii="Arial" w:cs="Arial" w:eastAsia="Arial" w:hAnsi="Arial"/>
          <w:b/>
          <w:bCs/>
          <w:color w:val="222222"/>
          <w:sz w:val="21"/>
          <w:szCs w:val="21"/>
        </w:rPr>
        <w:t xml:space="preserve">4. Desarrollar el primer agente: </w:t>
      </w:r>
      <w:r>
        <w:rPr>
          <w:rFonts w:ascii="Arial" w:cs="Arial" w:eastAsia="Arial" w:hAnsi="Arial"/>
          <w:color w:val="222222"/>
          <w:sz w:val="21"/>
          <w:szCs w:val="21"/>
        </w:rPr>
        <w:t xml:space="preserve">El agente de monitoreo de mercado (12.1) es el más sencillo de construir y el más útil desde el día 1.</w:t>
      </w:r>
    </w:p>
    <w:p>
      <w:pPr>
        <w:spacing w:after="120" w:line="276"/>
      </w:pPr>
      <w:r>
        <w:rPr>
          <w:rFonts w:ascii="Arial" w:cs="Arial" w:eastAsia="Arial" w:hAnsi="Arial"/>
          <w:b/>
          <w:bCs/>
          <w:color w:val="222222"/>
          <w:sz w:val="21"/>
          <w:szCs w:val="21"/>
        </w:rPr>
        <w:t xml:space="preserve">5. Establecer alianza con Banco Base o Monex: </w:t>
      </w:r>
      <w:r>
        <w:rPr>
          <w:rFonts w:ascii="Arial" w:cs="Arial" w:eastAsia="Arial" w:hAnsi="Arial"/>
          <w:color w:val="222222"/>
          <w:sz w:val="21"/>
          <w:szCs w:val="21"/>
        </w:rPr>
        <w:t xml:space="preserve">Acercarte como referenciador de clientes. Negociar spreads preferenciales por volumen.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final</w:t>
            </w:r>
          </w:p>
          <w:p>
            <w:pPr>
              <w:spacing w:after="0"/>
            </w:pPr>
            <w:r>
              <w:rPr>
                <w:rFonts w:ascii="Arial" w:cs="Arial" w:eastAsia="Arial" w:hAnsi="Arial"/>
                <w:color w:val="222222"/>
                <w:sz w:val="20"/>
                <w:szCs w:val="20"/>
              </w:rPr>
              <w:t xml:space="preserve">Este documento es un punto de partida, no un plan definitivo. Las cifras son estimaciones basadas en investigación de mercado y benchmarks del sector. Cada supuesto debe validarse con datos reales antes de invertir capital. La fortaleza de este negocio no está en los derivados, está en la confianza que generes con tus clientes y en la tecnología que te permite escalar esa confianza.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Confidencial  |  </w:t>
    </w: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2E75B6"/>
        <w:sz w:val="18"/>
        <w:szCs w:val="18"/>
      </w:rPr>
      <w:t xml:space="preserve">HedgePoint MX</w:t>
    </w:r>
    <w:r>
      <w:rPr>
        <w:rFonts w:ascii="Arial" w:cs="Arial" w:eastAsia="Arial" w:hAnsi="Arial"/>
        <w:color w:val="666666"/>
        <w:sz w:val="16"/>
        <w:szCs w:val="16"/>
      </w:rPr>
      <w:t xml:space="preserve">  |  Plan de Negocio &amp; Arquitectura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2026-03-31T17:16:52.103Z</dcterms:created>
  <dcterms:modified xsi:type="dcterms:W3CDTF">2026-03-31T17:16:52.104Z</dcterms:modified>
</cp:coreProperties>
</file>

<file path=docProps/custom.xml><?xml version="1.0" encoding="utf-8"?>
<Properties xmlns="http://schemas.openxmlformats.org/officeDocument/2006/custom-properties" xmlns:vt="http://schemas.openxmlformats.org/officeDocument/2006/docPropsVTypes"/>
</file>