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p>
    <w:p>
      <w:pPr>
        <w:spacing w:after="200"/>
        <w:jc w:val="center"/>
      </w:pPr>
      <w:r>
        <w:rPr>
          <w:rFonts w:ascii="Arial" w:cs="Arial" w:eastAsia="Arial" w:hAnsi="Arial"/>
          <w:b/>
          <w:bCs/>
          <w:color w:val="0D4F8B"/>
          <w:sz w:val="44"/>
          <w:szCs w:val="44"/>
        </w:rPr>
        <w:t xml:space="preserve">HEDGEPOINT MX</w:t>
      </w:r>
    </w:p>
    <w:p>
      <w:pPr>
        <w:spacing w:after="100"/>
        <w:jc w:val="center"/>
      </w:pPr>
      <w:r>
        <w:rPr>
          <w:rFonts w:ascii="Arial" w:cs="Arial" w:eastAsia="Arial" w:hAnsi="Arial"/>
          <w:color w:val="444444"/>
          <w:sz w:val="32"/>
          <w:szCs w:val="32"/>
        </w:rPr>
        <w:t xml:space="preserve">Guión de Video Explicativo</w:t>
      </w:r>
    </w:p>
    <w:p>
      <w:pPr>
        <w:spacing w:after="100"/>
        <w:jc w:val="center"/>
      </w:pPr>
      <w:r>
        <w:rPr>
          <w:rFonts w:ascii="Arial" w:cs="Arial" w:eastAsia="Arial" w:hAnsi="Arial"/>
          <w:color w:val="666666"/>
          <w:sz w:val="24"/>
          <w:szCs w:val="24"/>
        </w:rPr>
        <w:t xml:space="preserve">Motion Graphics + Voz IA | 2 minutos</w:t>
      </w:r>
    </w:p>
    <w:p>
      <w:pPr>
        <w:spacing w:after="600"/>
        <w:jc w:val="center"/>
      </w:pPr>
      <w:r>
        <w:rPr>
          <w:rFonts w:ascii="Arial" w:cs="Arial" w:eastAsia="Arial" w:hAnsi="Arial"/>
          <w:i/>
          <w:iCs/>
          <w:color w:val="888888"/>
          <w:sz w:val="22"/>
          <w:szCs w:val="22"/>
        </w:rPr>
        <w:t xml:space="preserve">Abril 2026 — Documento de Producción</w:t>
      </w:r>
    </w:p>
    <w:p>
      <w:r>
        <w:br/>
        <w:t xml:space="preserve"/>
      </w:r>
    </w:p>
    <w:p>
      <w:pPr>
        <w:pBdr>
          <w:bottom w:val="single" w:color="0D4F8B" w:sz="6" w:space="1"/>
        </w:pBdr>
        <w:spacing w:after="400"/>
        <w:jc w:val="center"/>
      </w:pPr>
    </w:p>
    <w:p>
      <w:pPr>
        <w:pStyle w:val="Heading1"/>
        <w:spacing w:after="200" w:before="400"/>
      </w:pPr>
      <w:r>
        <w:rPr>
          <w:rFonts w:ascii="Arial" w:cs="Arial" w:eastAsia="Arial" w:hAnsi="Arial"/>
          <w:b/>
          <w:bCs/>
          <w:color w:val="0D4F8B"/>
          <w:sz w:val="28"/>
          <w:szCs w:val="28"/>
        </w:rPr>
        <w:t xml:space="preserve">Especificaciones del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Duración</w:t>
            </w:r>
          </w:p>
        </w:tc>
        <w:tc>
          <w:tcPr>
            <w:tcW w:type="dxa" w:w="65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2:00 minutos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Formato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16:9 horizontal (1920x1080)</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Estilo</w:t>
            </w:r>
          </w:p>
        </w:tc>
        <w:tc>
          <w:tcPr>
            <w:tcW w:type="dxa" w:w="65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Motion graphics / animación 2D profesional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Audio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Voz IA (ElevenLabs o similar) + música de fondo</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Idioma</w:t>
            </w:r>
          </w:p>
        </w:tc>
        <w:tc>
          <w:tcPr>
            <w:tcW w:type="dxa" w:w="65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Español (México)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Uso principal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Presentación en reunión con prospectos</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Paleta de colores</w:t>
            </w:r>
          </w:p>
        </w:tc>
        <w:tc>
          <w:tcPr>
            <w:tcW w:type="dxa" w:w="65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Azul oscuro (#0D4F8B), blanco, gris claro, acentos verdes para positivo, rojos para riesgo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Tipografía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Sans-serif moderna (Montserrat o similar)</w:t>
            </w:r>
          </w:p>
        </w:tc>
      </w:tr>
    </w:tbl>
    <w:p>
      <w:pPr>
        <w:spacing w:before="200"/>
      </w:pPr>
      <w:r>
        <w:br w:type="page"/>
      </w:r>
    </w:p>
    <w:p>
      <w:pPr>
        <w:pStyle w:val="Heading1"/>
        <w:spacing w:after="300" w:before="400"/>
      </w:pPr>
      <w:r>
        <w:rPr>
          <w:rFonts w:ascii="Arial" w:cs="Arial" w:eastAsia="Arial" w:hAnsi="Arial"/>
          <w:b/>
          <w:bCs/>
          <w:color w:val="0D4F8B"/>
          <w:sz w:val="28"/>
          <w:szCs w:val="28"/>
        </w:rPr>
        <w:t xml:space="preserve">Storyboard — Escena por Escena</w:t>
      </w:r>
    </w:p>
    <w:p>
      <w:pPr>
        <w:pBdr>
          <w:bottom w:val="single" w:color="0D4F8B" w:sz="4" w:space="1"/>
        </w:pBdr>
        <w:spacing w:after="200" w:before="100"/>
      </w:pPr>
      <w:r>
        <w:rPr>
          <w:rFonts w:ascii="Arial" w:cs="Arial" w:eastAsia="Arial" w:hAnsi="Arial"/>
          <w:b/>
          <w:bCs/>
          <w:color w:val="0D4F8B"/>
          <w:sz w:val="24"/>
          <w:szCs w:val="24"/>
        </w:rPr>
        <w:t xml:space="preserve">ESCENA 1: EL PROBLEMA (Gancho)</w:t>
      </w:r>
      <w:r>
        <w:rPr>
          <w:rFonts w:ascii="Arial" w:cs="Arial" w:eastAsia="Arial" w:hAnsi="Arial"/>
          <w:color w:val="888888"/>
          <w:sz w:val="20"/>
          <w:szCs w:val="20"/>
        </w:rPr>
        <w:t xml:space="preserve">  (0:00 – 0:15)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Visual</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Pantalla dividida: lado izquierdo, gráfica animada del USD/MXN subiendo y bajando bruscamente (usar datos reales 2020-2025). Lado derecho, silueta de empresario viendo facturas en USD con números cambiando en rojo. Números grandes aparecen: $300,000 USD/mes. Transición: el margen de ganancia (barra verde) se encoge hasta casi desaparecer.</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Voz (VO)</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El dólar se mueve. Tu margen desaparece. Un importador que compra 300 mil dólares al mes puede perder más del 40% de su margen en un solo mes malo. Y el 98% de las PyMEs en México no tienen ninguna protección.</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Notas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Tono: urgente pero profesional. Música de fondo tensa, minimalista. Los números deben aparecer con animación de impacto (scale-up).</w:t>
            </w:r>
          </w:p>
        </w:tc>
      </w:tr>
    </w:tbl>
    <w:p>
      <w:pPr>
        <w:pBdr>
          <w:bottom w:val="single" w:color="0D4F8B" w:sz="4" w:space="1"/>
        </w:pBdr>
        <w:spacing w:after="200" w:before="400"/>
      </w:pPr>
      <w:r>
        <w:rPr>
          <w:rFonts w:ascii="Arial" w:cs="Arial" w:eastAsia="Arial" w:hAnsi="Arial"/>
          <w:b/>
          <w:bCs/>
          <w:color w:val="0D4F8B"/>
          <w:sz w:val="24"/>
          <w:szCs w:val="24"/>
        </w:rPr>
        <w:t xml:space="preserve">ESCENA 2: LAS OPCIONES ACTUALES NO FUNCIONAN</w:t>
      </w:r>
      <w:r>
        <w:rPr>
          <w:rFonts w:ascii="Arial" w:cs="Arial" w:eastAsia="Arial" w:hAnsi="Arial"/>
          <w:color w:val="888888"/>
          <w:sz w:val="20"/>
          <w:szCs w:val="20"/>
        </w:rPr>
        <w:t xml:space="preserve">  (0:15 – 0:35)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Visual</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Tres columnas aparecen una por una con iconos: (1) Banco — icono de edificio corporativo, texto: 'Mínimo $500K USD, spreads opacos, cero análisis'. (2) Consultora Big 4 — icono de traje, texto: '$200K+ MXN por proyecto'. (3) No hacer nada — icono de ruleta/dados, texto: 'Rezar que el TC no se mueva'. Cada columna se tacha con una X roja animada.</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Voz (VO)</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Los bancos te piden medio millón de dólares mínimo y no analizan cuándo cubrirte. Las consultoras grandes cobran más de 200 mil pesos por proyecto. Y la mayoría de las PyMEs simplemente esperan que el tipo de cambio no se mueva. Eso no es una estrategia.</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Notas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Ritmo rápido. Cada columna aparece con 2 segundos de diferencia. La X roja es enfática.</w:t>
            </w:r>
          </w:p>
        </w:tc>
      </w:tr>
    </w:tbl>
    <w:p>
      <w:pPr>
        <w:pBdr>
          <w:bottom w:val="single" w:color="0D4F8B" w:sz="4" w:space="1"/>
        </w:pBdr>
        <w:spacing w:after="200" w:before="400"/>
      </w:pPr>
      <w:r>
        <w:rPr>
          <w:rFonts w:ascii="Arial" w:cs="Arial" w:eastAsia="Arial" w:hAnsi="Arial"/>
          <w:b/>
          <w:bCs/>
          <w:color w:val="0D4F8B"/>
          <w:sz w:val="24"/>
          <w:szCs w:val="24"/>
        </w:rPr>
        <w:t xml:space="preserve">ESCENA 3: LA SOLUCIÓN: HEDGEPOINT MX</w:t>
      </w:r>
      <w:r>
        <w:rPr>
          <w:rFonts w:ascii="Arial" w:cs="Arial" w:eastAsia="Arial" w:hAnsi="Arial"/>
          <w:color w:val="888888"/>
          <w:sz w:val="20"/>
          <w:szCs w:val="20"/>
        </w:rPr>
        <w:t xml:space="preserve">  (0:35 – 1:05)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Visual</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Logo de HedgePoint MX aparece al centro con animación de build-up. Transición a infografía animada del flujo de 3 pasos: (1) 'Diagnóstico' — icono de estetoscopio + gráfica de exposición, (2) 'Simulación' — icono de laboratorio + 3 barras comparando estrategias, (3) 'Protección' — icono de escudo + gráfica de margen estabilizado. Metáfora visual: un doctor revisando radiografía financiera.</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Voz (VO)</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HedgePoint MX es tu consultor de riesgos financieros con inteligencia artificial. Funciona en tres pasos. Primero, diagnosticamos tu exposición real al tipo de cambio. Segundo, simulamos escenarios con datos históricos de 5 años para encontrar tu estrategia óptima: forwards, opciones, collares, o cambios operativos. Tercero, te protegemos con monitoreo 24/7 y reportes semanales personalizados.</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Notas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Tono: confianza, solución. Música cambia a positiva/tecnológica. Cada paso aparece con transición suave.</w:t>
            </w:r>
          </w:p>
        </w:tc>
      </w:tr>
    </w:tbl>
    <w:p>
      <w:pPr>
        <w:pBdr>
          <w:bottom w:val="single" w:color="0D4F8B" w:sz="4" w:space="1"/>
        </w:pBdr>
        <w:spacing w:after="200" w:before="400"/>
      </w:pPr>
      <w:r>
        <w:rPr>
          <w:rFonts w:ascii="Arial" w:cs="Arial" w:eastAsia="Arial" w:hAnsi="Arial"/>
          <w:b/>
          <w:bCs/>
          <w:color w:val="0D4F8B"/>
          <w:sz w:val="24"/>
          <w:szCs w:val="24"/>
        </w:rPr>
        <w:t xml:space="preserve">ESCENA 4: DIFERENCIADORES</w:t>
      </w:r>
      <w:r>
        <w:rPr>
          <w:rFonts w:ascii="Arial" w:cs="Arial" w:eastAsia="Arial" w:hAnsi="Arial"/>
          <w:color w:val="888888"/>
          <w:sz w:val="20"/>
          <w:szCs w:val="20"/>
        </w:rPr>
        <w:t xml:space="preserve">  (1:05 – 1:30)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Visual</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Pantalla con 3 KPIs animados que cuentan hacia arriba: (1) '1/10 del costo' de una consultora tradicional, (2) 'Alertas en tiempo real' con mockup de WhatsApp mostrando alerta, (3) 'Independencia total' con diagrama mostrando que HedgePoint no vende derivados. Comparativa visual: tabla animada HedgePoint vs Banco vs Consultora con checks verdes y X rojas.</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Voz (VO)</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Somos el doctor que diagnostica tu riesgo y te receta el tratamiento correcto. No la farmacia que siempre te vende lo mismo. Te damos el mismo nivel de análisis que tienen las empresas grandes, a una fracción del costo. Nuestros agentes de IA monitorean el mercado día y noche y te alertan en WhatsApp cuando hay una ventana de oportunidad.</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Notas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Metáfora del doctor es el momento clave. Pausa breve antes de decirla. Mockup de WhatsApp debe verse realístico.</w:t>
            </w:r>
          </w:p>
        </w:tc>
      </w:tr>
    </w:tbl>
    <w:p>
      <w:pPr>
        <w:pBdr>
          <w:bottom w:val="single" w:color="0D4F8B" w:sz="4" w:space="1"/>
        </w:pBdr>
        <w:spacing w:after="200" w:before="400"/>
      </w:pPr>
      <w:r>
        <w:rPr>
          <w:rFonts w:ascii="Arial" w:cs="Arial" w:eastAsia="Arial" w:hAnsi="Arial"/>
          <w:b/>
          <w:bCs/>
          <w:color w:val="0D4F8B"/>
          <w:sz w:val="24"/>
          <w:szCs w:val="24"/>
        </w:rPr>
        <w:t xml:space="preserve">ESCENA 5: PRUEBA SOCIAL + CTA</w:t>
      </w:r>
      <w:r>
        <w:rPr>
          <w:rFonts w:ascii="Arial" w:cs="Arial" w:eastAsia="Arial" w:hAnsi="Arial"/>
          <w:color w:val="888888"/>
          <w:sz w:val="20"/>
          <w:szCs w:val="20"/>
        </w:rPr>
        <w:t xml:space="preserve">  (1:30 – 2:00)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Visual</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Gráfica de caso de estudio animada: importador de acero, $500K USD/mes, margen 12%. Mostrar escenario COVID-2020: sin cobertura pierde $2.1M MXN. Con cobertura HedgePoint, margen protegido. Transición final: pantalla limpia con logo, tagline 'Protege tu margen. Inteligentemente.' y CTA: 'Diagnóstico gratuito de tu exposición cambiaria'. URL o QR code.</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Voz (VO)</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Veamos un ejemplo real. Un importador de acero que compra medio millón de dólares al mes con margen del 12%. En un escenario como el COVID de 2020, sin cobertura habría perdido más de 2 millones de pesos. Con la estrategia correcta, su margen queda protegido. Si importas o exportas más de 200 mil dólares al mes, te ofrecemos un diagnóstico gratuito. En 15 minutos te mostramos exactamente cuánto estás dejando al azar.</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Notas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Tono: cierre con confianza. El caso de estudio es generado con el simulador real del sistema. Música sube ligeramente al CTA. Logo y QR quedan en pantalla 3 segundos.</w:t>
            </w:r>
          </w:p>
        </w:tc>
      </w:tr>
    </w:tbl>
    <w:p>
      <w:pPr>
        <w:spacing w:before="200"/>
      </w:pPr>
      <w:r>
        <w:br w:type="page"/>
      </w:r>
    </w:p>
    <w:p>
      <w:pPr>
        <w:pStyle w:val="Heading1"/>
        <w:spacing w:after="200" w:before="400"/>
      </w:pPr>
      <w:r>
        <w:rPr>
          <w:rFonts w:ascii="Arial" w:cs="Arial" w:eastAsia="Arial" w:hAnsi="Arial"/>
          <w:b/>
          <w:bCs/>
          <w:color w:val="0D4F8B"/>
          <w:sz w:val="28"/>
          <w:szCs w:val="28"/>
        </w:rPr>
        <w:t xml:space="preserve">Dirección de Audio</w:t>
      </w:r>
    </w:p>
    <w:p>
      <w:pPr>
        <w:spacing w:after="100"/>
      </w:pPr>
      <w:r>
        <w:rPr>
          <w:rFonts w:ascii="Arial" w:cs="Arial" w:eastAsia="Arial" w:hAnsi="Arial"/>
          <w:b/>
          <w:bCs/>
          <w:sz w:val="22"/>
          <w:szCs w:val="22"/>
        </w:rPr>
        <w:t xml:space="preserve">Música de fondo: </w:t>
      </w:r>
      <w:r>
        <w:rPr>
          <w:rFonts w:ascii="Arial" w:cs="Arial" w:eastAsia="Arial" w:hAnsi="Arial"/>
          <w:sz w:val="22"/>
          <w:szCs w:val="22"/>
        </w:rPr>
        <w:t xml:space="preserve">Estilo corporate/tech, tempo medio. Tensa en escenas 1-2, resuelve a positiva en escena 3, crece en escena 5. Referencia: música de landing pages fintech (Stripe, Brex).</w:t>
      </w:r>
    </w:p>
    <w:p>
      <w:pPr>
        <w:spacing w:after="100"/>
      </w:pPr>
      <w:r>
        <w:rPr>
          <w:rFonts w:ascii="Arial" w:cs="Arial" w:eastAsia="Arial" w:hAnsi="Arial"/>
          <w:b/>
          <w:bCs/>
          <w:sz w:val="22"/>
          <w:szCs w:val="22"/>
        </w:rPr>
        <w:t xml:space="preserve">Voz: </w:t>
      </w:r>
      <w:r>
        <w:rPr>
          <w:rFonts w:ascii="Arial" w:cs="Arial" w:eastAsia="Arial" w:hAnsi="Arial"/>
          <w:sz w:val="22"/>
          <w:szCs w:val="22"/>
        </w:rPr>
        <w:t xml:space="preserve">Masculina, 35-45 años, acento neutro mexicano. Tono de asesor financiero confiable, no de vendedor. Ritmo pausado en el gancho (escena 1) y ligeramente más rápido en la solución (escena 3).</w:t>
      </w:r>
    </w:p>
    <w:p>
      <w:pPr>
        <w:spacing w:after="100"/>
      </w:pPr>
      <w:r>
        <w:rPr>
          <w:rFonts w:ascii="Arial" w:cs="Arial" w:eastAsia="Arial" w:hAnsi="Arial"/>
          <w:b/>
          <w:bCs/>
          <w:sz w:val="22"/>
          <w:szCs w:val="22"/>
        </w:rPr>
        <w:t xml:space="preserve">Efectos: </w:t>
      </w:r>
      <w:r>
        <w:rPr>
          <w:rFonts w:ascii="Arial" w:cs="Arial" w:eastAsia="Arial" w:hAnsi="Arial"/>
          <w:sz w:val="22"/>
          <w:szCs w:val="22"/>
        </w:rPr>
        <w:t xml:space="preserve">Sonido sutil de 'whoosh' en transiciones. Sonido de notificación de WhatsApp real cuando aparece la alerta (escena 4). Sonido de 'ding' cuando aparecen los KPIs.</w:t>
      </w:r>
    </w:p>
    <w:p>
      <w:pPr>
        <w:spacing w:before="400"/>
      </w:pPr>
    </w:p>
    <w:p>
      <w:pPr>
        <w:pStyle w:val="Heading1"/>
        <w:spacing w:after="200" w:before="200"/>
      </w:pPr>
      <w:r>
        <w:rPr>
          <w:rFonts w:ascii="Arial" w:cs="Arial" w:eastAsia="Arial" w:hAnsi="Arial"/>
          <w:b/>
          <w:bCs/>
          <w:color w:val="0D4F8B"/>
          <w:sz w:val="28"/>
          <w:szCs w:val="28"/>
        </w:rPr>
        <w:t xml:space="preserve">Prompt para Gemini (Veo) — Generación de Video</w:t>
      </w:r>
    </w:p>
    <w:p>
      <w:pPr>
        <w:spacing w:after="100"/>
      </w:pPr>
      <w:r>
        <w:rPr>
          <w:rFonts w:ascii="Arial" w:cs="Arial" w:eastAsia="Arial" w:hAnsi="Arial"/>
          <w:i/>
          <w:iCs/>
          <w:color w:val="666666"/>
          <w:sz w:val="20"/>
          <w:szCs w:val="20"/>
        </w:rPr>
        <w:t xml:space="preserve">Nota: Veo genera clips cortos (5-8 seg). Genera cada escena por separado y únelas en CapCut, DaVinci Resolve o similar. A continuación, los prompts por escena:</w:t>
      </w:r>
    </w:p>
    <w:p>
      <w:pPr>
        <w:spacing w:after="100" w:before="300"/>
      </w:pPr>
      <w:r>
        <w:rPr>
          <w:rFonts w:ascii="Arial" w:cs="Arial" w:eastAsia="Arial" w:hAnsi="Arial"/>
          <w:b/>
          <w:bCs/>
          <w:color w:val="0D4F8B"/>
          <w:sz w:val="22"/>
          <w:szCs w:val="22"/>
        </w:rPr>
        <w:t xml:space="preserve">Escena 1 — El Problema</w:t>
      </w:r>
    </w:p>
    <w:p>
      <w:pPr>
        <w:shd w:fill="F5F5F5" w:val="clear"/>
        <w:spacing w:after="100"/>
      </w:pPr>
      <w:r>
        <w:rPr>
          <w:rFonts w:ascii="Consolas" w:cs="Consolas" w:eastAsia="Consolas" w:hAnsi="Consolas"/>
          <w:color w:val="333333"/>
          <w:sz w:val="18"/>
          <w:szCs w:val="18"/>
        </w:rPr>
        <w:t xml:space="preserve">Smooth 2D motion graphics animation on dark navy blue background. Split screen: left side shows an animated line chart of USD/MXN exchange rate with dramatic spikes and drops, numbers changing rapidly from 17 to 22. Right side shows a stylized green profit margin bar that shrinks dramatically as the chart spikes. Large white numbers "40%" appear with impact animation. Clean fintech aesthetic, no text overlays except the numbers. 16:9, 1080p, 8 seconds.</w:t>
      </w:r>
    </w:p>
    <w:p>
      <w:pPr>
        <w:spacing w:after="100" w:before="300"/>
      </w:pPr>
      <w:r>
        <w:rPr>
          <w:rFonts w:ascii="Arial" w:cs="Arial" w:eastAsia="Arial" w:hAnsi="Arial"/>
          <w:b/>
          <w:bCs/>
          <w:color w:val="0D4F8B"/>
          <w:sz w:val="22"/>
          <w:szCs w:val="22"/>
        </w:rPr>
        <w:t xml:space="preserve">Escena 2 — Opciones Actuales</w:t>
      </w:r>
    </w:p>
    <w:p>
      <w:pPr>
        <w:shd w:fill="F5F5F5" w:val="clear"/>
        <w:spacing w:after="100"/>
      </w:pPr>
      <w:r>
        <w:rPr>
          <w:rFonts w:ascii="Consolas" w:cs="Consolas" w:eastAsia="Consolas" w:hAnsi="Consolas"/>
          <w:color w:val="333333"/>
          <w:sz w:val="18"/>
          <w:szCs w:val="18"/>
        </w:rPr>
        <w:t xml:space="preserve">2D motion graphics animation on clean white background. Three columns slide in from bottom one by one: (1) corporate building icon in gray with red X appearing over it, (2) business suit icon in gray with red X, (3) dice/roulette icon in gray with red X. Each column has a subtle shadow. Red X marks animate with a slash motion. Minimalist fintech style, navy blue and red accents. 16:9, 1080p, 8 seconds.</w:t>
      </w:r>
    </w:p>
    <w:p>
      <w:pPr>
        <w:spacing w:after="100" w:before="300"/>
      </w:pPr>
      <w:r>
        <w:rPr>
          <w:rFonts w:ascii="Arial" w:cs="Arial" w:eastAsia="Arial" w:hAnsi="Arial"/>
          <w:b/>
          <w:bCs/>
          <w:color w:val="0D4F8B"/>
          <w:sz w:val="22"/>
          <w:szCs w:val="22"/>
        </w:rPr>
        <w:t xml:space="preserve">Escena 3 — La Solución</w:t>
      </w:r>
    </w:p>
    <w:p>
      <w:pPr>
        <w:shd w:fill="F5F5F5" w:val="clear"/>
        <w:spacing w:after="100"/>
      </w:pPr>
      <w:r>
        <w:rPr>
          <w:rFonts w:ascii="Consolas" w:cs="Consolas" w:eastAsia="Consolas" w:hAnsi="Consolas"/>
          <w:color w:val="333333"/>
          <w:sz w:val="18"/>
          <w:szCs w:val="18"/>
        </w:rPr>
        <w:t xml:space="preserve">Smooth 2D motion graphics on white background transitioning to light blue gradient. Three circular icons appear sequentially connected by animated dotted lines: (1) stethoscope icon with small chart, (2) laboratory flask icon with bar chart, (3) shield icon with upward arrow. Each icon has a subtle glow animation when it appears. Color palette: navy blue (#0D4F8B), white, light blue accents. Professional fintech aesthetic. 16:9, 1080p, 8 seconds.</w:t>
      </w:r>
    </w:p>
    <w:p>
      <w:pPr>
        <w:spacing w:after="100" w:before="300"/>
      </w:pPr>
      <w:r>
        <w:rPr>
          <w:rFonts w:ascii="Arial" w:cs="Arial" w:eastAsia="Arial" w:hAnsi="Arial"/>
          <w:b/>
          <w:bCs/>
          <w:color w:val="0D4F8B"/>
          <w:sz w:val="22"/>
          <w:szCs w:val="22"/>
        </w:rPr>
        <w:t xml:space="preserve">Escena 4 — Diferenciadores</w:t>
      </w:r>
    </w:p>
    <w:p>
      <w:pPr>
        <w:shd w:fill="F5F5F5" w:val="clear"/>
        <w:spacing w:after="100"/>
      </w:pPr>
      <w:r>
        <w:rPr>
          <w:rFonts w:ascii="Consolas" w:cs="Consolas" w:eastAsia="Consolas" w:hAnsi="Consolas"/>
          <w:color w:val="333333"/>
          <w:sz w:val="18"/>
          <w:szCs w:val="18"/>
        </w:rPr>
        <w:t xml:space="preserve">2D motion graphics animation showing a smartphone mockup with a WhatsApp-style notification sliding down from top. The notification shows an alert icon and financial data. Behind the phone, animated KPI counters count upward. Clean white background with navy blue (#0D4F8B) elements. Professional fintech style with subtle particle effects. 16:9, 1080p, 8 seconds.</w:t>
      </w:r>
    </w:p>
    <w:p>
      <w:pPr>
        <w:spacing w:after="100" w:before="300"/>
      </w:pPr>
      <w:r>
        <w:rPr>
          <w:rFonts w:ascii="Arial" w:cs="Arial" w:eastAsia="Arial" w:hAnsi="Arial"/>
          <w:b/>
          <w:bCs/>
          <w:color w:val="0D4F8B"/>
          <w:sz w:val="22"/>
          <w:szCs w:val="22"/>
        </w:rPr>
        <w:t xml:space="preserve">Escena 5 — Case Study + CTA</w:t>
      </w:r>
    </w:p>
    <w:p>
      <w:pPr>
        <w:shd w:fill="F5F5F5" w:val="clear"/>
        <w:spacing w:after="100"/>
      </w:pPr>
      <w:r>
        <w:rPr>
          <w:rFonts w:ascii="Consolas" w:cs="Consolas" w:eastAsia="Consolas" w:hAnsi="Consolas"/>
          <w:color w:val="333333"/>
          <w:sz w:val="18"/>
          <w:szCs w:val="18"/>
        </w:rPr>
        <w:t xml:space="preserve">2D motion graphics on navy blue (#0D4F8B) background. Animated bar chart comparison: red bar labeled "Sin cobertura" grows tall showing loss, then green bar labeled "Con HedgePoint" appears showing protected margin. Smooth transition to centered white logo placeholder with tagline text appearing letter by letter. Clean, confident fintech animation. Subtle light rays emanating from center. 16:9, 1080p, 8 seconds.</w:t>
      </w:r>
    </w:p>
    <w:p>
      <w:pPr>
        <w:spacing w:before="400"/>
      </w:pPr>
      <w:r>
        <w:br w:type="page"/>
      </w:r>
    </w:p>
    <w:p>
      <w:pPr>
        <w:pStyle w:val="Heading1"/>
        <w:spacing w:after="200" w:before="200"/>
      </w:pPr>
      <w:r>
        <w:rPr>
          <w:rFonts w:ascii="Arial" w:cs="Arial" w:eastAsia="Arial" w:hAnsi="Arial"/>
          <w:b/>
          <w:bCs/>
          <w:color w:val="0D4F8B"/>
          <w:sz w:val="28"/>
          <w:szCs w:val="28"/>
        </w:rPr>
        <w:t xml:space="preserve">Herramientas Alternativas de Producción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000"/>
        <w:gridCol w:w="2360"/>
      </w:tblGrid>
      <w:tr>
        <w:tc>
          <w:tcPr>
            <w:tcW w:type="dxa" w:w="2200"/>
            <w:tcBorders>
              <w:top w:val="single" w:color="CCCCCC" w:sz="1"/>
              <w:left w:val="single" w:color="CCCCCC" w:sz="1"/>
              <w:bottom w:val="single" w:color="CCCCCC" w:sz="1"/>
              <w:right w:val="single" w:color="CCCCCC" w:sz="1"/>
            </w:tcBorders>
            <w:shd w:fill="0D4F8B" w:val="clear"/>
            <w:tcMar>
              <w:top w:type="dxa" w:w="80"/>
              <w:left w:type="dxa" w:w="120"/>
              <w:bottom w:type="dxa" w:w="80"/>
              <w:right w:type="dxa" w:w="120"/>
            </w:tcMar>
            <w:vAlign w:val="center"/>
          </w:tcPr>
          <w:p>
            <w:r>
              <w:rPr>
                <w:rFonts w:ascii="Arial" w:cs="Arial" w:eastAsia="Arial" w:hAnsi="Arial"/>
                <w:b/>
                <w:bCs/>
                <w:color w:val="FFFFFF"/>
                <w:sz w:val="20"/>
                <w:szCs w:val="20"/>
              </w:rPr>
              <w:t xml:space="preserve">Herramienta</w:t>
            </w:r>
          </w:p>
        </w:tc>
        <w:tc>
          <w:tcPr>
            <w:tcW w:type="dxa" w:w="2800"/>
            <w:tcBorders>
              <w:top w:val="single" w:color="CCCCCC" w:sz="1"/>
              <w:left w:val="single" w:color="CCCCCC" w:sz="1"/>
              <w:bottom w:val="single" w:color="CCCCCC" w:sz="1"/>
              <w:right w:val="single" w:color="CCCCCC" w:sz="1"/>
            </w:tcBorders>
            <w:shd w:fill="0D4F8B" w:val="clear"/>
            <w:tcMar>
              <w:top w:type="dxa" w:w="80"/>
              <w:left w:type="dxa" w:w="120"/>
              <w:bottom w:type="dxa" w:w="80"/>
              <w:right w:type="dxa" w:w="120"/>
            </w:tcMar>
            <w:vAlign w:val="center"/>
          </w:tcPr>
          <w:p>
            <w:r>
              <w:rPr>
                <w:rFonts w:ascii="Arial" w:cs="Arial" w:eastAsia="Arial" w:hAnsi="Arial"/>
                <w:b/>
                <w:bCs/>
                <w:color w:val="FFFFFF"/>
                <w:sz w:val="20"/>
                <w:szCs w:val="20"/>
              </w:rPr>
              <w:t xml:space="preserve">Para qué</w:t>
            </w:r>
          </w:p>
        </w:tc>
        <w:tc>
          <w:tcPr>
            <w:tcW w:type="dxa" w:w="2000"/>
            <w:tcBorders>
              <w:top w:val="single" w:color="CCCCCC" w:sz="1"/>
              <w:left w:val="single" w:color="CCCCCC" w:sz="1"/>
              <w:bottom w:val="single" w:color="CCCCCC" w:sz="1"/>
              <w:right w:val="single" w:color="CCCCCC" w:sz="1"/>
            </w:tcBorders>
            <w:shd w:fill="0D4F8B" w:val="clear"/>
            <w:tcMar>
              <w:top w:type="dxa" w:w="80"/>
              <w:left w:type="dxa" w:w="120"/>
              <w:bottom w:type="dxa" w:w="80"/>
              <w:right w:type="dxa" w:w="120"/>
            </w:tcMar>
            <w:vAlign w:val="center"/>
          </w:tcPr>
          <w:p>
            <w:r>
              <w:rPr>
                <w:rFonts w:ascii="Arial" w:cs="Arial" w:eastAsia="Arial" w:hAnsi="Arial"/>
                <w:b/>
                <w:bCs/>
                <w:color w:val="FFFFFF"/>
                <w:sz w:val="20"/>
                <w:szCs w:val="20"/>
              </w:rPr>
              <w:t xml:space="preserve">Costo</w:t>
            </w:r>
          </w:p>
        </w:tc>
        <w:tc>
          <w:tcPr>
            <w:tcW w:type="dxa" w:w="2360"/>
            <w:tcBorders>
              <w:top w:val="single" w:color="CCCCCC" w:sz="1"/>
              <w:left w:val="single" w:color="CCCCCC" w:sz="1"/>
              <w:bottom w:val="single" w:color="CCCCCC" w:sz="1"/>
              <w:right w:val="single" w:color="CCCCCC" w:sz="1"/>
            </w:tcBorders>
            <w:shd w:fill="0D4F8B" w:val="clear"/>
            <w:tcMar>
              <w:top w:type="dxa" w:w="80"/>
              <w:left w:type="dxa" w:w="120"/>
              <w:bottom w:type="dxa" w:w="80"/>
              <w:right w:type="dxa" w:w="120"/>
            </w:tcMar>
            <w:vAlign w:val="center"/>
          </w:tcPr>
          <w:p>
            <w:r>
              <w:rPr>
                <w:rFonts w:ascii="Arial" w:cs="Arial" w:eastAsia="Arial" w:hAnsi="Arial"/>
                <w:b/>
                <w:bCs/>
                <w:color w:val="FFFFFF"/>
                <w:sz w:val="20"/>
                <w:szCs w:val="20"/>
              </w:rPr>
              <w:t xml:space="preserve">Recomendación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Veo 2/3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Generar clips de video (5-8 seg)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Incluido en Gemini Advanced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Clips individuales por escena</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ElevenLabs</w:t>
            </w:r>
          </w:p>
        </w:tc>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Voz IA realista en español MX</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Free: 10 min/mes</w:t>
            </w:r>
          </w:p>
        </w:tc>
        <w:tc>
          <w:tcPr>
            <w:tcW w:type="dxa" w:w="2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Generar el voice-over completo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CapCut (gratis)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Edición: unir clips + voz + música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Gratis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Ensamblar todo el video</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Canva (video)</w:t>
            </w:r>
          </w:p>
        </w:tc>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Alternativa más simple de motion graphics</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Pro: ~$130 MXN/mes</w:t>
            </w:r>
          </w:p>
        </w:tc>
        <w:tc>
          <w:tcPr>
            <w:tcW w:type="dxa" w:w="2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Si Veo no da resultados suficientes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Runway ML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Generación de video IA alternativa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USD/mes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Backup si Veo no funciona</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Pixabay / Artlist</w:t>
            </w:r>
          </w:p>
        </w:tc>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Música libre de regalías</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Gratis / $16 USD/mes</w:t>
            </w:r>
          </w:p>
        </w:tc>
        <w:tc>
          <w:tcPr>
            <w:tcW w:type="dxa" w:w="2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Música de fondo</w:t>
            </w:r>
          </w:p>
        </w:tc>
      </w:tr>
    </w:tbl>
    <w:p>
      <w:pPr>
        <w:pStyle w:val="Heading1"/>
        <w:spacing w:after="200" w:before="400"/>
      </w:pPr>
      <w:r>
        <w:rPr>
          <w:rFonts w:ascii="Arial" w:cs="Arial" w:eastAsia="Arial" w:hAnsi="Arial"/>
          <w:b/>
          <w:bCs/>
          <w:color w:val="0D4F8B"/>
          <w:sz w:val="28"/>
          <w:szCs w:val="28"/>
        </w:rPr>
        <w:t xml:space="preserve">Flujo de Producción Recomendado</w:t>
      </w:r>
    </w:p>
    <w:p>
      <w:pPr>
        <w:spacing w:after="80"/>
      </w:pPr>
      <w:r>
        <w:rPr>
          <w:rFonts w:ascii="Arial" w:cs="Arial" w:eastAsia="Arial" w:hAnsi="Arial"/>
          <w:b/>
          <w:bCs/>
          <w:color w:val="0D4F8B"/>
          <w:sz w:val="22"/>
          <w:szCs w:val="22"/>
        </w:rPr>
        <w:t xml:space="preserve">1. </w:t>
      </w:r>
      <w:r>
        <w:rPr>
          <w:rFonts w:ascii="Arial" w:cs="Arial" w:eastAsia="Arial" w:hAnsi="Arial"/>
          <w:b/>
          <w:bCs/>
          <w:sz w:val="22"/>
          <w:szCs w:val="22"/>
        </w:rPr>
        <w:t xml:space="preserve">Generar voz con ElevenLabs </w:t>
      </w:r>
      <w:r>
        <w:rPr>
          <w:rFonts w:ascii="Arial" w:cs="Arial" w:eastAsia="Arial" w:hAnsi="Arial"/>
          <w:sz w:val="22"/>
          <w:szCs w:val="22"/>
        </w:rPr>
        <w:t xml:space="preserve">— copiar el texto de voz (VO) de cada escena, seleccionar voz masculina español MX, exportar como MP3.</w:t>
      </w:r>
    </w:p>
    <w:p>
      <w:pPr>
        <w:spacing w:after="80"/>
      </w:pPr>
      <w:r>
        <w:rPr>
          <w:rFonts w:ascii="Arial" w:cs="Arial" w:eastAsia="Arial" w:hAnsi="Arial"/>
          <w:b/>
          <w:bCs/>
          <w:color w:val="0D4F8B"/>
          <w:sz w:val="22"/>
          <w:szCs w:val="22"/>
        </w:rPr>
        <w:t xml:space="preserve">2. </w:t>
      </w:r>
      <w:r>
        <w:rPr>
          <w:rFonts w:ascii="Arial" w:cs="Arial" w:eastAsia="Arial" w:hAnsi="Arial"/>
          <w:b/>
          <w:bCs/>
          <w:sz w:val="22"/>
          <w:szCs w:val="22"/>
        </w:rPr>
        <w:t xml:space="preserve">Generar clips con Gemini Veo </w:t>
      </w:r>
      <w:r>
        <w:rPr>
          <w:rFonts w:ascii="Arial" w:cs="Arial" w:eastAsia="Arial" w:hAnsi="Arial"/>
          <w:sz w:val="22"/>
          <w:szCs w:val="22"/>
        </w:rPr>
        <w:t xml:space="preserve">— usar los prompts de arriba, un clip por escena. Regenerar hasta obtener resultado limpio.</w:t>
      </w:r>
    </w:p>
    <w:p>
      <w:pPr>
        <w:spacing w:after="80"/>
      </w:pPr>
      <w:r>
        <w:rPr>
          <w:rFonts w:ascii="Arial" w:cs="Arial" w:eastAsia="Arial" w:hAnsi="Arial"/>
          <w:b/>
          <w:bCs/>
          <w:color w:val="0D4F8B"/>
          <w:sz w:val="22"/>
          <w:szCs w:val="22"/>
        </w:rPr>
        <w:t xml:space="preserve">3. </w:t>
      </w:r>
      <w:r>
        <w:rPr>
          <w:rFonts w:ascii="Arial" w:cs="Arial" w:eastAsia="Arial" w:hAnsi="Arial"/>
          <w:b/>
          <w:bCs/>
          <w:sz w:val="22"/>
          <w:szCs w:val="22"/>
        </w:rPr>
        <w:t xml:space="preserve">Ensamblar en CapCut </w:t>
      </w:r>
      <w:r>
        <w:rPr>
          <w:rFonts w:ascii="Arial" w:cs="Arial" w:eastAsia="Arial" w:hAnsi="Arial"/>
          <w:sz w:val="22"/>
          <w:szCs w:val="22"/>
        </w:rPr>
        <w:t xml:space="preserve">— importar clips + voz + música de fondo. Agregar textos en español sobre los clips (números, etiquetas). Ajustar timing de voz con visual.</w:t>
      </w:r>
    </w:p>
    <w:p>
      <w:pPr>
        <w:spacing w:after="80"/>
      </w:pPr>
      <w:r>
        <w:rPr>
          <w:rFonts w:ascii="Arial" w:cs="Arial" w:eastAsia="Arial" w:hAnsi="Arial"/>
          <w:b/>
          <w:bCs/>
          <w:color w:val="0D4F8B"/>
          <w:sz w:val="22"/>
          <w:szCs w:val="22"/>
        </w:rPr>
        <w:t xml:space="preserve">4. </w:t>
      </w:r>
      <w:r>
        <w:rPr>
          <w:rFonts w:ascii="Arial" w:cs="Arial" w:eastAsia="Arial" w:hAnsi="Arial"/>
          <w:b/>
          <w:bCs/>
          <w:sz w:val="22"/>
          <w:szCs w:val="22"/>
        </w:rPr>
        <w:t xml:space="preserve">Agregar logo y CTA final </w:t>
      </w:r>
      <w:r>
        <w:rPr>
          <w:rFonts w:ascii="Arial" w:cs="Arial" w:eastAsia="Arial" w:hAnsi="Arial"/>
          <w:sz w:val="22"/>
          <w:szCs w:val="22"/>
        </w:rPr>
        <w:t xml:space="preserve">— pantalla final con logo HedgePoint, tagline, y datos de contacto o QR. Dejar 3 segundos estáticos.</w:t>
      </w:r>
    </w:p>
    <w:p>
      <w:pPr>
        <w:spacing w:after="80"/>
      </w:pPr>
      <w:r>
        <w:rPr>
          <w:rFonts w:ascii="Arial" w:cs="Arial" w:eastAsia="Arial" w:hAnsi="Arial"/>
          <w:b/>
          <w:bCs/>
          <w:color w:val="0D4F8B"/>
          <w:sz w:val="22"/>
          <w:szCs w:val="22"/>
        </w:rPr>
        <w:t xml:space="preserve">5. </w:t>
      </w:r>
      <w:r>
        <w:rPr>
          <w:rFonts w:ascii="Arial" w:cs="Arial" w:eastAsia="Arial" w:hAnsi="Arial"/>
          <w:b/>
          <w:bCs/>
          <w:sz w:val="22"/>
          <w:szCs w:val="22"/>
        </w:rPr>
        <w:t xml:space="preserve">Exportar </w:t>
      </w:r>
      <w:r>
        <w:rPr>
          <w:rFonts w:ascii="Arial" w:cs="Arial" w:eastAsia="Arial" w:hAnsi="Arial"/>
          <w:sz w:val="22"/>
          <w:szCs w:val="22"/>
        </w:rPr>
        <w:t xml:space="preserve">— 1920x1080, MP4, para presentación en reunión.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D4F8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2026-04-28T02:23:44.624Z</dcterms:created>
  <dcterms:modified xsi:type="dcterms:W3CDTF">2026-04-28T02:23:44.625Z</dcterms:modified>
</cp:coreProperties>
</file>

<file path=docProps/custom.xml><?xml version="1.0" encoding="utf-8"?>
<Properties xmlns="http://schemas.openxmlformats.org/officeDocument/2006/custom-properties" xmlns:vt="http://schemas.openxmlformats.org/officeDocument/2006/docPropsVTypes"/>
</file>