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rFonts w:ascii="Arial" w:cs="Arial" w:eastAsia="Arial" w:hAnsi="Arial"/>
          <w:b/>
          <w:bCs/>
          <w:color w:val="0D4F8B"/>
          <w:sz w:val="44"/>
          <w:szCs w:val="44"/>
        </w:rPr>
        <w:t xml:space="preserve">HEDGEPOINT MX</w:t>
      </w:r>
    </w:p>
    <w:p>
      <w:pPr>
        <w:spacing w:after="100"/>
        <w:jc w:val="center"/>
      </w:pPr>
      <w:r>
        <w:rPr>
          <w:rFonts w:ascii="Arial" w:cs="Arial" w:eastAsia="Arial" w:hAnsi="Arial"/>
          <w:color w:val="444444"/>
          <w:sz w:val="26"/>
          <w:szCs w:val="26"/>
        </w:rPr>
        <w:t xml:space="preserve">Consultoría en Gestión de Riesgos Financieros para PyMEs</w:t>
      </w:r>
    </w:p>
    <w:p>
      <w:pPr>
        <w:spacing w:after="100"/>
        <w:jc w:val="center"/>
      </w:pPr>
      <w:r>
        <w:rPr>
          <w:rFonts w:ascii="Arial" w:cs="Arial" w:eastAsia="Arial" w:hAnsi="Arial"/>
          <w:i/>
          <w:iCs/>
          <w:color w:val="666666"/>
          <w:sz w:val="22"/>
          <w:szCs w:val="22"/>
        </w:rPr>
        <w:t xml:space="preserve">Resumen Ejecutivo: Problema, Solución y Propuesta de Valor</w:t>
      </w:r>
    </w:p>
    <w:p>
      <w:pPr>
        <w:spacing w:after="600"/>
        <w:jc w:val="center"/>
      </w:pPr>
      <w:r>
        <w:rPr>
          <w:rFonts w:ascii="Arial" w:cs="Arial" w:eastAsia="Arial" w:hAnsi="Arial"/>
          <w:color w:val="888888"/>
          <w:sz w:val="20"/>
          <w:szCs w:val="20"/>
        </w:rPr>
        <w:t xml:space="preserve">Abril 2026</w:t>
      </w:r>
    </w:p>
    <w:p>
      <w:pPr>
        <w:pBdr>
          <w:bottom w:val="single" w:color="0D4F8B" w:sz="6" w:space="1"/>
        </w:pBdr>
        <w:spacing w:after="400"/>
      </w:pPr>
    </w:p>
    <w:p>
      <w:pPr>
        <w:pStyle w:val="Heading1"/>
        <w:spacing w:after="200" w:before="360"/>
      </w:pPr>
      <w:r>
        <w:rPr>
          <w:rFonts w:ascii="Arial" w:cs="Arial" w:eastAsia="Arial" w:hAnsi="Arial"/>
          <w:b/>
          <w:bCs/>
          <w:color w:val="0D4F8B"/>
          <w:sz w:val="28"/>
          <w:szCs w:val="28"/>
        </w:rPr>
        <w:t xml:space="preserve">1. El Problema: Exposición Cambiaria No Gestionada</w:t>
      </w:r>
    </w:p>
    <w:p>
      <w:pPr>
        <w:spacing w:after="120"/>
      </w:pPr>
      <w:r>
        <w:rPr>
          <w:rFonts w:ascii="Arial" w:cs="Arial" w:eastAsia="Arial" w:hAnsi="Arial"/>
          <w:sz w:val="22"/>
          <w:szCs w:val="22"/>
        </w:rPr>
        <w:t xml:space="preserve">El 98.6% de las empresas en México son PyMEs. Miles de ellas importan o exportan sin ninguna estrategia de cobertura cambiaria. Cuando el tipo de cambio USD/MXN se mueve 5-10%, sus márgenes de ganancia desaparecen.</w:t>
      </w:r>
    </w:p>
    <w:p>
      <w:pPr>
        <w:pStyle w:val="Heading2"/>
        <w:spacing w:after="120" w:before="240"/>
      </w:pPr>
      <w:r>
        <w:rPr>
          <w:rFonts w:ascii="Arial" w:cs="Arial" w:eastAsia="Arial" w:hAnsi="Arial"/>
          <w:b/>
          <w:bCs/>
          <w:color w:val="0D4F8B"/>
          <w:sz w:val="24"/>
          <w:szCs w:val="24"/>
        </w:rPr>
        <w:t xml:space="preserve">Ejemplo concreto del impacto</w:t>
      </w:r>
    </w:p>
    <w:p>
      <w:pPr>
        <w:spacing w:after="120"/>
      </w:pPr>
      <w:r>
        <w:rPr>
          <w:rFonts w:ascii="Arial" w:cs="Arial" w:eastAsia="Arial" w:hAnsi="Arial"/>
          <w:sz w:val="22"/>
          <w:szCs w:val="22"/>
        </w:rPr>
        <w:t xml:space="preserve">Un importador mediano que compra $300,000 USD al mes en insumos con un margen operativo del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D4F8B" w:val="clear"/>
            <w:tcMar>
              <w:top w:type="dxa" w:w="80"/>
              <w:left w:type="dxa" w:w="120"/>
              <w:bottom w:type="dxa" w:w="80"/>
              <w:right w:type="dxa" w:w="120"/>
            </w:tcMar>
          </w:tcPr>
          <w:p>
            <w:r>
              <w:rPr>
                <w:rFonts w:ascii="Arial" w:cs="Arial" w:eastAsia="Arial" w:hAnsi="Arial"/>
                <w:b/>
                <w:bCs/>
                <w:color w:val="FFFFFF"/>
                <w:sz w:val="20"/>
                <w:szCs w:val="20"/>
              </w:rPr>
              <w:t xml:space="preserve">Escenario</w:t>
            </w:r>
          </w:p>
        </w:tc>
        <w:tc>
          <w:tcPr>
            <w:tcW w:type="dxa" w:w="4680"/>
            <w:tcBorders>
              <w:top w:val="single" w:color="CCCCCC" w:sz="1"/>
              <w:left w:val="single" w:color="CCCCCC" w:sz="1"/>
              <w:bottom w:val="single" w:color="CCCCCC" w:sz="1"/>
              <w:right w:val="single" w:color="CCCCCC" w:sz="1"/>
            </w:tcBorders>
            <w:shd w:fill="0D4F8B" w:val="clear"/>
            <w:tcMar>
              <w:top w:type="dxa" w:w="80"/>
              <w:left w:type="dxa" w:w="120"/>
              <w:bottom w:type="dxa" w:w="80"/>
              <w:right w:type="dxa" w:w="120"/>
            </w:tcMar>
          </w:tcPr>
          <w:p>
            <w:r>
              <w:rPr>
                <w:rFonts w:ascii="Arial" w:cs="Arial" w:eastAsia="Arial" w:hAnsi="Arial"/>
                <w:b/>
                <w:bCs/>
                <w:color w:val="FFFFFF"/>
                <w:sz w:val="20"/>
                <w:szCs w:val="20"/>
              </w:rPr>
              <w:t xml:space="preserve">Impacto en el margen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Dólar sube 5% (de $17.50 a $18.38)</w:t>
            </w:r>
          </w:p>
        </w:tc>
        <w:tc>
          <w:tcPr>
            <w:tcW w:type="dxa" w:w="468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r>
              <w:rPr>
                <w:rFonts w:ascii="Arial" w:cs="Arial" w:eastAsia="Arial" w:hAnsi="Arial"/>
                <w:sz w:val="20"/>
                <w:szCs w:val="20"/>
              </w:rPr>
              <w:t xml:space="preserve">Pierde $262,500 MXN en un mes. Margen baja de 15% a 11.7%.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Dólar sube 10% (de $17.50 a $19.25)</w:t>
            </w:r>
          </w:p>
        </w:tc>
        <w:tc>
          <w:tcPr>
            <w:tcW w:type="dxa" w:w="468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r>
              <w:rPr>
                <w:rFonts w:ascii="Arial" w:cs="Arial" w:eastAsia="Arial" w:hAnsi="Arial"/>
                <w:sz w:val="20"/>
                <w:szCs w:val="20"/>
              </w:rPr>
              <w:t xml:space="preserve">Pierde $525,000 MXN en un mes. Margen baja de 15% a 8.3%.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Escenario COVID 2020 (+25%)</w:t>
            </w:r>
          </w:p>
        </w:tc>
        <w:tc>
          <w:tcPr>
            <w:tcW w:type="dxa" w:w="468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sz w:val="20"/>
                <w:szCs w:val="20"/>
              </w:rPr>
              <w:t xml:space="preserve">Pierde más de $1,300,000 MXN en un mes. Margen se vuelve negativo.</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Estos no son números teóricos. En los últimos 5 años, el tipo de cambio USD/MXN ha tenido movimientos de más del 25% (COVID 2020), 15% (aranceles Trump 2025), y oscilaciones frecuentes de 5-8%. Un importador sin cobertura está apostando su rentabilidad cada mes.</w:t>
      </w:r>
    </w:p>
    <w:p>
      <w:pPr>
        <w:pStyle w:val="Heading2"/>
        <w:spacing w:after="120" w:before="240"/>
      </w:pPr>
      <w:r>
        <w:rPr>
          <w:rFonts w:ascii="Arial" w:cs="Arial" w:eastAsia="Arial" w:hAnsi="Arial"/>
          <w:b/>
          <w:bCs/>
          <w:color w:val="0D4F8B"/>
          <w:sz w:val="24"/>
          <w:szCs w:val="24"/>
        </w:rPr>
        <w:t xml:space="preserve">El problema se agrava porque las PyMEs no tienen opciones accesibles</w:t>
      </w:r>
    </w:p>
    <w:p>
      <w:pPr>
        <w:spacing w:after="120"/>
      </w:pPr>
      <w:r>
        <w:rPr>
          <w:rFonts w:ascii="Arial" w:cs="Arial" w:eastAsia="Arial" w:hAnsi="Arial"/>
          <w:b/>
          <w:bCs/>
          <w:sz w:val="22"/>
          <w:szCs w:val="22"/>
        </w:rPr>
        <w:t xml:space="preserve">Bancos comerciales: </w:t>
      </w:r>
      <w:r>
        <w:rPr>
          <w:rFonts w:ascii="Arial" w:cs="Arial" w:eastAsia="Arial" w:hAnsi="Arial"/>
          <w:sz w:val="22"/>
          <w:szCs w:val="22"/>
        </w:rPr>
        <w:t xml:space="preserve">Ofrecen derivados (forwards, opciones) pero con montos mínimos de $500,000 USD por operación, spreads de 5-20 centavos por dólar, y cero análisis de timing. No le dicen al cliente cuándo cubrirse ni con qué estrategia. Simplemente ejecutan la orden.</w:t>
      </w:r>
    </w:p>
    <w:p>
      <w:pPr>
        <w:spacing w:after="120"/>
      </w:pPr>
      <w:r>
        <w:rPr>
          <w:rFonts w:ascii="Arial" w:cs="Arial" w:eastAsia="Arial" w:hAnsi="Arial"/>
          <w:b/>
          <w:bCs/>
          <w:sz w:val="22"/>
          <w:szCs w:val="22"/>
        </w:rPr>
        <w:t xml:space="preserve">Consultoras grandes (Big 4): </w:t>
      </w:r>
      <w:r>
        <w:rPr>
          <w:rFonts w:ascii="Arial" w:cs="Arial" w:eastAsia="Arial" w:hAnsi="Arial"/>
          <w:sz w:val="22"/>
          <w:szCs w:val="22"/>
        </w:rPr>
        <w:t xml:space="preserve">Ofrecen análisis sofisticado pero cobran $200,000+ MXN por proyecto. Fuera del alcance de una PyME con facturación de $50-200M MXN al año.</w:t>
      </w:r>
    </w:p>
    <w:p>
      <w:pPr>
        <w:spacing w:after="120"/>
      </w:pPr>
      <w:r>
        <w:rPr>
          <w:rFonts w:ascii="Arial" w:cs="Arial" w:eastAsia="Arial" w:hAnsi="Arial"/>
          <w:b/>
          <w:bCs/>
          <w:sz w:val="22"/>
          <w:szCs w:val="22"/>
        </w:rPr>
        <w:t xml:space="preserve">No hacer nada: </w:t>
      </w:r>
      <w:r>
        <w:rPr>
          <w:rFonts w:ascii="Arial" w:cs="Arial" w:eastAsia="Arial" w:hAnsi="Arial"/>
          <w:sz w:val="22"/>
          <w:szCs w:val="22"/>
        </w:rPr>
        <w:t xml:space="preserve">La opción que elige el 98% de las PyMEs. Esperan que el tipo de cambio no se mueva. Eso no es una estrategia, es una apuesta.</w:t>
      </w:r>
    </w:p>
    <w:p>
      <w:pPr>
        <w:spacing w:after="120"/>
      </w:pPr>
      <w:r>
        <w:rPr>
          <w:rFonts w:ascii="Arial" w:cs="Arial" w:eastAsia="Arial" w:hAnsi="Arial"/>
          <w:b/>
          <w:bCs/>
          <w:sz w:val="22"/>
          <w:szCs w:val="22"/>
        </w:rPr>
        <w:t xml:space="preserve">Falta de educación financiera: </w:t>
      </w:r>
      <w:r>
        <w:rPr>
          <w:rFonts w:ascii="Arial" w:cs="Arial" w:eastAsia="Arial" w:hAnsi="Arial"/>
          <w:sz w:val="22"/>
          <w:szCs w:val="22"/>
        </w:rPr>
        <w:t xml:space="preserve">Los dueños de PyMEs asocian 'derivados financieros' con especulación y riesgo, no con protección. Nadie les ha explicado que un forward es un seguro, no una apuesta.</w:t>
      </w:r>
    </w:p>
    <w:p>
      <w:r>
        <w:br w:type="page"/>
      </w:r>
    </w:p>
    <w:p>
      <w:pPr>
        <w:pStyle w:val="Heading1"/>
        <w:spacing w:after="200" w:before="360"/>
      </w:pPr>
      <w:r>
        <w:rPr>
          <w:rFonts w:ascii="Arial" w:cs="Arial" w:eastAsia="Arial" w:hAnsi="Arial"/>
          <w:b/>
          <w:bCs/>
          <w:color w:val="0D4F8B"/>
          <w:sz w:val="28"/>
          <w:szCs w:val="28"/>
        </w:rPr>
        <w:t xml:space="preserve">2. El Costo de No Actuar</w:t>
      </w:r>
    </w:p>
    <w:p>
      <w:pPr>
        <w:spacing w:after="120"/>
      </w:pPr>
      <w:r>
        <w:rPr>
          <w:rFonts w:ascii="Arial" w:cs="Arial" w:eastAsia="Arial" w:hAnsi="Arial"/>
          <w:sz w:val="22"/>
          <w:szCs w:val="22"/>
        </w:rPr>
        <w:t xml:space="preserve">Datos de backtesting con información real de Banxico (5 años, 2020-2025):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D4F8B" w:val="clear"/>
            <w:tcMar>
              <w:top w:type="dxa" w:w="80"/>
              <w:left w:type="dxa" w:w="120"/>
              <w:bottom w:type="dxa" w:w="80"/>
              <w:right w:type="dxa" w:w="120"/>
            </w:tcMar>
          </w:tcPr>
          <w:p>
            <w:r>
              <w:rPr>
                <w:rFonts w:ascii="Arial" w:cs="Arial" w:eastAsia="Arial" w:hAnsi="Arial"/>
                <w:b/>
                <w:bCs/>
                <w:color w:val="FFFFFF"/>
                <w:sz w:val="20"/>
                <w:szCs w:val="20"/>
              </w:rPr>
              <w:t xml:space="preserve">Período</w:t>
            </w:r>
          </w:p>
        </w:tc>
        <w:tc>
          <w:tcPr>
            <w:tcW w:type="dxa" w:w="2340"/>
            <w:tcBorders>
              <w:top w:val="single" w:color="CCCCCC" w:sz="1"/>
              <w:left w:val="single" w:color="CCCCCC" w:sz="1"/>
              <w:bottom w:val="single" w:color="CCCCCC" w:sz="1"/>
              <w:right w:val="single" w:color="CCCCCC" w:sz="1"/>
            </w:tcBorders>
            <w:shd w:fill="0D4F8B" w:val="clear"/>
            <w:tcMar>
              <w:top w:type="dxa" w:w="80"/>
              <w:left w:type="dxa" w:w="120"/>
              <w:bottom w:type="dxa" w:w="80"/>
              <w:right w:type="dxa" w:w="120"/>
            </w:tcMar>
          </w:tcPr>
          <w:p>
            <w:r>
              <w:rPr>
                <w:rFonts w:ascii="Arial" w:cs="Arial" w:eastAsia="Arial" w:hAnsi="Arial"/>
                <w:b/>
                <w:bCs/>
                <w:color w:val="FFFFFF"/>
                <w:sz w:val="20"/>
                <w:szCs w:val="20"/>
              </w:rPr>
              <w:t xml:space="preserve">Movimiento TC</w:t>
            </w:r>
          </w:p>
        </w:tc>
        <w:tc>
          <w:tcPr>
            <w:tcW w:type="dxa" w:w="2340"/>
            <w:tcBorders>
              <w:top w:val="single" w:color="CCCCCC" w:sz="1"/>
              <w:left w:val="single" w:color="CCCCCC" w:sz="1"/>
              <w:bottom w:val="single" w:color="CCCCCC" w:sz="1"/>
              <w:right w:val="single" w:color="CCCCCC" w:sz="1"/>
            </w:tcBorders>
            <w:shd w:fill="0D4F8B" w:val="clear"/>
            <w:tcMar>
              <w:top w:type="dxa" w:w="80"/>
              <w:left w:type="dxa" w:w="120"/>
              <w:bottom w:type="dxa" w:w="80"/>
              <w:right w:type="dxa" w:w="120"/>
            </w:tcMar>
          </w:tcPr>
          <w:p>
            <w:r>
              <w:rPr>
                <w:rFonts w:ascii="Arial" w:cs="Arial" w:eastAsia="Arial" w:hAnsi="Arial"/>
                <w:b/>
                <w:bCs/>
                <w:color w:val="FFFFFF"/>
                <w:sz w:val="20"/>
                <w:szCs w:val="20"/>
              </w:rPr>
              <w:t xml:space="preserve">Pérdida sin cobertura*</w:t>
            </w:r>
          </w:p>
        </w:tc>
        <w:tc>
          <w:tcPr>
            <w:tcW w:type="dxa" w:w="2340"/>
            <w:tcBorders>
              <w:top w:val="single" w:color="CCCCCC" w:sz="1"/>
              <w:left w:val="single" w:color="CCCCCC" w:sz="1"/>
              <w:bottom w:val="single" w:color="CCCCCC" w:sz="1"/>
              <w:right w:val="single" w:color="CCCCCC" w:sz="1"/>
            </w:tcBorders>
            <w:shd w:fill="0D4F8B" w:val="clear"/>
            <w:tcMar>
              <w:top w:type="dxa" w:w="80"/>
              <w:left w:type="dxa" w:w="120"/>
              <w:bottom w:type="dxa" w:w="80"/>
              <w:right w:type="dxa" w:w="120"/>
            </w:tcMar>
          </w:tcPr>
          <w:p>
            <w:r>
              <w:rPr>
                <w:rFonts w:ascii="Arial" w:cs="Arial" w:eastAsia="Arial" w:hAnsi="Arial"/>
                <w:b/>
                <w:bCs/>
                <w:color w:val="FFFFFF"/>
                <w:sz w:val="20"/>
                <w:szCs w:val="20"/>
              </w:rPr>
              <w:t xml:space="preserve">Costo de protección**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COVID Mar-Abr 2020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 en 6 semanas</w:t>
            </w:r>
          </w:p>
        </w:tc>
        <w:tc>
          <w:tcPr>
            <w:tcW w:type="dxa" w:w="234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sz w:val="20"/>
                <w:szCs w:val="20"/>
              </w:rPr>
              <w:t xml:space="preserve">$2,100,000 MXN</w:t>
            </w:r>
          </w:p>
        </w:tc>
        <w:tc>
          <w:tcPr>
            <w:tcW w:type="dxa" w:w="2340"/>
            <w:tcBorders>
              <w:top w:val="single" w:color="CCCCCC" w:sz="1"/>
              <w:left w:val="single" w:color="CCCCCC" w:sz="1"/>
              <w:bottom w:val="single" w:color="CCCCCC" w:sz="1"/>
              <w:right w:val="single" w:color="CCCCCC" w:sz="1"/>
            </w:tcBorders>
            <w:shd w:fill="E8F8E8" w:val="clear"/>
            <w:tcMar>
              <w:top w:type="dxa" w:w="80"/>
              <w:left w:type="dxa" w:w="120"/>
              <w:bottom w:type="dxa" w:w="80"/>
              <w:right w:type="dxa" w:w="120"/>
            </w:tcMar>
          </w:tcPr>
          <w:p>
            <w:r>
              <w:rPr>
                <w:rFonts w:ascii="Arial" w:cs="Arial" w:eastAsia="Arial" w:hAnsi="Arial"/>
                <w:sz w:val="20"/>
                <w:szCs w:val="20"/>
              </w:rPr>
              <w:t xml:space="preserve">$180,000 MXN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Trump aranceles 2025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en 3 meses</w:t>
            </w:r>
          </w:p>
        </w:tc>
        <w:tc>
          <w:tcPr>
            <w:tcW w:type="dxa" w:w="234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sz w:val="20"/>
                <w:szCs w:val="20"/>
              </w:rPr>
              <w:t xml:space="preserve">$1,350,000 MXN</w:t>
            </w:r>
          </w:p>
        </w:tc>
        <w:tc>
          <w:tcPr>
            <w:tcW w:type="dxa" w:w="2340"/>
            <w:tcBorders>
              <w:top w:val="single" w:color="CCCCCC" w:sz="1"/>
              <w:left w:val="single" w:color="CCCCCC" w:sz="1"/>
              <w:bottom w:val="single" w:color="CCCCCC" w:sz="1"/>
              <w:right w:val="single" w:color="CCCCCC" w:sz="1"/>
            </w:tcBorders>
            <w:shd w:fill="E8F8E8" w:val="clear"/>
            <w:tcMar>
              <w:top w:type="dxa" w:w="80"/>
              <w:left w:type="dxa" w:w="120"/>
              <w:bottom w:type="dxa" w:w="80"/>
              <w:right w:type="dxa" w:w="120"/>
            </w:tcMar>
          </w:tcPr>
          <w:p>
            <w:r>
              <w:rPr>
                <w:rFonts w:ascii="Arial" w:cs="Arial" w:eastAsia="Arial" w:hAnsi="Arial"/>
                <w:sz w:val="20"/>
                <w:szCs w:val="20"/>
              </w:rPr>
              <w:t xml:space="preserve">$145,000 MXN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Volatilidad típica mensual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w:t>
            </w:r>
          </w:p>
        </w:tc>
        <w:tc>
          <w:tcPr>
            <w:tcW w:type="dxa" w:w="234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r>
              <w:rPr>
                <w:rFonts w:ascii="Arial" w:cs="Arial" w:eastAsia="Arial" w:hAnsi="Arial"/>
                <w:sz w:val="20"/>
                <w:szCs w:val="20"/>
              </w:rPr>
              <w:t xml:space="preserve">$150,000-$525,000 MXN</w:t>
            </w:r>
          </w:p>
        </w:tc>
        <w:tc>
          <w:tcPr>
            <w:tcW w:type="dxa" w:w="2340"/>
            <w:tcBorders>
              <w:top w:val="single" w:color="CCCCCC" w:sz="1"/>
              <w:left w:val="single" w:color="CCCCCC" w:sz="1"/>
              <w:bottom w:val="single" w:color="CCCCCC" w:sz="1"/>
              <w:right w:val="single" w:color="CCCCCC" w:sz="1"/>
            </w:tcBorders>
            <w:shd w:fill="E8F8E8" w:val="clear"/>
            <w:tcMar>
              <w:top w:type="dxa" w:w="80"/>
              <w:left w:type="dxa" w:w="120"/>
              <w:bottom w:type="dxa" w:w="80"/>
              <w:right w:type="dxa" w:w="120"/>
            </w:tcMar>
          </w:tcPr>
          <w:p>
            <w:r>
              <w:rPr>
                <w:rFonts w:ascii="Arial" w:cs="Arial" w:eastAsia="Arial" w:hAnsi="Arial"/>
                <w:sz w:val="20"/>
                <w:szCs w:val="20"/>
              </w:rPr>
              <w:t xml:space="preserve">$35,000-$60,000 MXN</w:t>
            </w:r>
          </w:p>
        </w:tc>
      </w:tr>
    </w:tbl>
    <w:p>
      <w:pPr>
        <w:spacing w:after="120"/>
      </w:pPr>
      <w:r>
        <w:rPr>
          <w:rFonts w:ascii="Arial" w:cs="Arial" w:eastAsia="Arial" w:hAnsi="Arial"/>
          <w:i/>
          <w:iCs/>
          <w:color w:val="666666"/>
          <w:sz w:val="22"/>
          <w:szCs w:val="22"/>
        </w:rPr>
        <w:t xml:space="preserve">*Calculado para importador con $300K USD/mes, margen 15%. **Costo promedio de forward 30 días incluyendo prima por diferencial de tasas TIIE/SOFR.</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El costo de no cubrirse no es el costo promedio. Es el costo del peor mes. Un solo mes malo puede borrar la rentabilidad de un trimestre completo. La pregunta correcta no es '¿cuánto ahorro con coberturas?' sino '¿cuánto puedo perder sin ellas?'</w:t>
      </w:r>
    </w:p>
    <w:p>
      <w:pPr>
        <w:pStyle w:val="Heading1"/>
        <w:spacing w:after="200" w:before="360"/>
      </w:pPr>
      <w:r>
        <w:rPr>
          <w:rFonts w:ascii="Arial" w:cs="Arial" w:eastAsia="Arial" w:hAnsi="Arial"/>
          <w:b/>
          <w:bCs/>
          <w:color w:val="0D4F8B"/>
          <w:sz w:val="28"/>
          <w:szCs w:val="28"/>
        </w:rPr>
        <w:t xml:space="preserve">3. La Solución: HedgePoint MX</w:t>
      </w:r>
    </w:p>
    <w:p>
      <w:pPr>
        <w:spacing w:after="120"/>
      </w:pPr>
      <w:r>
        <w:rPr>
          <w:rFonts w:ascii="Arial" w:cs="Arial" w:eastAsia="Arial" w:hAnsi="Arial"/>
          <w:sz w:val="22"/>
          <w:szCs w:val="22"/>
        </w:rPr>
        <w:t xml:space="preserve">HedgePoint MX es una consultora de gestión de riesgos financieros que usa agentes de inteligencia artificial para proteger la rentabilidad de PyMEs mexicanas frente a la volatilidad del tipo de cambio y precios de commodities.</w:t>
      </w:r>
    </w:p>
    <w:p>
      <w:pPr>
        <w:spacing w:after="120"/>
      </w:pPr>
      <w:r>
        <w:rPr>
          <w:rFonts w:ascii="Arial" w:cs="Arial" w:eastAsia="Arial" w:hAnsi="Arial"/>
          <w:b/>
          <w:bCs/>
          <w:sz w:val="22"/>
          <w:szCs w:val="22"/>
        </w:rPr>
        <w:t xml:space="preserve">Actuamos como asesor independiente: diagnosticamos la exposición real del cliente y recomendamos la estrategia óptima. El cliente ejecuta la cobertura directo con su banco. Nosotros somos el doctor que diagnostica y receta el tratamiento correcto, no la farmacia que siempre vende el mismo medicamento.</w:t>
      </w:r>
    </w:p>
    <w:p>
      <w:pPr>
        <w:pStyle w:val="Heading2"/>
        <w:spacing w:after="120" w:before="240"/>
      </w:pPr>
      <w:r>
        <w:rPr>
          <w:rFonts w:ascii="Arial" w:cs="Arial" w:eastAsia="Arial" w:hAnsi="Arial"/>
          <w:b/>
          <w:bCs/>
          <w:color w:val="0D4F8B"/>
          <w:sz w:val="24"/>
          <w:szCs w:val="24"/>
        </w:rPr>
        <w:t xml:space="preserve">Cómo funciona — 3 pasos</w:t>
      </w:r>
    </w:p>
    <w:p>
      <w:pPr>
        <w:spacing w:after="120"/>
      </w:pPr>
      <w:r>
        <w:rPr>
          <w:rFonts w:ascii="Arial" w:cs="Arial" w:eastAsia="Arial" w:hAnsi="Arial"/>
          <w:b/>
          <w:bCs/>
          <w:sz w:val="22"/>
          <w:szCs w:val="22"/>
        </w:rPr>
        <w:t xml:space="preserve">Paso 1 — Diagnóstico de exposición: </w:t>
      </w:r>
      <w:r>
        <w:rPr>
          <w:rFonts w:ascii="Arial" w:cs="Arial" w:eastAsia="Arial" w:hAnsi="Arial"/>
          <w:sz w:val="22"/>
          <w:szCs w:val="22"/>
        </w:rPr>
        <w:t xml:space="preserve">Analizamos cuánto compra o vende el cliente en dólares, su margen operativo, su historial de pagos, y la sensibilidad de su negocio al tipo de cambio. El resultado es un reporte PDF de 5 páginas con la radiografía financiera completa: exposición anual en MXN, pérdida potencial en escenarios de 5%, 10% y 15% de depreciación, y si su margen está en riesgo crítico. Este diagnóstico es gratuito.</w:t>
      </w:r>
    </w:p>
    <w:p>
      <w:pPr>
        <w:spacing w:after="120"/>
      </w:pPr>
      <w:r>
        <w:rPr>
          <w:rFonts w:ascii="Arial" w:cs="Arial" w:eastAsia="Arial" w:hAnsi="Arial"/>
          <w:b/>
          <w:bCs/>
          <w:sz w:val="22"/>
          <w:szCs w:val="22"/>
        </w:rPr>
        <w:t xml:space="preserve">Paso 2 — Simulación de estrategias: </w:t>
      </w:r>
      <w:r>
        <w:rPr>
          <w:rFonts w:ascii="Arial" w:cs="Arial" w:eastAsia="Arial" w:hAnsi="Arial"/>
          <w:sz w:val="22"/>
          <w:szCs w:val="22"/>
        </w:rPr>
        <w:t xml:space="preserve">Usando datos históricos reales de 5 años del tipo de cambio (fuente: Banxico), simulamos 3 estrategias de cobertura con los números específicos del cliente: forwards (precio fijo garantizado), opciones put (seguro con techo de pérdida), y collares (protección parcial a bajo costo). El simulador muestra mes por mes cuánto habría costado cada estrategia y cuál combinación es óptima según el perfil de riesgo del cliente. También simulamos escenarios específicos: '¿qué pasa si el dólar sube a $22?' con impacto calculado al centavo.</w:t>
      </w:r>
    </w:p>
    <w:p>
      <w:pPr>
        <w:spacing w:after="120"/>
      </w:pPr>
      <w:r>
        <w:rPr>
          <w:rFonts w:ascii="Arial" w:cs="Arial" w:eastAsia="Arial" w:hAnsi="Arial"/>
          <w:b/>
          <w:bCs/>
          <w:sz w:val="22"/>
          <w:szCs w:val="22"/>
        </w:rPr>
        <w:t xml:space="preserve">Paso 3 — Protección continua: </w:t>
      </w:r>
      <w:r>
        <w:rPr>
          <w:rFonts w:ascii="Arial" w:cs="Arial" w:eastAsia="Arial" w:hAnsi="Arial"/>
          <w:sz w:val="22"/>
          <w:szCs w:val="22"/>
        </w:rPr>
        <w:t xml:space="preserve">Una vez que el cliente tiene cobertura, nuestro sistema lo protege continuamente. Agentes de IA monitorean el mercado USD/MXN y commodities (WTI) cada 15 minutos, 24/7. Cuando se activa una condición relevante (el dólar sube por encima de un umbral, volatilidad se dispara, movimiento brusco intradía), el cliente recibe una alerta instantánea por WhatsApp y email con análisis de contexto. Cada lunes recibe un reporte semanal personalizado con el valor actual de sus coberturas (mark-to-market), recomendaciones, y próximos vencimientos.</w:t>
      </w:r>
    </w:p>
    <w:p>
      <w:pPr>
        <w:pStyle w:val="Heading1"/>
        <w:spacing w:after="200" w:before="360"/>
      </w:pPr>
      <w:r>
        <w:rPr>
          <w:rFonts w:ascii="Arial" w:cs="Arial" w:eastAsia="Arial" w:hAnsi="Arial"/>
          <w:b/>
          <w:bCs/>
          <w:color w:val="0D4F8B"/>
          <w:sz w:val="28"/>
          <w:szCs w:val="28"/>
        </w:rPr>
        <w:t xml:space="preserve">4. La Tecnología Detrás</w:t>
      </w:r>
    </w:p>
    <w:p>
      <w:pPr>
        <w:spacing w:after="120"/>
      </w:pPr>
      <w:r>
        <w:rPr>
          <w:rFonts w:ascii="Arial" w:cs="Arial" w:eastAsia="Arial" w:hAnsi="Arial"/>
          <w:sz w:val="22"/>
          <w:szCs w:val="22"/>
        </w:rPr>
        <w:t xml:space="preserve">HedgePoint MX no es un producto de software genérico. Es un sistema de 4 agentes de inteligencia artificial especializados, construidos sobre modelos financieros cuantitativos reales: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0D4F8B" w:val="clear"/>
            <w:tcMar>
              <w:top w:type="dxa" w:w="80"/>
              <w:left w:type="dxa" w:w="120"/>
              <w:bottom w:type="dxa" w:w="80"/>
              <w:right w:type="dxa" w:w="120"/>
            </w:tcMar>
          </w:tcPr>
          <w:p>
            <w:r>
              <w:rPr>
                <w:rFonts w:ascii="Arial" w:cs="Arial" w:eastAsia="Arial" w:hAnsi="Arial"/>
                <w:b/>
                <w:bCs/>
                <w:color w:val="FFFFFF"/>
                <w:sz w:val="20"/>
                <w:szCs w:val="20"/>
              </w:rPr>
              <w:t xml:space="preserve">Agente</w:t>
            </w:r>
          </w:p>
        </w:tc>
        <w:tc>
          <w:tcPr>
            <w:tcW w:type="dxa" w:w="7160"/>
            <w:tcBorders>
              <w:top w:val="single" w:color="CCCCCC" w:sz="1"/>
              <w:left w:val="single" w:color="CCCCCC" w:sz="1"/>
              <w:bottom w:val="single" w:color="CCCCCC" w:sz="1"/>
              <w:right w:val="single" w:color="CCCCCC" w:sz="1"/>
            </w:tcBorders>
            <w:shd w:fill="0D4F8B" w:val="clear"/>
            <w:tcMar>
              <w:top w:type="dxa" w:w="80"/>
              <w:left w:type="dxa" w:w="120"/>
              <w:bottom w:type="dxa" w:w="80"/>
              <w:right w:type="dxa" w:w="120"/>
            </w:tcMar>
          </w:tcPr>
          <w:p>
            <w:r>
              <w:rPr>
                <w:rFonts w:ascii="Arial" w:cs="Arial" w:eastAsia="Arial" w:hAnsi="Arial"/>
                <w:b/>
                <w:bCs/>
                <w:color w:val="FFFFFF"/>
                <w:sz w:val="20"/>
                <w:szCs w:val="20"/>
              </w:rPr>
              <w:t xml:space="preserve">Qué hace</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Monitoreo de Mercado</w:t>
            </w:r>
          </w:p>
        </w:tc>
        <w:tc>
          <w:tcPr>
            <w:tcW w:type="dxa" w:w="71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Vigila USD/MXN y WTI 24/7. Evalúa triggers configurables por cliente. Envía alertas por email y WhatsApp con análisis de contexto generado por IA.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Onboarding / Diagnóstico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Recopila datos del prospecto. Calcula exposición cambiaria. Genera diagnóstico con IA. Produce PDF profesional de 5 páginas. Encripta datos sensibles.</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Simulador de Escenarios</w:t>
            </w:r>
          </w:p>
        </w:tc>
        <w:tc>
          <w:tcPr>
            <w:tcW w:type="dxa" w:w="71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Backtesting histórico de 5 años con 3 estrategias. Escenarios interactivos en lenguaje natural. Modelos Garman-Kohlhagen y Monte Carlo con 10,000 simulaciones.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Reportes Automatizados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PDF semanal personalizado por cliente con P&amp;L mark-to-market de coberturas activas, recomendaciones de IA, próximos vencimientos. Envío automático por email y WhatsApp.</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Modelos financieros implementados: Forward teórico por paridad de tasas (TIIE/SOFR), Black-Scholes/Garman-Kohlhagen para opciones sobre divisas, simulación Monte Carlo con 10,000 trayectorias para VaR 95/99%, cálculo de griegas (Delta, Vega).</w:t>
      </w:r>
    </w:p>
    <w:p>
      <w:pPr>
        <w:pStyle w:val="Heading2"/>
        <w:spacing w:after="120" w:before="240"/>
      </w:pPr>
      <w:r>
        <w:rPr>
          <w:rFonts w:ascii="Arial" w:cs="Arial" w:eastAsia="Arial" w:hAnsi="Arial"/>
          <w:b/>
          <w:bCs/>
          <w:color w:val="0D4F8B"/>
          <w:sz w:val="24"/>
          <w:szCs w:val="24"/>
        </w:rPr>
        <w:t xml:space="preserve">Seguridad</w:t>
      </w:r>
    </w:p>
    <w:p>
      <w:pPr>
        <w:spacing w:after="120"/>
      </w:pPr>
      <w:r>
        <w:rPr>
          <w:rFonts w:ascii="Arial" w:cs="Arial" w:eastAsia="Arial" w:hAnsi="Arial"/>
          <w:sz w:val="22"/>
          <w:szCs w:val="22"/>
        </w:rPr>
        <w:t xml:space="preserve">Los datos sensibles del cliente nunca salen de la infraestructura local. Los modelos de IA comerciales (Claude API) solo reciben datos públicos de mercado. Toda información identificable pasa por un middleware de anonimización automática antes de enviarse. Encriptación AES-256-GCM en campos sensibles de la base de datos. 250+ tests automatizados verifican que ningún dato de cliente se filtre.</w:t>
      </w:r>
    </w:p>
    <w:p>
      <w:r>
        <w:br w:type="page"/>
      </w:r>
    </w:p>
    <w:p>
      <w:pPr>
        <w:pStyle w:val="Heading1"/>
        <w:spacing w:after="200" w:before="360"/>
      </w:pPr>
      <w:r>
        <w:rPr>
          <w:rFonts w:ascii="Arial" w:cs="Arial" w:eastAsia="Arial" w:hAnsi="Arial"/>
          <w:b/>
          <w:bCs/>
          <w:color w:val="0D4F8B"/>
          <w:sz w:val="28"/>
          <w:szCs w:val="28"/>
        </w:rPr>
        <w:t xml:space="preserve">5. Diferenciadores vs Competencia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D4F8B" w:val="clear"/>
            <w:tcMar>
              <w:top w:type="dxa" w:w="80"/>
              <w:left w:type="dxa" w:w="120"/>
              <w:bottom w:type="dxa" w:w="80"/>
              <w:right w:type="dxa" w:w="120"/>
            </w:tcMar>
          </w:tcPr>
          <w:p>
            <w:r>
              <w:rPr>
                <w:rFonts w:ascii="Arial" w:cs="Arial" w:eastAsia="Arial" w:hAnsi="Arial"/>
                <w:b/>
                <w:bCs/>
                <w:color w:val="FFFFFF"/>
                <w:sz w:val="20"/>
                <w:szCs w:val="20"/>
              </w:rPr>
              <w:t xml:space="preserve">Criterio</w:t>
            </w:r>
          </w:p>
        </w:tc>
        <w:tc>
          <w:tcPr>
            <w:tcW w:type="dxa" w:w="2340"/>
            <w:tcBorders>
              <w:top w:val="single" w:color="CCCCCC" w:sz="1"/>
              <w:left w:val="single" w:color="CCCCCC" w:sz="1"/>
              <w:bottom w:val="single" w:color="CCCCCC" w:sz="1"/>
              <w:right w:val="single" w:color="CCCCCC" w:sz="1"/>
            </w:tcBorders>
            <w:shd w:fill="0D4F8B" w:val="clear"/>
            <w:tcMar>
              <w:top w:type="dxa" w:w="80"/>
              <w:left w:type="dxa" w:w="120"/>
              <w:bottom w:type="dxa" w:w="80"/>
              <w:right w:type="dxa" w:w="120"/>
            </w:tcMar>
          </w:tcPr>
          <w:p>
            <w:r>
              <w:rPr>
                <w:rFonts w:ascii="Arial" w:cs="Arial" w:eastAsia="Arial" w:hAnsi="Arial"/>
                <w:b/>
                <w:bCs/>
                <w:color w:val="FFFFFF"/>
                <w:sz w:val="20"/>
                <w:szCs w:val="20"/>
              </w:rPr>
              <w:t xml:space="preserve">Banco (Base/Monex)</w:t>
            </w:r>
          </w:p>
        </w:tc>
        <w:tc>
          <w:tcPr>
            <w:tcW w:type="dxa" w:w="2340"/>
            <w:tcBorders>
              <w:top w:val="single" w:color="CCCCCC" w:sz="1"/>
              <w:left w:val="single" w:color="CCCCCC" w:sz="1"/>
              <w:bottom w:val="single" w:color="CCCCCC" w:sz="1"/>
              <w:right w:val="single" w:color="CCCCCC" w:sz="1"/>
            </w:tcBorders>
            <w:shd w:fill="0D4F8B" w:val="clear"/>
            <w:tcMar>
              <w:top w:type="dxa" w:w="80"/>
              <w:left w:type="dxa" w:w="120"/>
              <w:bottom w:type="dxa" w:w="80"/>
              <w:right w:type="dxa" w:w="120"/>
            </w:tcMar>
          </w:tcPr>
          <w:p>
            <w:r>
              <w:rPr>
                <w:rFonts w:ascii="Arial" w:cs="Arial" w:eastAsia="Arial" w:hAnsi="Arial"/>
                <w:b/>
                <w:bCs/>
                <w:color w:val="FFFFFF"/>
                <w:sz w:val="20"/>
                <w:szCs w:val="20"/>
              </w:rPr>
              <w:t xml:space="preserve">Consultora Big 4</w:t>
            </w:r>
          </w:p>
        </w:tc>
        <w:tc>
          <w:tcPr>
            <w:tcW w:type="dxa" w:w="2340"/>
            <w:tcBorders>
              <w:top w:val="single" w:color="CCCCCC" w:sz="1"/>
              <w:left w:val="single" w:color="CCCCCC" w:sz="1"/>
              <w:bottom w:val="single" w:color="CCCCCC" w:sz="1"/>
              <w:right w:val="single" w:color="CCCCCC" w:sz="1"/>
            </w:tcBorders>
            <w:shd w:fill="0D4F8B" w:val="clear"/>
            <w:tcMar>
              <w:top w:type="dxa" w:w="80"/>
              <w:left w:type="dxa" w:w="120"/>
              <w:bottom w:type="dxa" w:w="80"/>
              <w:right w:type="dxa" w:w="120"/>
            </w:tcMar>
          </w:tcPr>
          <w:p>
            <w:r>
              <w:rPr>
                <w:rFonts w:ascii="Arial" w:cs="Arial" w:eastAsia="Arial" w:hAnsi="Arial"/>
                <w:b/>
                <w:bCs/>
                <w:color w:val="FFFFFF"/>
                <w:sz w:val="20"/>
                <w:szCs w:val="20"/>
              </w:rPr>
              <w:t xml:space="preserve">HedgePoint MX</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Costo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Spread opaco (5-20¢/USD)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$200K+ MXN/proyecto</w:t>
            </w:r>
          </w:p>
        </w:tc>
        <w:tc>
          <w:tcPr>
            <w:tcW w:type="dxa" w:w="2340"/>
            <w:tcBorders>
              <w:top w:val="single" w:color="CCCCCC" w:sz="1"/>
              <w:left w:val="single" w:color="CCCCCC" w:sz="1"/>
              <w:bottom w:val="single" w:color="CCCCCC" w:sz="1"/>
              <w:right w:val="single" w:color="CCCCCC" w:sz="1"/>
            </w:tcBorders>
            <w:shd w:fill="E8F8E8" w:val="clear"/>
            <w:tcMar>
              <w:top w:type="dxa" w:w="80"/>
              <w:left w:type="dxa" w:w="120"/>
              <w:bottom w:type="dxa" w:w="80"/>
              <w:right w:type="dxa" w:w="120"/>
            </w:tcMar>
          </w:tcPr>
          <w:p>
            <w:r>
              <w:rPr>
                <w:rFonts w:ascii="Arial" w:cs="Arial" w:eastAsia="Arial" w:hAnsi="Arial"/>
                <w:sz w:val="20"/>
                <w:szCs w:val="20"/>
              </w:rPr>
              <w:t xml:space="preserve">$8K-$25K MXN/mes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Monto mínimo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$500K USD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 mínimo</w:t>
            </w:r>
          </w:p>
        </w:tc>
        <w:tc>
          <w:tcPr>
            <w:tcW w:type="dxa" w:w="2340"/>
            <w:tcBorders>
              <w:top w:val="single" w:color="CCCCCC" w:sz="1"/>
              <w:left w:val="single" w:color="CCCCCC" w:sz="1"/>
              <w:bottom w:val="single" w:color="CCCCCC" w:sz="1"/>
              <w:right w:val="single" w:color="CCCCCC" w:sz="1"/>
            </w:tcBorders>
            <w:shd w:fill="E8F8E8" w:val="clear"/>
            <w:tcMar>
              <w:top w:type="dxa" w:w="80"/>
              <w:left w:type="dxa" w:w="120"/>
              <w:bottom w:type="dxa" w:w="80"/>
              <w:right w:type="dxa" w:w="120"/>
            </w:tcMar>
          </w:tcPr>
          <w:p>
            <w:r>
              <w:rPr>
                <w:rFonts w:ascii="Arial" w:cs="Arial" w:eastAsia="Arial" w:hAnsi="Arial"/>
                <w:sz w:val="20"/>
                <w:szCs w:val="20"/>
              </w:rPr>
              <w:t xml:space="preserve">$200K USD/mes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Análisis de timing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ofrece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Sí, manual</w:t>
            </w:r>
          </w:p>
        </w:tc>
        <w:tc>
          <w:tcPr>
            <w:tcW w:type="dxa" w:w="2340"/>
            <w:tcBorders>
              <w:top w:val="single" w:color="CCCCCC" w:sz="1"/>
              <w:left w:val="single" w:color="CCCCCC" w:sz="1"/>
              <w:bottom w:val="single" w:color="CCCCCC" w:sz="1"/>
              <w:right w:val="single" w:color="CCCCCC" w:sz="1"/>
            </w:tcBorders>
            <w:shd w:fill="E8F8E8" w:val="clear"/>
            <w:tcMar>
              <w:top w:type="dxa" w:w="80"/>
              <w:left w:type="dxa" w:w="120"/>
              <w:bottom w:type="dxa" w:w="80"/>
              <w:right w:type="dxa" w:w="120"/>
            </w:tcMar>
          </w:tcPr>
          <w:p>
            <w:r>
              <w:rPr>
                <w:rFonts w:ascii="Arial" w:cs="Arial" w:eastAsia="Arial" w:hAnsi="Arial"/>
                <w:sz w:val="20"/>
                <w:szCs w:val="20"/>
              </w:rPr>
              <w:t xml:space="preserve">Automático 24/7 con IA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Monitoreo continuo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2340"/>
            <w:tcBorders>
              <w:top w:val="single" w:color="CCCCCC" w:sz="1"/>
              <w:left w:val="single" w:color="CCCCCC" w:sz="1"/>
              <w:bottom w:val="single" w:color="CCCCCC" w:sz="1"/>
              <w:right w:val="single" w:color="CCCCCC" w:sz="1"/>
            </w:tcBorders>
            <w:shd w:fill="E8F8E8" w:val="clear"/>
            <w:tcMar>
              <w:top w:type="dxa" w:w="80"/>
              <w:left w:type="dxa" w:w="120"/>
              <w:bottom w:type="dxa" w:w="80"/>
              <w:right w:type="dxa" w:w="120"/>
            </w:tcMar>
          </w:tcPr>
          <w:p>
            <w:r>
              <w:rPr>
                <w:rFonts w:ascii="Arial" w:cs="Arial" w:eastAsia="Arial" w:hAnsi="Arial"/>
                <w:sz w:val="20"/>
                <w:szCs w:val="20"/>
              </w:rPr>
              <w:t xml:space="preserve">Cada 15 min + alertas WhatsApp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Reportes personalizados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Genéricos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Sí, bajo demanda</w:t>
            </w:r>
          </w:p>
        </w:tc>
        <w:tc>
          <w:tcPr>
            <w:tcW w:type="dxa" w:w="2340"/>
            <w:tcBorders>
              <w:top w:val="single" w:color="CCCCCC" w:sz="1"/>
              <w:left w:val="single" w:color="CCCCCC" w:sz="1"/>
              <w:bottom w:val="single" w:color="CCCCCC" w:sz="1"/>
              <w:right w:val="single" w:color="CCCCCC" w:sz="1"/>
            </w:tcBorders>
            <w:shd w:fill="E8F8E8" w:val="clear"/>
            <w:tcMar>
              <w:top w:type="dxa" w:w="80"/>
              <w:left w:type="dxa" w:w="120"/>
              <w:bottom w:type="dxa" w:w="80"/>
              <w:right w:type="dxa" w:w="120"/>
            </w:tcMar>
          </w:tcPr>
          <w:p>
            <w:r>
              <w:rPr>
                <w:rFonts w:ascii="Arial" w:cs="Arial" w:eastAsia="Arial" w:hAnsi="Arial"/>
                <w:sz w:val="20"/>
                <w:szCs w:val="20"/>
              </w:rPr>
              <w:t xml:space="preserve">Automáticos semanales con P&amp;L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Independencia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Vende sus derivados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Independiente</w:t>
            </w:r>
          </w:p>
        </w:tc>
        <w:tc>
          <w:tcPr>
            <w:tcW w:type="dxa" w:w="2340"/>
            <w:tcBorders>
              <w:top w:val="single" w:color="CCCCCC" w:sz="1"/>
              <w:left w:val="single" w:color="CCCCCC" w:sz="1"/>
              <w:bottom w:val="single" w:color="CCCCCC" w:sz="1"/>
              <w:right w:val="single" w:color="CCCCCC" w:sz="1"/>
            </w:tcBorders>
            <w:shd w:fill="E8F8E8" w:val="clear"/>
            <w:tcMar>
              <w:top w:type="dxa" w:w="80"/>
              <w:left w:type="dxa" w:w="120"/>
              <w:bottom w:type="dxa" w:w="80"/>
              <w:right w:type="dxa" w:w="120"/>
            </w:tcMar>
          </w:tcPr>
          <w:p>
            <w:r>
              <w:rPr>
                <w:rFonts w:ascii="Arial" w:cs="Arial" w:eastAsia="Arial" w:hAnsi="Arial"/>
                <w:sz w:val="20"/>
                <w:szCs w:val="20"/>
              </w:rPr>
              <w:t xml:space="preserve">100% independiente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Simulación de escenarios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Sí</w:t>
            </w:r>
          </w:p>
        </w:tc>
        <w:tc>
          <w:tcPr>
            <w:tcW w:type="dxa" w:w="2340"/>
            <w:tcBorders>
              <w:top w:val="single" w:color="CCCCCC" w:sz="1"/>
              <w:left w:val="single" w:color="CCCCCC" w:sz="1"/>
              <w:bottom w:val="single" w:color="CCCCCC" w:sz="1"/>
              <w:right w:val="single" w:color="CCCCCC" w:sz="1"/>
            </w:tcBorders>
            <w:shd w:fill="E8F8E8" w:val="clear"/>
            <w:tcMar>
              <w:top w:type="dxa" w:w="80"/>
              <w:left w:type="dxa" w:w="120"/>
              <w:bottom w:type="dxa" w:w="80"/>
              <w:right w:type="dxa" w:w="120"/>
            </w:tcMar>
          </w:tcPr>
          <w:p>
            <w:r>
              <w:rPr>
                <w:rFonts w:ascii="Arial" w:cs="Arial" w:eastAsia="Arial" w:hAnsi="Arial"/>
                <w:sz w:val="20"/>
                <w:szCs w:val="20"/>
              </w:rPr>
              <w:t xml:space="preserve">Interactiva + backtesting 5 años</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El diferenciador principal: HedgePoint combina análisis cuantitativo avanzado con inteligencia artificial para ofrecer un servicio personalizado a una fracción del costo. La tecnología permite escalar la atención personalizada sin escalar los costos operativos.</w:t>
      </w:r>
    </w:p>
    <w:p>
      <w:pPr>
        <w:pStyle w:val="Heading1"/>
        <w:spacing w:after="200" w:before="360"/>
      </w:pPr>
      <w:r>
        <w:rPr>
          <w:rFonts w:ascii="Arial" w:cs="Arial" w:eastAsia="Arial" w:hAnsi="Arial"/>
          <w:b/>
          <w:bCs/>
          <w:color w:val="0D4F8B"/>
          <w:sz w:val="28"/>
          <w:szCs w:val="28"/>
        </w:rPr>
        <w:t xml:space="preserve">6. Mercado Objetivo</w:t>
      </w:r>
    </w:p>
    <w:p>
      <w:pPr>
        <w:spacing w:after="120"/>
      </w:pPr>
      <w:r>
        <w:rPr>
          <w:rFonts w:ascii="Arial" w:cs="Arial" w:eastAsia="Arial" w:hAnsi="Arial"/>
          <w:sz w:val="22"/>
          <w:szCs w:val="22"/>
        </w:rPr>
        <w:t xml:space="preserve">Cliente ideal: importador mediano en Monterrey/Nuevo León. Facturación $50M-$200M MXN al año. Compra $200K-$1M USD al mes en insumos. Ya siente el dolor de la volatilidad cambiaria pero no tiene solución accesible.</w:t>
      </w:r>
    </w:p>
    <w:p>
      <w:pPr>
        <w:pStyle w:val="Heading2"/>
        <w:spacing w:after="120" w:before="240"/>
      </w:pPr>
      <w:r>
        <w:rPr>
          <w:rFonts w:ascii="Arial" w:cs="Arial" w:eastAsia="Arial" w:hAnsi="Arial"/>
          <w:b/>
          <w:bCs/>
          <w:color w:val="0D4F8B"/>
          <w:sz w:val="24"/>
          <w:szCs w:val="24"/>
        </w:rPr>
        <w:t xml:space="preserve">Segmentos prioritarios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0D4F8B" w:val="clear"/>
            <w:tcMar>
              <w:top w:type="dxa" w:w="80"/>
              <w:left w:type="dxa" w:w="120"/>
              <w:bottom w:type="dxa" w:w="80"/>
              <w:right w:type="dxa" w:w="120"/>
            </w:tcMar>
          </w:tcPr>
          <w:p>
            <w:r>
              <w:rPr>
                <w:rFonts w:ascii="Arial" w:cs="Arial" w:eastAsia="Arial" w:hAnsi="Arial"/>
                <w:b/>
                <w:bCs/>
                <w:color w:val="FFFFFF"/>
                <w:sz w:val="20"/>
                <w:szCs w:val="20"/>
              </w:rPr>
              <w:t xml:space="preserve">Segmento</w:t>
            </w:r>
          </w:p>
        </w:tc>
        <w:tc>
          <w:tcPr>
            <w:tcW w:type="dxa" w:w="3510"/>
            <w:tcBorders>
              <w:top w:val="single" w:color="CCCCCC" w:sz="1"/>
              <w:left w:val="single" w:color="CCCCCC" w:sz="1"/>
              <w:bottom w:val="single" w:color="CCCCCC" w:sz="1"/>
              <w:right w:val="single" w:color="CCCCCC" w:sz="1"/>
            </w:tcBorders>
            <w:shd w:fill="0D4F8B" w:val="clear"/>
            <w:tcMar>
              <w:top w:type="dxa" w:w="80"/>
              <w:left w:type="dxa" w:w="120"/>
              <w:bottom w:type="dxa" w:w="80"/>
              <w:right w:type="dxa" w:w="120"/>
            </w:tcMar>
          </w:tcPr>
          <w:p>
            <w:r>
              <w:rPr>
                <w:rFonts w:ascii="Arial" w:cs="Arial" w:eastAsia="Arial" w:hAnsi="Arial"/>
                <w:b/>
                <w:bCs/>
                <w:color w:val="FFFFFF"/>
                <w:sz w:val="20"/>
                <w:szCs w:val="20"/>
              </w:rPr>
              <w:t xml:space="preserve">Exposición</w:t>
            </w:r>
          </w:p>
        </w:tc>
        <w:tc>
          <w:tcPr>
            <w:tcW w:type="dxa" w:w="3510"/>
            <w:tcBorders>
              <w:top w:val="single" w:color="CCCCCC" w:sz="1"/>
              <w:left w:val="single" w:color="CCCCCC" w:sz="1"/>
              <w:bottom w:val="single" w:color="CCCCCC" w:sz="1"/>
              <w:right w:val="single" w:color="CCCCCC" w:sz="1"/>
            </w:tcBorders>
            <w:shd w:fill="0D4F8B" w:val="clear"/>
            <w:tcMar>
              <w:top w:type="dxa" w:w="80"/>
              <w:left w:type="dxa" w:w="120"/>
              <w:bottom w:type="dxa" w:w="80"/>
              <w:right w:type="dxa" w:w="120"/>
            </w:tcMar>
          </w:tcPr>
          <w:p>
            <w:r>
              <w:rPr>
                <w:rFonts w:ascii="Arial" w:cs="Arial" w:eastAsia="Arial" w:hAnsi="Arial"/>
                <w:b/>
                <w:bCs/>
                <w:color w:val="FFFFFF"/>
                <w:sz w:val="20"/>
                <w:szCs w:val="20"/>
              </w:rPr>
              <w:t xml:space="preserve">Por qué es prioritario</w:t>
            </w:r>
          </w:p>
        </w:tc>
      </w:tr>
      <w:tr>
        <w:tc>
          <w:tcPr>
            <w:tcW w:type="dxa" w:w="234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Importadores medianos</w:t>
            </w:r>
          </w:p>
        </w:tc>
        <w:tc>
          <w:tcPr>
            <w:tcW w:type="dxa" w:w="351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Tipo de cambio USD/MXN. Pagan facturas en dólares.</w:t>
            </w:r>
          </w:p>
        </w:tc>
        <w:tc>
          <w:tcPr>
            <w:tcW w:type="dxa" w:w="351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Ya entienden el problema. Ciclo de venta corto.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Agroexportadores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Doble exposición: precio de cosecha + tipo de cambio.</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Alta urgencia, márgenes delgados.</w:t>
            </w:r>
          </w:p>
        </w:tc>
      </w:tr>
      <w:tr>
        <w:tc>
          <w:tcPr>
            <w:tcW w:type="dxa" w:w="234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Constructoras</w:t>
            </w:r>
          </w:p>
        </w:tc>
        <w:tc>
          <w:tcPr>
            <w:tcW w:type="dxa" w:w="351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Commodities (acero, concreto). Contratos a largo plazo con precios fijos, costos variables.</w:t>
            </w:r>
          </w:p>
        </w:tc>
        <w:tc>
          <w:tcPr>
            <w:tcW w:type="dxa" w:w="351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Contratos LP los hacen vulnerables.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Maquiladoras exportación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FX inverso: venden en USD, pagan nómina en MXN.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Exposición inversa, misma necesidad.</w:t>
            </w:r>
          </w:p>
        </w:tc>
      </w:tr>
    </w:tbl>
    <w:p>
      <w:pPr>
        <w:pStyle w:val="Heading1"/>
        <w:spacing w:after="200" w:before="360"/>
      </w:pPr>
      <w:r>
        <w:rPr>
          <w:rFonts w:ascii="Arial" w:cs="Arial" w:eastAsia="Arial" w:hAnsi="Arial"/>
          <w:b/>
          <w:bCs/>
          <w:color w:val="0D4F8B"/>
          <w:sz w:val="28"/>
          <w:szCs w:val="28"/>
        </w:rPr>
        <w:t xml:space="preserve">7. Modelo de Negocio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D4F8B" w:val="clear"/>
            <w:tcMar>
              <w:top w:type="dxa" w:w="80"/>
              <w:left w:type="dxa" w:w="120"/>
              <w:bottom w:type="dxa" w:w="80"/>
              <w:right w:type="dxa" w:w="120"/>
            </w:tcMar>
          </w:tcPr>
          <w:p>
            <w:r>
              <w:rPr>
                <w:rFonts w:ascii="Arial" w:cs="Arial" w:eastAsia="Arial" w:hAnsi="Arial"/>
                <w:b/>
                <w:bCs/>
                <w:color w:val="FFFFFF"/>
                <w:sz w:val="20"/>
                <w:szCs w:val="20"/>
              </w:rPr>
              <w:t xml:space="preserve">Fuente de ingreso</w:t>
            </w:r>
          </w:p>
        </w:tc>
        <w:tc>
          <w:tcPr>
            <w:tcW w:type="dxa" w:w="2340"/>
            <w:tcBorders>
              <w:top w:val="single" w:color="CCCCCC" w:sz="1"/>
              <w:left w:val="single" w:color="CCCCCC" w:sz="1"/>
              <w:bottom w:val="single" w:color="CCCCCC" w:sz="1"/>
              <w:right w:val="single" w:color="CCCCCC" w:sz="1"/>
            </w:tcBorders>
            <w:shd w:fill="0D4F8B" w:val="clear"/>
            <w:tcMar>
              <w:top w:type="dxa" w:w="80"/>
              <w:left w:type="dxa" w:w="120"/>
              <w:bottom w:type="dxa" w:w="80"/>
              <w:right w:type="dxa" w:w="120"/>
            </w:tcMar>
          </w:tcPr>
          <w:p>
            <w:r>
              <w:rPr>
                <w:rFonts w:ascii="Arial" w:cs="Arial" w:eastAsia="Arial" w:hAnsi="Arial"/>
                <w:b/>
                <w:bCs/>
                <w:color w:val="FFFFFF"/>
                <w:sz w:val="20"/>
                <w:szCs w:val="20"/>
              </w:rPr>
              <w:t xml:space="preserve">Modelo</w:t>
            </w:r>
          </w:p>
        </w:tc>
        <w:tc>
          <w:tcPr>
            <w:tcW w:type="dxa" w:w="2340"/>
            <w:tcBorders>
              <w:top w:val="single" w:color="CCCCCC" w:sz="1"/>
              <w:left w:val="single" w:color="CCCCCC" w:sz="1"/>
              <w:bottom w:val="single" w:color="CCCCCC" w:sz="1"/>
              <w:right w:val="single" w:color="CCCCCC" w:sz="1"/>
            </w:tcBorders>
            <w:shd w:fill="0D4F8B" w:val="clear"/>
            <w:tcMar>
              <w:top w:type="dxa" w:w="80"/>
              <w:left w:type="dxa" w:w="120"/>
              <w:bottom w:type="dxa" w:w="80"/>
              <w:right w:type="dxa" w:w="120"/>
            </w:tcMar>
          </w:tcPr>
          <w:p>
            <w:r>
              <w:rPr>
                <w:rFonts w:ascii="Arial" w:cs="Arial" w:eastAsia="Arial" w:hAnsi="Arial"/>
                <w:b/>
                <w:bCs/>
                <w:color w:val="FFFFFF"/>
                <w:sz w:val="20"/>
                <w:szCs w:val="20"/>
              </w:rPr>
              <w:t xml:space="preserve">Rango</w:t>
            </w:r>
          </w:p>
        </w:tc>
        <w:tc>
          <w:tcPr>
            <w:tcW w:type="dxa" w:w="2340"/>
            <w:tcBorders>
              <w:top w:val="single" w:color="CCCCCC" w:sz="1"/>
              <w:left w:val="single" w:color="CCCCCC" w:sz="1"/>
              <w:bottom w:val="single" w:color="CCCCCC" w:sz="1"/>
              <w:right w:val="single" w:color="CCCCCC" w:sz="1"/>
            </w:tcBorders>
            <w:shd w:fill="0D4F8B" w:val="clear"/>
            <w:tcMar>
              <w:top w:type="dxa" w:w="80"/>
              <w:left w:type="dxa" w:w="120"/>
              <w:bottom w:type="dxa" w:w="80"/>
              <w:right w:type="dxa" w:w="120"/>
            </w:tcMar>
          </w:tcPr>
          <w:p>
            <w:r>
              <w:rPr>
                <w:rFonts w:ascii="Arial" w:cs="Arial" w:eastAsia="Arial" w:hAnsi="Arial"/>
                <w:b/>
                <w:bCs/>
                <w:color w:val="FFFFFF"/>
                <w:sz w:val="20"/>
                <w:szCs w:val="20"/>
              </w:rPr>
              <w:t xml:space="preserve">Cuándo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Fee mensual consultoría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Retainer fijo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$8,000-$25,000 MXN/mes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Desde día 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Performance fee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del ahorro demostrado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10-15% del ahorro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Trimestral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Markup sobre cobertura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Centavos por dólar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 ¢/USD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Fase 2 (5+ clientes)</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El performance fee alinea los intereses: si el cliente no ahorra, HedgePoint no cobra. Esto elimina la barrera de confianza inicial y demuestra que el valor es real y medible.</w:t>
      </w:r>
    </w:p>
    <w:p>
      <w:pPr>
        <w:pStyle w:val="Heading1"/>
        <w:spacing w:after="200" w:before="360"/>
      </w:pPr>
      <w:r>
        <w:rPr>
          <w:rFonts w:ascii="Arial" w:cs="Arial" w:eastAsia="Arial" w:hAnsi="Arial"/>
          <w:b/>
          <w:bCs/>
          <w:color w:val="0D4F8B"/>
          <w:sz w:val="28"/>
          <w:szCs w:val="28"/>
        </w:rPr>
        <w:t xml:space="preserve">8. Propuesta al Prospecto</w:t>
      </w:r>
    </w:p>
    <w:p>
      <w:pPr>
        <w:spacing w:after="120"/>
      </w:pPr>
      <w:r>
        <w:rPr>
          <w:rFonts w:ascii="Arial" w:cs="Arial" w:eastAsia="Arial" w:hAnsi="Arial"/>
          <w:b/>
          <w:bCs/>
          <w:sz w:val="22"/>
          <w:szCs w:val="22"/>
        </w:rPr>
        <w:t xml:space="preserve">Ofrecemos un diagnóstico gratuito de exposición cambiaria. En 15 minutos mostramos:</w:t>
      </w:r>
    </w:p>
    <w:p>
      <w:pPr>
        <w:spacing w:after="120"/>
      </w:pPr>
      <w:r>
        <w:rPr>
          <w:rFonts w:ascii="Arial" w:cs="Arial" w:eastAsia="Arial" w:hAnsi="Arial"/>
          <w:b/>
          <w:bCs/>
          <w:sz w:val="22"/>
          <w:szCs w:val="22"/>
        </w:rPr>
        <w:t xml:space="preserve">1. </w:t>
      </w:r>
      <w:r>
        <w:rPr>
          <w:rFonts w:ascii="Arial" w:cs="Arial" w:eastAsia="Arial" w:hAnsi="Arial"/>
          <w:sz w:val="22"/>
          <w:szCs w:val="22"/>
        </w:rPr>
        <w:t xml:space="preserve">Cuánto dinero está en riesgo cada mes sin cobertura, calculado con los números reales del negocio.</w:t>
      </w:r>
    </w:p>
    <w:p>
      <w:pPr>
        <w:spacing w:after="120"/>
      </w:pPr>
      <w:r>
        <w:rPr>
          <w:rFonts w:ascii="Arial" w:cs="Arial" w:eastAsia="Arial" w:hAnsi="Arial"/>
          <w:b/>
          <w:bCs/>
          <w:sz w:val="22"/>
          <w:szCs w:val="22"/>
        </w:rPr>
        <w:t xml:space="preserve">2. </w:t>
      </w:r>
      <w:r>
        <w:rPr>
          <w:rFonts w:ascii="Arial" w:cs="Arial" w:eastAsia="Arial" w:hAnsi="Arial"/>
          <w:sz w:val="22"/>
          <w:szCs w:val="22"/>
        </w:rPr>
        <w:t xml:space="preserve">Qué habría pasado en escenarios históricos reales (COVID 2020, aranceles Trump 2025) con y sin protección.</w:t>
      </w:r>
    </w:p>
    <w:p>
      <w:pPr>
        <w:spacing w:after="120"/>
      </w:pPr>
      <w:r>
        <w:rPr>
          <w:rFonts w:ascii="Arial" w:cs="Arial" w:eastAsia="Arial" w:hAnsi="Arial"/>
          <w:b/>
          <w:bCs/>
          <w:sz w:val="22"/>
          <w:szCs w:val="22"/>
        </w:rPr>
        <w:t xml:space="preserve">3. </w:t>
      </w:r>
      <w:r>
        <w:rPr>
          <w:rFonts w:ascii="Arial" w:cs="Arial" w:eastAsia="Arial" w:hAnsi="Arial"/>
          <w:sz w:val="22"/>
          <w:szCs w:val="22"/>
        </w:rPr>
        <w:t xml:space="preserve">Cuál es la estrategia óptima para su perfil: forwards, opciones, collar, o combinación.</w:t>
      </w:r>
    </w:p>
    <w:p>
      <w:pPr>
        <w:spacing w:after="120"/>
      </w:pPr>
      <w:r>
        <w:rPr>
          <w:rFonts w:ascii="Arial" w:cs="Arial" w:eastAsia="Arial" w:hAnsi="Arial"/>
          <w:b/>
          <w:bCs/>
          <w:sz w:val="22"/>
          <w:szCs w:val="22"/>
        </w:rPr>
        <w:t xml:space="preserve">4. </w:t>
      </w:r>
      <w:r>
        <w:rPr>
          <w:rFonts w:ascii="Arial" w:cs="Arial" w:eastAsia="Arial" w:hAnsi="Arial"/>
          <w:sz w:val="22"/>
          <w:szCs w:val="22"/>
        </w:rPr>
        <w:t xml:space="preserve">Cuánto cuesta protegerse vs cuánto puede perder sin protección.</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Sin compromiso. Sin costo. El diagnóstico demuestra el valor antes de pedir un peso. Si el prospecto no ve valor claro en los números, no es el cliente correcto.</w:t>
      </w:r>
    </w:p>
    <w:p>
      <w:pPr>
        <w:spacing w:after="120"/>
      </w:pPr>
      <w:r>
        <w:rPr>
          <w:rFonts w:ascii="Arial" w:cs="Arial" w:eastAsia="Arial" w:hAnsi="Arial"/>
          <w:sz w:val="22"/>
          <w:szCs w:val="22"/>
        </w:rPr>
        <w:t xml:space="preserve"/>
      </w:r>
    </w:p>
    <w:p>
      <w:pPr>
        <w:spacing w:after="120"/>
      </w:pPr>
      <w:r>
        <w:rPr>
          <w:rFonts w:ascii="Arial" w:cs="Arial" w:eastAsia="Arial" w:hAnsi="Arial"/>
          <w:b/>
          <w:bCs/>
          <w:color w:val="0D4F8B"/>
          <w:sz w:val="22"/>
          <w:szCs w:val="22"/>
        </w:rPr>
        <w:t xml:space="preserve">Tagline: Protege tu margen. Inteligentemente.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D4F8B"/>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0D4F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2026-04-28T02:45:46.054Z</dcterms:created>
  <dcterms:modified xsi:type="dcterms:W3CDTF">2026-04-28T02:45:46.054Z</dcterms:modified>
</cp:coreProperties>
</file>

<file path=docProps/custom.xml><?xml version="1.0" encoding="utf-8"?>
<Properties xmlns="http://schemas.openxmlformats.org/officeDocument/2006/custom-properties" xmlns:vt="http://schemas.openxmlformats.org/officeDocument/2006/docPropsVTypes"/>
</file>