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5A" w:rsidRPr="00C5175A" w:rsidRDefault="00C5175A" w:rsidP="00C5175A">
      <w:pPr>
        <w:jc w:val="center"/>
        <w:rPr>
          <w:rFonts w:ascii="Times" w:eastAsia="標楷體" w:hAnsi="Times" w:cs="標楷體"/>
          <w:sz w:val="40"/>
          <w:szCs w:val="40"/>
        </w:rPr>
      </w:pPr>
      <w:r w:rsidRPr="00C5175A">
        <w:rPr>
          <w:rFonts w:ascii="Times" w:eastAsia="標楷體" w:hAnsi="Times" w:cs="標楷體"/>
          <w:sz w:val="40"/>
          <w:szCs w:val="40"/>
        </w:rPr>
        <w:t>Introduction to Chaotic Dynamics Final Project</w:t>
      </w:r>
    </w:p>
    <w:p w:rsidR="00C5175A" w:rsidRPr="00C5175A" w:rsidRDefault="00C5175A" w:rsidP="00C5175A">
      <w:pPr>
        <w:jc w:val="center"/>
        <w:rPr>
          <w:rFonts w:ascii="Times" w:eastAsia="標楷體" w:hAnsi="Times" w:cs="標楷體"/>
          <w:sz w:val="32"/>
          <w:szCs w:val="32"/>
        </w:rPr>
      </w:pPr>
      <w:r w:rsidRPr="00C5175A">
        <w:rPr>
          <w:rFonts w:ascii="Times" w:eastAsia="標楷體" w:hAnsi="Times" w:cs="標楷體" w:hint="eastAsia"/>
          <w:sz w:val="32"/>
          <w:szCs w:val="32"/>
        </w:rPr>
        <w:t>State Space Reconstruction for Stock Movements</w:t>
      </w:r>
      <w:r>
        <w:rPr>
          <w:rFonts w:ascii="Times" w:eastAsia="標楷體" w:hAnsi="Times" w:cs="標楷體" w:hint="eastAsia"/>
          <w:sz w:val="32"/>
          <w:szCs w:val="32"/>
        </w:rPr>
        <w:t xml:space="preserve"> of Taiwan</w:t>
      </w:r>
    </w:p>
    <w:p w:rsidR="00C5175A" w:rsidRPr="00694D05" w:rsidRDefault="00C5175A" w:rsidP="00C5175A">
      <w:pPr>
        <w:pBdr>
          <w:bottom w:val="single" w:sz="12" w:space="1" w:color="auto"/>
        </w:pBdr>
        <w:jc w:val="center"/>
        <w:rPr>
          <w:rFonts w:ascii="Times" w:eastAsia="標楷體" w:hAnsi="Times" w:cs="標楷體"/>
        </w:rPr>
      </w:pPr>
      <w:r>
        <w:rPr>
          <w:rFonts w:ascii="Times" w:eastAsia="標楷體" w:hAnsi="Times" w:cs="標楷體" w:hint="eastAsia"/>
        </w:rPr>
        <w:t>許智翔</w:t>
      </w:r>
      <w:r w:rsidRPr="00694D05">
        <w:rPr>
          <w:rFonts w:ascii="Times" w:eastAsia="標楷體" w:hAnsi="Times" w:cs="標楷體"/>
        </w:rPr>
        <w:t xml:space="preserve"> B065020</w:t>
      </w:r>
      <w:r w:rsidR="006B5393">
        <w:rPr>
          <w:rFonts w:ascii="Times" w:eastAsia="標楷體" w:hAnsi="Times" w:cs="標楷體" w:hint="eastAsia"/>
        </w:rPr>
        <w:t>23</w:t>
      </w:r>
      <w:r w:rsidR="00A616E3">
        <w:rPr>
          <w:rFonts w:ascii="Times" w:eastAsia="標楷體" w:hAnsi="Times" w:cs="標楷體" w:hint="eastAsia"/>
        </w:rPr>
        <w:t xml:space="preserve"> </w:t>
      </w:r>
      <w:r w:rsidR="00A616E3">
        <w:rPr>
          <w:rFonts w:ascii="Times" w:eastAsia="標楷體" w:hAnsi="Times" w:cs="標楷體" w:hint="eastAsia"/>
        </w:rPr>
        <w:t>羅恩至</w:t>
      </w:r>
      <w:r w:rsidR="00A616E3">
        <w:rPr>
          <w:rFonts w:ascii="Times" w:eastAsia="標楷體" w:hAnsi="Times" w:cs="標楷體"/>
        </w:rPr>
        <w:t xml:space="preserve"> B065020</w:t>
      </w:r>
      <w:r w:rsidR="00A616E3">
        <w:rPr>
          <w:rFonts w:ascii="Times" w:eastAsia="標楷體" w:hAnsi="Times" w:cs="標楷體" w:hint="eastAsia"/>
        </w:rPr>
        <w:t>2</w:t>
      </w:r>
      <w:r w:rsidR="00A616E3" w:rsidRPr="00694D05">
        <w:rPr>
          <w:rFonts w:ascii="Times" w:eastAsia="標楷體" w:hAnsi="Times" w:cs="標楷體"/>
        </w:rPr>
        <w:t>7</w:t>
      </w:r>
      <w:r w:rsidR="00A616E3">
        <w:rPr>
          <w:rFonts w:ascii="Times" w:eastAsia="標楷體" w:hAnsi="Times" w:cs="標楷體" w:hint="eastAsia"/>
        </w:rPr>
        <w:t xml:space="preserve"> </w:t>
      </w:r>
      <w:r>
        <w:rPr>
          <w:rFonts w:ascii="Times" w:eastAsia="標楷體" w:hAnsi="Times" w:cs="標楷體" w:hint="eastAsia"/>
        </w:rPr>
        <w:t>郭俊廷</w:t>
      </w:r>
      <w:r>
        <w:rPr>
          <w:rFonts w:ascii="Times" w:eastAsia="標楷體" w:hAnsi="Times" w:cs="標楷體"/>
        </w:rPr>
        <w:t xml:space="preserve"> B065020</w:t>
      </w:r>
      <w:r w:rsidR="00A616E3">
        <w:rPr>
          <w:rFonts w:ascii="Times" w:eastAsia="標楷體" w:hAnsi="Times" w:cs="標楷體" w:hint="eastAsia"/>
        </w:rPr>
        <w:t>47</w:t>
      </w:r>
    </w:p>
    <w:p w:rsidR="00C5175A" w:rsidRDefault="00C5175A" w:rsidP="00C5175A">
      <w:pPr>
        <w:rPr>
          <w:rFonts w:ascii="Times" w:eastAsia="標楷體" w:hAnsi="Times" w:cs="標楷體"/>
          <w:sz w:val="28"/>
          <w:szCs w:val="28"/>
        </w:rPr>
      </w:pPr>
      <w:r w:rsidRPr="00694D05">
        <w:rPr>
          <w:rFonts w:ascii="Times" w:eastAsia="標楷體" w:hAnsi="Times" w:cs="標楷體"/>
          <w:sz w:val="28"/>
          <w:szCs w:val="28"/>
        </w:rPr>
        <w:t>1</w:t>
      </w:r>
      <w:r w:rsidRPr="00694D05">
        <w:rPr>
          <w:rFonts w:ascii="Times" w:eastAsia="標楷體" w:hAnsi="Times" w:cs="標楷體"/>
          <w:sz w:val="28"/>
          <w:szCs w:val="28"/>
        </w:rPr>
        <w:tab/>
      </w:r>
      <w:r>
        <w:rPr>
          <w:rFonts w:ascii="Times" w:eastAsia="標楷體" w:hAnsi="Times" w:cs="標楷體"/>
          <w:sz w:val="28"/>
          <w:szCs w:val="28"/>
        </w:rPr>
        <w:t>Introduction</w:t>
      </w:r>
    </w:p>
    <w:p w:rsidR="00651484" w:rsidRPr="00AF163C" w:rsidRDefault="00AF163C" w:rsidP="00C5175A">
      <w:pPr>
        <w:rPr>
          <w:rFonts w:ascii="Times" w:eastAsia="標楷體" w:hAnsi="Times" w:cs="標楷體"/>
        </w:rPr>
      </w:pPr>
      <w:r w:rsidRPr="003B09CE">
        <w:rPr>
          <w:rFonts w:ascii="Times" w:eastAsia="標楷體" w:hAnsi="Times" w:cs="標楷體" w:hint="eastAsia"/>
        </w:rPr>
        <w:tab/>
      </w:r>
      <w:r w:rsidR="003B09CE">
        <w:rPr>
          <w:rFonts w:ascii="Times" w:eastAsia="標楷體" w:hAnsi="Times" w:cs="標楷體" w:hint="eastAsia"/>
        </w:rPr>
        <w:t>由於先</w:t>
      </w:r>
      <w:r w:rsidR="003B09CE" w:rsidRPr="003B09CE">
        <w:rPr>
          <w:rFonts w:ascii="Times" w:eastAsia="標楷體" w:hAnsi="Times" w:cs="標楷體" w:hint="eastAsia"/>
        </w:rPr>
        <w:t>前</w:t>
      </w:r>
      <w:r w:rsidR="007E46AF" w:rsidRPr="003B09CE">
        <w:rPr>
          <w:rFonts w:ascii="Times" w:eastAsia="標楷體" w:hAnsi="Times" w:cs="標楷體" w:hint="eastAsia"/>
        </w:rPr>
        <w:t>觀察每日</w:t>
      </w:r>
      <w:r w:rsidR="003B09CE">
        <w:rPr>
          <w:rFonts w:ascii="Times" w:eastAsia="標楷體" w:hAnsi="Times" w:cs="標楷體" w:hint="eastAsia"/>
        </w:rPr>
        <w:t>各支</w:t>
      </w:r>
      <w:r>
        <w:rPr>
          <w:rFonts w:ascii="Times" w:eastAsia="標楷體" w:hAnsi="Times" w:cs="標楷體" w:hint="eastAsia"/>
        </w:rPr>
        <w:t>股票</w:t>
      </w:r>
      <w:r w:rsidR="007E46AF">
        <w:rPr>
          <w:rFonts w:ascii="Times" w:eastAsia="標楷體" w:hAnsi="Times" w:cs="標楷體" w:hint="eastAsia"/>
        </w:rPr>
        <w:t>的變</w:t>
      </w:r>
      <w:r w:rsidR="003B09CE">
        <w:rPr>
          <w:rFonts w:ascii="Times" w:eastAsia="標楷體" w:hAnsi="Times" w:cs="標楷體" w:hint="eastAsia"/>
        </w:rPr>
        <w:t>動情形均不同，而單支股票於不同時間下的漲跌情況亦不一致，</w:t>
      </w:r>
      <w:r w:rsidR="006E4D40">
        <w:rPr>
          <w:rFonts w:ascii="Times" w:eastAsia="標楷體" w:hAnsi="Times" w:cs="標楷體" w:hint="eastAsia"/>
        </w:rPr>
        <w:t>並</w:t>
      </w:r>
      <w:r w:rsidR="003B09CE">
        <w:rPr>
          <w:rFonts w:ascii="Times" w:eastAsia="標楷體" w:hAnsi="Times" w:cs="標楷體" w:hint="eastAsia"/>
        </w:rPr>
        <w:t>且難以掌握其變化規律，</w:t>
      </w:r>
      <w:r w:rsidR="006E4D40">
        <w:rPr>
          <w:rFonts w:ascii="Times" w:eastAsia="標楷體" w:hAnsi="Times" w:cs="標楷體" w:hint="eastAsia"/>
        </w:rPr>
        <w:t>無法預測未來之股價變化，</w:t>
      </w:r>
      <w:r w:rsidR="003B09CE">
        <w:rPr>
          <w:rFonts w:ascii="Times" w:eastAsia="標楷體" w:hAnsi="Times" w:cs="標楷體" w:hint="eastAsia"/>
        </w:rPr>
        <w:t>因此想透過本次混沌力學期末報告，</w:t>
      </w:r>
      <w:r w:rsidR="006E4D40">
        <w:rPr>
          <w:rFonts w:ascii="Times" w:eastAsia="標楷體" w:hAnsi="Times" w:cs="標楷體" w:hint="eastAsia"/>
        </w:rPr>
        <w:t>將股票視為一種動態系統，將各支股票的股價與交易量進行</w:t>
      </w:r>
      <w:r w:rsidR="006E4D40" w:rsidRPr="006E4D40">
        <w:rPr>
          <w:rFonts w:ascii="Times" w:eastAsia="標楷體" w:hAnsi="Times" w:cs="標楷體"/>
        </w:rPr>
        <w:t>State Space Reconstruction</w:t>
      </w:r>
      <w:r w:rsidR="006E4D40">
        <w:rPr>
          <w:rFonts w:ascii="Times" w:eastAsia="標楷體" w:hAnsi="Times" w:cs="標楷體" w:hint="eastAsia"/>
        </w:rPr>
        <w:t>，來觀察股票的變化情形是否具有混沌現象。</w:t>
      </w:r>
    </w:p>
    <w:p w:rsidR="00C5175A" w:rsidRDefault="00C5175A" w:rsidP="00C5175A">
      <w:pPr>
        <w:rPr>
          <w:rFonts w:ascii="Times" w:eastAsia="標楷體" w:hAnsi="Times" w:cs="標楷體"/>
          <w:sz w:val="28"/>
          <w:szCs w:val="28"/>
        </w:rPr>
      </w:pPr>
      <w:r>
        <w:rPr>
          <w:rFonts w:ascii="Times" w:eastAsia="標楷體" w:hAnsi="Times" w:cs="標楷體" w:hint="eastAsia"/>
          <w:sz w:val="28"/>
          <w:szCs w:val="28"/>
        </w:rPr>
        <w:t>2</w:t>
      </w:r>
      <w:r w:rsidRPr="00694D05">
        <w:rPr>
          <w:rFonts w:ascii="Times" w:eastAsia="標楷體" w:hAnsi="Times" w:cs="標楷體"/>
          <w:sz w:val="28"/>
          <w:szCs w:val="28"/>
        </w:rPr>
        <w:tab/>
      </w:r>
      <w:r>
        <w:rPr>
          <w:rFonts w:ascii="Times" w:eastAsia="標楷體" w:hAnsi="Times" w:cs="標楷體" w:hint="eastAsia"/>
          <w:sz w:val="28"/>
          <w:szCs w:val="28"/>
        </w:rPr>
        <w:t>Analysis methods</w:t>
      </w:r>
    </w:p>
    <w:p w:rsidR="00651484" w:rsidRPr="00907027" w:rsidRDefault="0014502F" w:rsidP="00C5175A">
      <w:pPr>
        <w:rPr>
          <w:rFonts w:ascii="Times New Roman" w:eastAsia="標楷體" w:hAnsi="Times New Roman" w:cs="Times New Roman"/>
          <w:kern w:val="2"/>
          <w:szCs w:val="22"/>
        </w:rPr>
      </w:pPr>
      <w:r>
        <w:rPr>
          <w:rFonts w:ascii="Times" w:eastAsia="標楷體" w:hAnsi="Times" w:cs="標楷體" w:hint="eastAsia"/>
        </w:rPr>
        <w:tab/>
      </w:r>
      <w:r w:rsidR="00AF163C" w:rsidRPr="00907027">
        <w:rPr>
          <w:rFonts w:ascii="Times New Roman" w:eastAsia="標楷體" w:hAnsi="Times" w:cs="Times New Roman"/>
        </w:rPr>
        <w:t>由於我們想對台灣不同產業的股票作分析，比較不同產業對於股票趨勢的影響，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因此決定選擇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台塑化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proofErr w:type="gramStart"/>
      <w:r w:rsidR="00AF163C" w:rsidRPr="00907027">
        <w:rPr>
          <w:rFonts w:ascii="Times New Roman" w:eastAsia="標楷體" w:hAnsi="標楷體" w:cs="Times New Roman"/>
          <w:kern w:val="2"/>
          <w:szCs w:val="22"/>
        </w:rPr>
        <w:t>油電燃氣</w:t>
      </w:r>
      <w:proofErr w:type="gramEnd"/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、中華電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通信網路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</w:t>
      </w:r>
      <w:proofErr w:type="gramStart"/>
      <w:r w:rsidR="00CB0E3F" w:rsidRPr="00907027">
        <w:rPr>
          <w:rFonts w:ascii="Times New Roman" w:eastAsia="標楷體" w:hAnsi="標楷體" w:cs="Times New Roman"/>
          <w:kern w:val="2"/>
          <w:szCs w:val="22"/>
        </w:rPr>
        <w:t>大立光</w:t>
      </w:r>
      <w:proofErr w:type="gramEnd"/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光電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、台積電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其他電子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、鴻海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半導體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和</w:t>
      </w:r>
      <w:proofErr w:type="gramStart"/>
      <w:r w:rsidR="00CB0E3F" w:rsidRPr="00907027">
        <w:rPr>
          <w:rFonts w:ascii="Times New Roman" w:eastAsia="標楷體" w:hAnsi="標楷體" w:cs="Times New Roman"/>
          <w:kern w:val="2"/>
          <w:szCs w:val="22"/>
        </w:rPr>
        <w:t>聯發</w:t>
      </w:r>
      <w:proofErr w:type="gramEnd"/>
      <w:r w:rsidR="00CB0E3F" w:rsidRPr="00907027">
        <w:rPr>
          <w:rFonts w:ascii="Times New Roman" w:eastAsia="標楷體" w:hAnsi="標楷體" w:cs="Times New Roman"/>
          <w:kern w:val="2"/>
          <w:szCs w:val="22"/>
        </w:rPr>
        <w:t>科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半導體</w:t>
      </w:r>
      <w:r w:rsidR="00AF163C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等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六支股票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來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進行</w:t>
      </w:r>
      <w:r w:rsidR="00A326C3" w:rsidRPr="00907027">
        <w:rPr>
          <w:rFonts w:ascii="Times New Roman" w:eastAsia="標楷體" w:hAnsi="標楷體" w:cs="Times New Roman"/>
          <w:kern w:val="2"/>
          <w:szCs w:val="22"/>
        </w:rPr>
        <w:t>分析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。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而對於每一支股票，使用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2011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年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1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月至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2021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年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1</w:t>
      </w:r>
      <w:r w:rsidR="00A326C3" w:rsidRPr="00907027">
        <w:rPr>
          <w:rFonts w:ascii="Times New Roman" w:eastAsia="標楷體" w:hAnsi="標楷體" w:cs="Times New Roman"/>
          <w:kern w:val="2"/>
          <w:szCs w:val="22"/>
        </w:rPr>
        <w:t>月為期十年的每日交易資料，並針對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開盤價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(Open)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、當日最高點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(High)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、當日最低點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(Low)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、收盤價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(Close)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和交易量</w:t>
      </w:r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proofErr w:type="spellStart"/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Volumn</w:t>
      </w:r>
      <w:proofErr w:type="spellEnd"/>
      <w:r w:rsidR="00CB0E3F"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="00A326C3" w:rsidRPr="00907027">
        <w:rPr>
          <w:rFonts w:ascii="Times New Roman" w:eastAsia="標楷體" w:hAnsi="標楷體" w:cs="Times New Roman"/>
          <w:kern w:val="2"/>
          <w:szCs w:val="22"/>
        </w:rPr>
        <w:t>等</w:t>
      </w:r>
      <w:proofErr w:type="gramStart"/>
      <w:r w:rsidR="00A326C3" w:rsidRPr="00907027">
        <w:rPr>
          <w:rFonts w:ascii="Times New Roman" w:eastAsia="標楷體" w:hAnsi="標楷體" w:cs="Times New Roman"/>
          <w:kern w:val="2"/>
          <w:szCs w:val="22"/>
        </w:rPr>
        <w:t>來作</w:t>
      </w:r>
      <w:proofErr w:type="gramEnd"/>
      <w:r w:rsidR="00A326C3" w:rsidRPr="00907027">
        <w:rPr>
          <w:rFonts w:ascii="Times New Roman" w:eastAsia="標楷體" w:hAnsi="標楷體" w:cs="Times New Roman"/>
          <w:kern w:val="2"/>
          <w:szCs w:val="22"/>
        </w:rPr>
        <w:t>一維時間序列的狀態空間重建</w:t>
      </w:r>
      <w:r w:rsidR="00CB0E3F" w:rsidRPr="00907027">
        <w:rPr>
          <w:rFonts w:ascii="Times New Roman" w:eastAsia="標楷體" w:hAnsi="標楷體" w:cs="Times New Roman"/>
          <w:kern w:val="2"/>
          <w:szCs w:val="22"/>
        </w:rPr>
        <w:t>。</w:t>
      </w:r>
    </w:p>
    <w:p w:rsidR="00A326C3" w:rsidRPr="00907027" w:rsidRDefault="00A326C3" w:rsidP="00C5175A">
      <w:pPr>
        <w:rPr>
          <w:rFonts w:ascii="Times New Roman" w:eastAsia="標楷體" w:hAnsi="Times New Roman" w:cs="Times New Roman"/>
          <w:kern w:val="2"/>
          <w:szCs w:val="22"/>
        </w:rPr>
      </w:pPr>
      <w:r w:rsidRPr="00907027">
        <w:rPr>
          <w:rFonts w:ascii="Times New Roman" w:eastAsia="標楷體" w:hAnsi="Times New Roman" w:cs="Times New Roman"/>
          <w:kern w:val="2"/>
          <w:szCs w:val="22"/>
        </w:rPr>
        <w:tab/>
      </w:r>
      <w:r w:rsidRPr="00907027">
        <w:rPr>
          <w:rFonts w:ascii="Times New Roman" w:eastAsia="標楷體" w:hAnsi="標楷體" w:cs="Times New Roman"/>
          <w:kern w:val="2"/>
          <w:szCs w:val="22"/>
        </w:rPr>
        <w:t>重建的方法</w:t>
      </w:r>
      <w:r w:rsidR="00907027" w:rsidRPr="00907027">
        <w:rPr>
          <w:rFonts w:ascii="Times New Roman" w:eastAsia="標楷體" w:hAnsi="標楷體" w:cs="Times New Roman"/>
          <w:kern w:val="2"/>
          <w:szCs w:val="22"/>
        </w:rPr>
        <w:t>與流程為</w:t>
      </w:r>
      <w:r w:rsidRPr="00907027">
        <w:rPr>
          <w:rFonts w:ascii="Times New Roman" w:eastAsia="標楷體" w:hAnsi="標楷體" w:cs="Times New Roman"/>
          <w:kern w:val="2"/>
          <w:szCs w:val="22"/>
        </w:rPr>
        <w:t>，先分別對每支股票的開盤價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(Open)</w:t>
      </w:r>
      <w:r w:rsidRPr="00907027">
        <w:rPr>
          <w:rFonts w:ascii="Times New Roman" w:eastAsia="標楷體" w:hAnsi="標楷體" w:cs="Times New Roman"/>
          <w:kern w:val="2"/>
          <w:szCs w:val="22"/>
        </w:rPr>
        <w:t>、當日最高點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(High)</w:t>
      </w:r>
      <w:r w:rsidRPr="00907027">
        <w:rPr>
          <w:rFonts w:ascii="Times New Roman" w:eastAsia="標楷體" w:hAnsi="標楷體" w:cs="Times New Roman"/>
          <w:kern w:val="2"/>
          <w:szCs w:val="22"/>
        </w:rPr>
        <w:t>、當日最低點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(Low)</w:t>
      </w:r>
      <w:r w:rsidRPr="00907027">
        <w:rPr>
          <w:rFonts w:ascii="Times New Roman" w:eastAsia="標楷體" w:hAnsi="標楷體" w:cs="Times New Roman"/>
          <w:kern w:val="2"/>
          <w:szCs w:val="22"/>
        </w:rPr>
        <w:t>、收盤價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(Close)</w:t>
      </w:r>
      <w:r w:rsidRPr="00907027">
        <w:rPr>
          <w:rFonts w:ascii="Times New Roman" w:eastAsia="標楷體" w:hAnsi="標楷體" w:cs="Times New Roman"/>
          <w:kern w:val="2"/>
          <w:szCs w:val="22"/>
        </w:rPr>
        <w:t>和交易量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(</w:t>
      </w:r>
      <w:proofErr w:type="spellStart"/>
      <w:r w:rsidRPr="00907027">
        <w:rPr>
          <w:rFonts w:ascii="Times New Roman" w:eastAsia="標楷體" w:hAnsi="Times New Roman" w:cs="Times New Roman"/>
          <w:kern w:val="2"/>
          <w:szCs w:val="22"/>
        </w:rPr>
        <w:t>Volumn</w:t>
      </w:r>
      <w:proofErr w:type="spellEnd"/>
      <w:r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Pr="00907027">
        <w:rPr>
          <w:rFonts w:ascii="Times New Roman" w:eastAsia="標楷體" w:hAnsi="標楷體" w:cs="Times New Roman"/>
          <w:kern w:val="2"/>
          <w:szCs w:val="22"/>
        </w:rPr>
        <w:t>，透過</w:t>
      </w:r>
      <w:proofErr w:type="spellStart"/>
      <w:r w:rsidRPr="00907027">
        <w:rPr>
          <w:rFonts w:ascii="Times New Roman" w:eastAsia="標楷體" w:hAnsi="Times New Roman" w:cs="Times New Roman"/>
          <w:kern w:val="2"/>
          <w:szCs w:val="22"/>
        </w:rPr>
        <w:t>Matlab</w:t>
      </w:r>
      <w:proofErr w:type="spellEnd"/>
      <w:r w:rsidRPr="00907027">
        <w:rPr>
          <w:rFonts w:ascii="Times New Roman" w:eastAsia="標楷體" w:hAnsi="標楷體" w:cs="Times New Roman"/>
          <w:kern w:val="2"/>
          <w:szCs w:val="22"/>
        </w:rPr>
        <w:t>分析得到各自於不同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907027">
        <w:rPr>
          <w:rFonts w:ascii="Times New Roman" w:eastAsia="標楷體" w:hAnsi="標楷體" w:cs="Times New Roman"/>
          <w:kern w:val="2"/>
          <w:szCs w:val="22"/>
        </w:rPr>
        <w:t>下的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mutual information(I(m)</w:t>
      </w:r>
      <w:r w:rsidRPr="00907027">
        <w:rPr>
          <w:rFonts w:ascii="Times New Roman" w:eastAsia="標楷體" w:hAnsi="標楷體" w:cs="Times New Roman"/>
          <w:kern w:val="2"/>
          <w:szCs w:val="22"/>
        </w:rPr>
        <w:t>值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)</w:t>
      </w:r>
      <w:r w:rsidRPr="00907027">
        <w:rPr>
          <w:rFonts w:ascii="Times New Roman" w:eastAsia="標楷體" w:hAnsi="標楷體" w:cs="Times New Roman"/>
          <w:kern w:val="2"/>
          <w:szCs w:val="22"/>
        </w:rPr>
        <w:t>趨勢圖，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並</w:t>
      </w:r>
      <w:r w:rsidRPr="00907027">
        <w:rPr>
          <w:rFonts w:ascii="Times New Roman" w:eastAsia="標楷體" w:hAnsi="標楷體" w:cs="Times New Roman"/>
          <w:kern w:val="2"/>
          <w:szCs w:val="22"/>
        </w:rPr>
        <w:t>從趨勢圖中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找出第一次出現最低</w:t>
      </w:r>
      <w:r w:rsidR="00A40FF3" w:rsidRPr="00907027">
        <w:rPr>
          <w:rFonts w:ascii="Times New Roman" w:eastAsia="標楷體" w:hAnsi="Times New Roman" w:cs="Times New Roman"/>
          <w:kern w:val="2"/>
          <w:szCs w:val="22"/>
        </w:rPr>
        <w:t>I(m)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值的</w:t>
      </w:r>
      <w:r w:rsidR="00A40FF3" w:rsidRPr="00907027">
        <w:rPr>
          <w:rFonts w:ascii="Times New Roman" w:eastAsia="標楷體" w:hAnsi="Times New Roman" w:cs="Times New Roman"/>
          <w:kern w:val="2"/>
          <w:szCs w:val="22"/>
        </w:rPr>
        <w:t>time delay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，之後再利用此</w:t>
      </w:r>
      <w:r w:rsidR="00A40FF3" w:rsidRPr="00907027">
        <w:rPr>
          <w:rFonts w:ascii="Times New Roman" w:eastAsia="標楷體" w:hAnsi="Times New Roman" w:cs="Times New Roman"/>
          <w:kern w:val="2"/>
          <w:szCs w:val="22"/>
        </w:rPr>
        <w:t>time delay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值</w:t>
      </w:r>
      <w:r w:rsidR="00A616E3">
        <w:rPr>
          <w:rFonts w:ascii="Times New Roman" w:eastAsia="標楷體" w:hAnsi="標楷體" w:cs="Times New Roman" w:hint="eastAsia"/>
          <w:kern w:val="2"/>
          <w:szCs w:val="22"/>
        </w:rPr>
        <w:t>進行後續的</w:t>
      </w:r>
      <w:r w:rsidR="00A616E3">
        <w:rPr>
          <w:rFonts w:ascii="Times New Roman" w:eastAsia="標楷體" w:hAnsi="標楷體" w:cs="Times New Roman" w:hint="eastAsia"/>
          <w:kern w:val="2"/>
          <w:szCs w:val="22"/>
        </w:rPr>
        <w:t>embedding dimension</w:t>
      </w:r>
      <w:r w:rsidR="00A616E3">
        <w:rPr>
          <w:rFonts w:ascii="Times New Roman" w:eastAsia="標楷體" w:hAnsi="標楷體" w:cs="Times New Roman" w:hint="eastAsia"/>
          <w:kern w:val="2"/>
          <w:szCs w:val="22"/>
        </w:rPr>
        <w:t>分析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，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算出於</w:t>
      </w:r>
      <w:r w:rsidR="00A40FF3" w:rsidRPr="00907027">
        <w:rPr>
          <w:rFonts w:ascii="Times New Roman" w:eastAsia="標楷體" w:hAnsi="標楷體" w:cs="Times New Roman"/>
          <w:kern w:val="2"/>
          <w:szCs w:val="22"/>
        </w:rPr>
        <w:t>不同維度下的</w:t>
      </w:r>
      <w:r w:rsidR="00A40FF3" w:rsidRPr="00907027">
        <w:rPr>
          <w:rFonts w:ascii="Times New Roman" w:eastAsia="標楷體" w:hAnsi="Times New Roman" w:cs="Times New Roman"/>
          <w:kern w:val="2"/>
          <w:szCs w:val="22"/>
        </w:rPr>
        <w:t>False nearest neighbors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所占百分比，</w:t>
      </w:r>
      <w:r w:rsidR="00A616E3">
        <w:rPr>
          <w:rFonts w:ascii="Times New Roman" w:eastAsia="標楷體" w:hAnsi="標楷體" w:cs="Times New Roman" w:hint="eastAsia"/>
          <w:kern w:val="2"/>
          <w:szCs w:val="22"/>
        </w:rPr>
        <w:t>並</w:t>
      </w:r>
      <w:r w:rsidR="00AF163C" w:rsidRPr="00907027">
        <w:rPr>
          <w:rFonts w:ascii="Times New Roman" w:eastAsia="標楷體" w:hAnsi="標楷體" w:cs="Times New Roman"/>
          <w:kern w:val="2"/>
          <w:szCs w:val="22"/>
        </w:rPr>
        <w:t>得到每種資料的維度。</w:t>
      </w:r>
    </w:p>
    <w:p w:rsidR="00907027" w:rsidRPr="00907027" w:rsidRDefault="00907027" w:rsidP="00C5175A">
      <w:pPr>
        <w:rPr>
          <w:rFonts w:ascii="Times New Roman" w:eastAsia="標楷體" w:hAnsi="Times New Roman" w:cs="Times New Roman"/>
        </w:rPr>
      </w:pPr>
      <w:r w:rsidRPr="00907027">
        <w:rPr>
          <w:rFonts w:ascii="Times New Roman" w:eastAsia="標楷體" w:hAnsi="Times New Roman" w:cs="Times New Roman"/>
          <w:kern w:val="2"/>
          <w:szCs w:val="22"/>
        </w:rPr>
        <w:tab/>
      </w:r>
      <w:r>
        <w:rPr>
          <w:rFonts w:ascii="Times New Roman" w:eastAsia="標楷體" w:hAnsi="Times New Roman" w:cs="Times New Roman" w:hint="eastAsia"/>
          <w:kern w:val="2"/>
          <w:szCs w:val="22"/>
        </w:rPr>
        <w:t>而</w:t>
      </w:r>
      <w:r w:rsidRPr="00907027">
        <w:rPr>
          <w:rFonts w:ascii="Times New Roman" w:eastAsia="標楷體" w:hAnsi="標楷體" w:cs="Times New Roman"/>
          <w:kern w:val="2"/>
          <w:szCs w:val="22"/>
        </w:rPr>
        <w:t>每支股票的分析結果</w:t>
      </w:r>
      <w:r>
        <w:rPr>
          <w:rFonts w:ascii="Times New Roman" w:eastAsia="標楷體" w:hAnsi="標楷體" w:cs="Times New Roman"/>
          <w:kern w:val="2"/>
          <w:szCs w:val="22"/>
        </w:rPr>
        <w:t>詳</w:t>
      </w:r>
      <w:r>
        <w:rPr>
          <w:rFonts w:ascii="Times New Roman" w:eastAsia="標楷體" w:hAnsi="標楷體" w:cs="Times New Roman" w:hint="eastAsia"/>
          <w:kern w:val="2"/>
          <w:szCs w:val="22"/>
        </w:rPr>
        <w:t>見</w:t>
      </w:r>
      <w:r w:rsidRPr="00907027">
        <w:rPr>
          <w:rFonts w:ascii="Times New Roman" w:eastAsia="標楷體" w:hAnsi="標楷體" w:cs="Times New Roman"/>
          <w:kern w:val="2"/>
          <w:szCs w:val="22"/>
        </w:rPr>
        <w:t>下</w:t>
      </w:r>
      <w:r>
        <w:rPr>
          <w:rFonts w:ascii="Times New Roman" w:eastAsia="標楷體" w:hAnsi="標楷體" w:cs="Times New Roman" w:hint="eastAsia"/>
          <w:kern w:val="2"/>
          <w:szCs w:val="22"/>
        </w:rPr>
        <w:t>方</w:t>
      </w:r>
      <w:r w:rsidRPr="00907027">
        <w:rPr>
          <w:rFonts w:ascii="Times New Roman" w:eastAsia="標楷體" w:hAnsi="標楷體" w:cs="Times New Roman"/>
          <w:kern w:val="2"/>
          <w:szCs w:val="22"/>
        </w:rPr>
        <w:t>點</w:t>
      </w:r>
      <w:r w:rsidRPr="00907027">
        <w:rPr>
          <w:rFonts w:ascii="Times New Roman" w:eastAsia="標楷體" w:hAnsi="Times New Roman" w:cs="Times New Roman"/>
          <w:kern w:val="2"/>
          <w:szCs w:val="22"/>
        </w:rPr>
        <w:t>3</w:t>
      </w:r>
      <w:r>
        <w:rPr>
          <w:rFonts w:ascii="Times New Roman" w:eastAsia="標楷體" w:hAnsi="Times New Roman" w:cs="Times New Roman" w:hint="eastAsia"/>
          <w:kern w:val="2"/>
          <w:szCs w:val="22"/>
        </w:rPr>
        <w:t>所示</w:t>
      </w:r>
      <w:r w:rsidRPr="00907027">
        <w:rPr>
          <w:rFonts w:ascii="Times New Roman" w:eastAsia="標楷體" w:hAnsi="標楷體" w:cs="Times New Roman"/>
          <w:kern w:val="2"/>
          <w:szCs w:val="22"/>
        </w:rPr>
        <w:t>。</w:t>
      </w:r>
    </w:p>
    <w:p w:rsidR="00A616E3" w:rsidRDefault="00C5175A">
      <w:pPr>
        <w:rPr>
          <w:rFonts w:ascii="Times" w:eastAsia="標楷體" w:hAnsi="Times" w:cs="標楷體"/>
          <w:sz w:val="28"/>
          <w:szCs w:val="28"/>
        </w:rPr>
      </w:pPr>
      <w:r>
        <w:rPr>
          <w:rFonts w:ascii="Times" w:eastAsia="標楷體" w:hAnsi="Times" w:cs="標楷體" w:hint="eastAsia"/>
          <w:sz w:val="28"/>
          <w:szCs w:val="28"/>
        </w:rPr>
        <w:t>3</w:t>
      </w:r>
      <w:r>
        <w:rPr>
          <w:rFonts w:ascii="Times" w:eastAsia="標楷體" w:hAnsi="Times" w:cs="標楷體" w:hint="eastAsia"/>
          <w:sz w:val="28"/>
          <w:szCs w:val="28"/>
        </w:rPr>
        <w:tab/>
        <w:t>Results and conclusions</w:t>
      </w:r>
    </w:p>
    <w:p w:rsidR="0014502F" w:rsidRPr="0014502F" w:rsidRDefault="0014502F" w:rsidP="0014502F">
      <w:pPr>
        <w:widowControl w:val="0"/>
        <w:jc w:val="both"/>
        <w:rPr>
          <w:rFonts w:ascii="Times New Roman" w:hAnsi="Times New Roman" w:cs="Times New Roman"/>
          <w:b/>
          <w:bCs/>
          <w:kern w:val="2"/>
          <w:szCs w:val="22"/>
        </w:rPr>
      </w:pPr>
      <w:r w:rsidRPr="0014502F">
        <w:rPr>
          <w:rFonts w:ascii="Times New Roman" w:hAnsi="Times New Roman" w:cs="Times New Roman"/>
          <w:b/>
          <w:bCs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numPr>
          <w:ilvl w:val="0"/>
          <w:numId w:val="1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個股分析</w:t>
      </w:r>
    </w:p>
    <w:p w:rsidR="0014502F" w:rsidRPr="00A616E3" w:rsidRDefault="0014502F" w:rsidP="00CB0E3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我們發現</w:t>
      </w:r>
      <w:r w:rsidR="00A326C3" w:rsidRPr="00A616E3">
        <w:rPr>
          <w:rFonts w:ascii="Times New Roman" w:eastAsia="標楷體" w:hAnsi="標楷體" w:cs="Times New Roman"/>
          <w:kern w:val="2"/>
          <w:szCs w:val="22"/>
        </w:rPr>
        <w:t>在六支股票當中，</w:t>
      </w:r>
      <w:r w:rsidRPr="00A616E3">
        <w:rPr>
          <w:rFonts w:ascii="Times New Roman" w:eastAsia="標楷體" w:hAnsi="標楷體" w:cs="Times New Roman"/>
          <w:kern w:val="2"/>
          <w:szCs w:val="22"/>
        </w:rPr>
        <w:t>其中有三支股票的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  <w:r w:rsidRPr="00A616E3">
        <w:rPr>
          <w:rFonts w:ascii="Times New Roman" w:eastAsia="標楷體" w:hAnsi="標楷體" w:cs="Times New Roman"/>
          <w:kern w:val="2"/>
          <w:szCs w:val="22"/>
        </w:rPr>
        <w:t>很快地趨近於平緩，較難看出第一次出現最小值的點。以下進行分析的順序按照平緩程度排序。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台塑化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lastRenderedPageBreak/>
        <w:drawing>
          <wp:inline distT="0" distB="0" distL="0" distR="0">
            <wp:extent cx="3924300" cy="2937554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7" cy="297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圖一：台塑化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OHLCV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由圖中可以發現，開盤價、最高點、最低點和收盤價（後簡稱這四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個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資訊為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）之間的差異不大，都很快地趨於平緩，並維持在相近的值。而交易量的值則明顯比其他資訊都來得小，但同樣也都會很快地趨於平緩。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由此可以發現，進行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state-space reconstruction</w:t>
      </w:r>
      <w:r w:rsidRPr="00A616E3">
        <w:rPr>
          <w:rFonts w:ascii="Times New Roman" w:eastAsia="標楷體" w:hAnsi="標楷體" w:cs="Times New Roman"/>
          <w:kern w:val="2"/>
          <w:szCs w:val="22"/>
        </w:rPr>
        <w:t>時，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所需要的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都相近，可以由此推測，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之間的關聯十分密切，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很</w:t>
      </w:r>
      <w:proofErr w:type="gramEnd"/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受到同一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個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系統所影響。而交易量則與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相差較遠，可能受到不同系統的影響，或者是僅受到系統部分參數所控制。</w:t>
      </w:r>
    </w:p>
    <w:p w:rsidR="006B5393" w:rsidRPr="00A616E3" w:rsidRDefault="006B5393" w:rsidP="006B5393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909060" cy="2926148"/>
            <wp:effectExtent l="0" t="0" r="0" b="762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45" cy="29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圖二：台塑化開盤價資料的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lastRenderedPageBreak/>
        <w:t>觀察圖二，由於曲線很快地趨近平緩，無法明顯看出第一次最小值的位置，因此我們除了用人工進行判斷外，也使用了</w:t>
      </w:r>
      <w:proofErr w:type="spellStart"/>
      <w:r w:rsidRPr="00A616E3">
        <w:rPr>
          <w:rFonts w:ascii="Times New Roman" w:eastAsia="標楷體" w:hAnsi="Times New Roman" w:cs="Times New Roman"/>
          <w:kern w:val="2"/>
          <w:szCs w:val="22"/>
        </w:rPr>
        <w:t>matlab</w:t>
      </w:r>
      <w:proofErr w:type="spellEnd"/>
      <w:r w:rsidRPr="00A616E3">
        <w:rPr>
          <w:rFonts w:ascii="Times New Roman" w:eastAsia="標楷體" w:hAnsi="標楷體" w:cs="Times New Roman"/>
          <w:kern w:val="2"/>
          <w:szCs w:val="22"/>
        </w:rPr>
        <w:t>內建的函式進行分析，得到以下結果：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由於針對台塑化的資料難以由人工進行準確判斷，後續我們將採用內建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函式的數據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進行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embedding dimension</w:t>
      </w:r>
      <w:r w:rsidRPr="00A616E3">
        <w:rPr>
          <w:rFonts w:ascii="Times New Roman" w:eastAsia="標楷體" w:hAnsi="標楷體" w:cs="Times New Roman"/>
          <w:kern w:val="2"/>
          <w:szCs w:val="22"/>
        </w:rPr>
        <w:t>的分析。這邊可以注意到，雖然在圖一中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的曲線類似，但最終計算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數據時，可以發現開盤價與其他三者差異甚大，這可能是因為曲線太過平緩所導致的誤差。</w:t>
      </w:r>
    </w:p>
    <w:p w:rsidR="000F1078" w:rsidRPr="00A616E3" w:rsidRDefault="000F1078" w:rsidP="000F1078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tbl>
      <w:tblPr>
        <w:tblStyle w:val="1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內建函式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59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34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34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35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5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人工判斷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68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65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10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一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：台塑化各項資料的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14502F" w:rsidRPr="00A616E3" w:rsidRDefault="0014502F" w:rsidP="000F1078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中華電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886200" cy="2909034"/>
            <wp:effectExtent l="0" t="0" r="0" b="5715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11" cy="29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三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：中華電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OHLCV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6B5393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圖三中依然可以發現到，交易量和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之間的差距甚大。以下用另外用兩張圖表觀察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資料和交易量資料的特徵。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lastRenderedPageBreak/>
        <w:drawing>
          <wp:inline distT="0" distB="0" distL="0" distR="0">
            <wp:extent cx="3901440" cy="2920442"/>
            <wp:effectExtent l="0" t="0" r="3810" b="0"/>
            <wp:docPr id="1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974" cy="294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圖四：中華電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圖四可以發現，最高點和最低點的資料所得到的曲線相近，而開盤價和收盤價的資料也相近，但最高點和最低點的資料稍微比另外兩者高。由此可以推測，影響最高點和最低點的系統參數，可能又與影響開盤價和收盤價的系統參數有所區別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另外，可以發現，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資料在下降後，有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微幅地上升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，不過大致上仍然很平緩，較難觀察出詳細的第一次最小值位置。</w:t>
      </w:r>
    </w:p>
    <w:p w:rsidR="006B5393" w:rsidRPr="00A616E3" w:rsidRDefault="006B5393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893820" cy="2914738"/>
            <wp:effectExtent l="0" t="0" r="0" b="0"/>
            <wp:docPr id="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36" cy="29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圖五：中華電交易量資料的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由圖五可以觀察到，在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取到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左右時，突然出現了一個向</w:t>
      </w:r>
      <w:r w:rsidRPr="00A616E3">
        <w:rPr>
          <w:rFonts w:ascii="Times New Roman" w:eastAsia="標楷體" w:hAnsi="標楷體" w:cs="Times New Roman"/>
          <w:kern w:val="2"/>
          <w:szCs w:val="22"/>
        </w:rPr>
        <w:lastRenderedPageBreak/>
        <w:t>上的斷層，這代表距離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天左右以後的資料，與當天的交易量資料的關聯性會再次下降。這個現象雖然沒有在台塑化中看到，但在中華電以及後續分析的部份股票中都可以觀察到。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另外，交易量的曲線很快的趨近平緩，無法準確以人工觀察第一次最小值的位置。因此以下我們依然使用內建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函式與人工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判斷兩方法分析，並最終使用內建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函式的數據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進行後續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 xml:space="preserve">embedding </w:t>
      </w:r>
      <w:proofErr w:type="spellStart"/>
      <w:r w:rsidRPr="00A616E3">
        <w:rPr>
          <w:rFonts w:ascii="Times New Roman" w:eastAsia="標楷體" w:hAnsi="Times New Roman" w:cs="Times New Roman"/>
          <w:kern w:val="2"/>
          <w:szCs w:val="22"/>
        </w:rPr>
        <w:t>deimension</w:t>
      </w:r>
      <w:proofErr w:type="spellEnd"/>
      <w:r w:rsidRPr="00A616E3">
        <w:rPr>
          <w:rFonts w:ascii="Times New Roman" w:eastAsia="標楷體" w:hAnsi="標楷體" w:cs="Times New Roman"/>
          <w:kern w:val="2"/>
          <w:szCs w:val="22"/>
        </w:rPr>
        <w:t>的分析。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從表中可以發現，使用內建函式判斷的結果，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的資料得到的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都十分相近，因此可以說明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四項資料很可能受到同一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個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系統所影響。</w:t>
      </w:r>
    </w:p>
    <w:p w:rsidR="000F1078" w:rsidRPr="00A616E3" w:rsidRDefault="000F1078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tbl>
      <w:tblPr>
        <w:tblStyle w:val="1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內建函式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72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71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73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67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4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人工判斷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10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表二：中華電各項資料的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大立光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924300" cy="2937553"/>
            <wp:effectExtent l="0" t="0" r="0" b="0"/>
            <wp:docPr id="14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68" cy="296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圖六：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</w:t>
      </w:r>
      <w:proofErr w:type="gramEnd"/>
      <w:r w:rsidRPr="00A616E3">
        <w:rPr>
          <w:rFonts w:ascii="Times New Roman" w:eastAsia="標楷體" w:hAnsi="Times New Roman" w:cs="Times New Roman"/>
          <w:kern w:val="2"/>
          <w:szCs w:val="22"/>
        </w:rPr>
        <w:t>OHLCV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6B5393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圖六中依然可以發現到，交易量和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之間的差距甚大。</w:t>
      </w:r>
      <w:r w:rsidR="006B5393" w:rsidRPr="00A616E3">
        <w:rPr>
          <w:rFonts w:ascii="Times New Roman" w:eastAsia="標楷體" w:hAnsi="標楷體" w:cs="Times New Roman"/>
          <w:kern w:val="2"/>
          <w:szCs w:val="22"/>
        </w:rPr>
        <w:t>由於圖六中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y</w:t>
      </w:r>
      <w:r w:rsidRPr="00A616E3">
        <w:rPr>
          <w:rFonts w:ascii="Times New Roman" w:eastAsia="標楷體" w:hAnsi="標楷體" w:cs="Times New Roman"/>
          <w:kern w:val="2"/>
          <w:szCs w:val="22"/>
        </w:rPr>
        <w:t>軸的尺度較小，不易觀察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資料的細節，因此以下用另外用兩張圖表觀察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資料和交易量資料的特徵。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lastRenderedPageBreak/>
        <w:drawing>
          <wp:inline distT="0" distB="0" distL="0" distR="0">
            <wp:extent cx="3939540" cy="2948962"/>
            <wp:effectExtent l="0" t="0" r="3810" b="3810"/>
            <wp:docPr id="1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53" cy="297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圖七：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</w:t>
      </w:r>
      <w:proofErr w:type="gramEnd"/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資料在下降後，稍微明顯地上升，因此較容易觀察到第一次的最小值，故我們採用人工判斷的數據。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但觀察交易量資料的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  <w:r w:rsidRPr="00A616E3">
        <w:rPr>
          <w:rFonts w:ascii="Times New Roman" w:eastAsia="標楷體" w:hAnsi="標楷體" w:cs="Times New Roman"/>
          <w:kern w:val="2"/>
          <w:szCs w:val="22"/>
        </w:rPr>
        <w:t>時，我們發現了較為困惑的現象。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664661" cy="2743200"/>
            <wp:effectExtent l="0" t="0" r="0" b="0"/>
            <wp:docPr id="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34" cy="27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圖八：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大立光交易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量資料的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由圖八中可以發現，資料的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  <w:r w:rsidRPr="00A616E3">
        <w:rPr>
          <w:rFonts w:ascii="Times New Roman" w:eastAsia="標楷體" w:hAnsi="標楷體" w:cs="Times New Roman"/>
          <w:kern w:val="2"/>
          <w:szCs w:val="22"/>
        </w:rPr>
        <w:t>的尺度很小，因此看起來會是快速波動的樣子。可以發現在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左右，同樣地出現了向上的斷層。值得注意的是，資料的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  <w:r w:rsidRPr="00A616E3">
        <w:rPr>
          <w:rFonts w:ascii="Times New Roman" w:eastAsia="標楷體" w:hAnsi="標楷體" w:cs="Times New Roman"/>
          <w:kern w:val="2"/>
          <w:szCs w:val="22"/>
        </w:rPr>
        <w:t>不斷地下降，難以找到適當的第一次最小值，最終依據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50</w:t>
      </w:r>
      <w:r w:rsidRPr="00A616E3">
        <w:rPr>
          <w:rFonts w:ascii="Times New Roman" w:eastAsia="標楷體" w:hAnsi="標楷體" w:cs="Times New Roman"/>
          <w:kern w:val="2"/>
          <w:szCs w:val="22"/>
        </w:rPr>
        <w:t>左右時有微幅上升，而選擇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50</w:t>
      </w:r>
      <w:r w:rsidRPr="00A616E3">
        <w:rPr>
          <w:rFonts w:ascii="Times New Roman" w:eastAsia="標楷體" w:hAnsi="標楷體" w:cs="Times New Roman"/>
          <w:kern w:val="2"/>
          <w:szCs w:val="22"/>
        </w:rPr>
        <w:t>。</w:t>
      </w:r>
    </w:p>
    <w:p w:rsidR="000F1078" w:rsidRPr="00A616E3" w:rsidRDefault="000F1078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tbl>
      <w:tblPr>
        <w:tblStyle w:val="1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time delay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79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75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78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50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三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：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大立光各項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0F1078" w:rsidRPr="00A616E3" w:rsidRDefault="000F1078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</w:p>
    <w:p w:rsidR="000F1078" w:rsidRPr="00A616E3" w:rsidRDefault="000F1078" w:rsidP="000F1078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從表中依然可以發現，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資料得到的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都類似。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台積電</w:t>
      </w:r>
    </w:p>
    <w:p w:rsidR="0014502F" w:rsidRPr="00A616E3" w:rsidRDefault="0014502F" w:rsidP="0014502F">
      <w:pPr>
        <w:widowControl w:val="0"/>
        <w:ind w:left="48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4213860" cy="3154306"/>
            <wp:effectExtent l="0" t="0" r="0" b="8255"/>
            <wp:docPr id="22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17" cy="316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圖九：台積電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OHLCV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圖九中依然可以發現到，交易量和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之間的差距甚大。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由於圖九中，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y</w:t>
      </w:r>
      <w:r w:rsidRPr="00A616E3">
        <w:rPr>
          <w:rFonts w:ascii="Times New Roman" w:eastAsia="標楷體" w:hAnsi="標楷體" w:cs="Times New Roman"/>
          <w:kern w:val="2"/>
          <w:szCs w:val="22"/>
        </w:rPr>
        <w:t>軸的尺度較小，不易觀察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資料的細節，因此以下用另外用一張圖表觀察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資料和交易量資料的特徵。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另外，值得注意台積電的交易量資料中，並沒有在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時出現向上的斷層。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lastRenderedPageBreak/>
        <w:drawing>
          <wp:inline distT="0" distB="0" distL="0" distR="0">
            <wp:extent cx="3939540" cy="2948962"/>
            <wp:effectExtent l="0" t="0" r="3810" b="3810"/>
            <wp:docPr id="2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167" cy="29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圖十：台積電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資料在下降後，有明顯地上升，因此很容易觀察到第一次的最小值，故我們採用人工判斷的數據。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關於交易量資料的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  <w:r w:rsidRPr="00A616E3">
        <w:rPr>
          <w:rFonts w:ascii="Times New Roman" w:eastAsia="標楷體" w:hAnsi="標楷體" w:cs="Times New Roman"/>
          <w:kern w:val="2"/>
          <w:szCs w:val="22"/>
        </w:rPr>
        <w:t>，則與前述股票類似。</w:t>
      </w: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從表中依然可以發現，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資料得到的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都類似。</w:t>
      </w:r>
    </w:p>
    <w:p w:rsidR="000F1078" w:rsidRPr="00A616E3" w:rsidRDefault="000F1078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tbl>
      <w:tblPr>
        <w:tblStyle w:val="1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time delay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121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79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表四：台積電各項資料的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鴻海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954780" cy="2960370"/>
            <wp:effectExtent l="0" t="0" r="7620" b="0"/>
            <wp:docPr id="2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68" cy="29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lastRenderedPageBreak/>
        <w:t>圖十一：鴻海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OHLCV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圖十一中依然可以發現到，交易量和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之間的差距甚大。由於圖十一中，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y</w:t>
      </w:r>
      <w:r w:rsidRPr="00A616E3">
        <w:rPr>
          <w:rFonts w:ascii="Times New Roman" w:eastAsia="標楷體" w:hAnsi="標楷體" w:cs="Times New Roman"/>
          <w:kern w:val="2"/>
          <w:szCs w:val="22"/>
        </w:rPr>
        <w:t>軸的尺度較小，不易觀察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資料的細節，因此以下用另外用一張圖表觀察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資料和交易量資料的特徵。另外，值得注意鴻海的交易量資料中，仍然沒有在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時出現向上的斷層。</w:t>
      </w:r>
    </w:p>
    <w:p w:rsidR="000F1078" w:rsidRPr="00A616E3" w:rsidRDefault="000F1078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931920" cy="2943258"/>
            <wp:effectExtent l="0" t="0" r="0" b="9525"/>
            <wp:docPr id="27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46" cy="29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圖十二：鴻海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資料在下降後，於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80</w:t>
      </w:r>
      <w:r w:rsidRPr="00A616E3">
        <w:rPr>
          <w:rFonts w:ascii="Times New Roman" w:eastAsia="標楷體" w:hAnsi="標楷體" w:cs="Times New Roman"/>
          <w:kern w:val="2"/>
          <w:szCs w:val="22"/>
        </w:rPr>
        <w:t>附近又開始上升，因此很容易觀察到第一次的最小值，故我們採用人工判斷的數據。</w:t>
      </w:r>
      <w:r w:rsidR="000F1078" w:rsidRPr="00A616E3">
        <w:rPr>
          <w:rFonts w:ascii="Times New Roman" w:eastAsia="標楷體" w:hAnsi="標楷體" w:cs="Times New Roman"/>
          <w:kern w:val="2"/>
          <w:szCs w:val="22"/>
        </w:rPr>
        <w:t>而</w:t>
      </w:r>
      <w:r w:rsidRPr="00A616E3">
        <w:rPr>
          <w:rFonts w:ascii="Times New Roman" w:eastAsia="標楷體" w:hAnsi="標楷體" w:cs="Times New Roman"/>
          <w:kern w:val="2"/>
          <w:szCs w:val="22"/>
        </w:rPr>
        <w:t>關於交易量資料的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  <w:r w:rsidRPr="00A616E3">
        <w:rPr>
          <w:rFonts w:ascii="Times New Roman" w:eastAsia="標楷體" w:hAnsi="標楷體" w:cs="Times New Roman"/>
          <w:kern w:val="2"/>
          <w:szCs w:val="22"/>
        </w:rPr>
        <w:t>，則與前述股票類似。</w:t>
      </w:r>
    </w:p>
    <w:p w:rsidR="000F1078" w:rsidRPr="00A616E3" w:rsidRDefault="000F1078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tbl>
      <w:tblPr>
        <w:tblStyle w:val="1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time delay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81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86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87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36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表五：鴻海各項資料的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0F1078" w:rsidRPr="00A616E3" w:rsidRDefault="000F1078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</w:p>
    <w:p w:rsidR="000F1078" w:rsidRPr="00A616E3" w:rsidRDefault="000F1078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從表中依然可以發現，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資料得到的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都類似。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2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聯發科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lastRenderedPageBreak/>
        <w:drawing>
          <wp:inline distT="0" distB="0" distL="0" distR="0">
            <wp:extent cx="3863340" cy="2891922"/>
            <wp:effectExtent l="0" t="0" r="3810" b="3810"/>
            <wp:docPr id="28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98" cy="29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圖十三：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聯發科</w:t>
      </w:r>
      <w:proofErr w:type="gramEnd"/>
      <w:r w:rsidRPr="00A616E3">
        <w:rPr>
          <w:rFonts w:ascii="Times New Roman" w:eastAsia="標楷體" w:hAnsi="Times New Roman" w:cs="Times New Roman"/>
          <w:kern w:val="2"/>
          <w:szCs w:val="22"/>
        </w:rPr>
        <w:t>OHLCV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0F1078" w:rsidRPr="00A616E3" w:rsidRDefault="000F1078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</w:t>
      </w:r>
      <w:r w:rsidR="000F1078" w:rsidRPr="00A616E3">
        <w:rPr>
          <w:rFonts w:ascii="Times New Roman" w:eastAsia="標楷體" w:hAnsi="標楷體" w:cs="Times New Roman"/>
          <w:kern w:val="2"/>
          <w:szCs w:val="22"/>
        </w:rPr>
        <w:t>三</w:t>
      </w:r>
      <w:r w:rsidRPr="00A616E3">
        <w:rPr>
          <w:rFonts w:ascii="Times New Roman" w:eastAsia="標楷體" w:hAnsi="標楷體" w:cs="Times New Roman"/>
          <w:kern w:val="2"/>
          <w:szCs w:val="22"/>
        </w:rPr>
        <w:t>中依然可以發現到，交易量和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之間的差距甚大。就可以明顯看出，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的資料在下降後就開始上升，並趨於穩定，因此第一次的最小值可以清楚被觀察到。</w:t>
      </w:r>
    </w:p>
    <w:p w:rsidR="0014502F" w:rsidRPr="00A616E3" w:rsidRDefault="0014502F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另外，雖然在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時出現向上的斷層，但可以發現在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100</w:t>
      </w:r>
      <w:r w:rsidRPr="00A616E3">
        <w:rPr>
          <w:rFonts w:ascii="Times New Roman" w:eastAsia="標楷體" w:hAnsi="標楷體" w:cs="Times New Roman"/>
          <w:kern w:val="2"/>
          <w:szCs w:val="22"/>
        </w:rPr>
        <w:t>左右時，出現了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突然突然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向上的趨勢。</w:t>
      </w:r>
    </w:p>
    <w:p w:rsidR="000F1078" w:rsidRPr="00A616E3" w:rsidRDefault="000F1078" w:rsidP="0014502F">
      <w:pPr>
        <w:widowControl w:val="0"/>
        <w:ind w:left="96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tbl>
      <w:tblPr>
        <w:tblStyle w:val="1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time delay</w:t>
            </w:r>
          </w:p>
        </w:tc>
        <w:tc>
          <w:tcPr>
            <w:tcW w:w="1382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117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107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118</w:t>
            </w:r>
          </w:p>
        </w:tc>
        <w:tc>
          <w:tcPr>
            <w:tcW w:w="138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48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表五：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聯發科各項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numPr>
          <w:ilvl w:val="0"/>
          <w:numId w:val="1"/>
        </w:numPr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綜合分析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整理所有股票資料的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，標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註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上產業類別後可以得到下表：</w:t>
      </w:r>
    </w:p>
    <w:tbl>
      <w:tblPr>
        <w:tblStyle w:val="1"/>
        <w:tblW w:w="0" w:type="auto"/>
        <w:tblLook w:val="04A0"/>
      </w:tblPr>
      <w:tblGrid>
        <w:gridCol w:w="1273"/>
        <w:gridCol w:w="1274"/>
        <w:gridCol w:w="1149"/>
        <w:gridCol w:w="1150"/>
        <w:gridCol w:w="1150"/>
        <w:gridCol w:w="1150"/>
        <w:gridCol w:w="1150"/>
      </w:tblGrid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產業</w:t>
            </w:r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開盤價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最高點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最低點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收盤價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交易量</w:t>
            </w:r>
          </w:p>
        </w:tc>
      </w:tr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台塑化</w:t>
            </w:r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proofErr w:type="gramStart"/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油電燃氣</w:t>
            </w:r>
            <w:proofErr w:type="gramEnd"/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59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34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34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35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5</w:t>
            </w:r>
          </w:p>
        </w:tc>
      </w:tr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中華電</w:t>
            </w:r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通信網路</w:t>
            </w:r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72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71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73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67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4</w:t>
            </w:r>
          </w:p>
        </w:tc>
      </w:tr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proofErr w:type="gramStart"/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大立光</w:t>
            </w:r>
            <w:proofErr w:type="gramEnd"/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光電</w:t>
            </w:r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80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79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87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36</w:t>
            </w:r>
          </w:p>
        </w:tc>
      </w:tr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台積電</w:t>
            </w:r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其他電子</w:t>
            </w:r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121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79</w:t>
            </w:r>
          </w:p>
        </w:tc>
      </w:tr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鴻海</w:t>
            </w:r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半導體</w:t>
            </w:r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81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86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70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87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36</w:t>
            </w:r>
          </w:p>
        </w:tc>
      </w:tr>
      <w:tr w:rsidR="0014502F" w:rsidRPr="00A616E3" w:rsidTr="00A616E3">
        <w:tc>
          <w:tcPr>
            <w:tcW w:w="1273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proofErr w:type="gramStart"/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聯發科</w:t>
            </w:r>
            <w:proofErr w:type="gramEnd"/>
          </w:p>
        </w:tc>
        <w:tc>
          <w:tcPr>
            <w:tcW w:w="1274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標楷體" w:cs="Times New Roman"/>
                <w:kern w:val="2"/>
                <w:szCs w:val="22"/>
              </w:rPr>
              <w:t>半導體</w:t>
            </w:r>
          </w:p>
        </w:tc>
        <w:tc>
          <w:tcPr>
            <w:tcW w:w="1149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119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117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107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118</w:t>
            </w:r>
          </w:p>
        </w:tc>
        <w:tc>
          <w:tcPr>
            <w:tcW w:w="1150" w:type="dxa"/>
          </w:tcPr>
          <w:p w:rsidR="0014502F" w:rsidRPr="00A616E3" w:rsidRDefault="0014502F" w:rsidP="0014502F">
            <w:pPr>
              <w:widowControl w:val="0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A616E3">
              <w:rPr>
                <w:rFonts w:ascii="Times New Roman" w:eastAsia="標楷體" w:hAnsi="Times New Roman" w:cs="Times New Roman"/>
                <w:kern w:val="2"/>
                <w:szCs w:val="22"/>
              </w:rPr>
              <w:t>48</w:t>
            </w:r>
          </w:p>
        </w:tc>
      </w:tr>
    </w:tbl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表六：股票各項資料的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選取值</w:t>
      </w:r>
    </w:p>
    <w:p w:rsidR="000F1078" w:rsidRPr="00A616E3" w:rsidRDefault="000F1078" w:rsidP="000F1078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0F1078">
      <w:pPr>
        <w:widowControl w:val="0"/>
        <w:ind w:left="480" w:firstLine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其中台塑化及中華電的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是由</w:t>
      </w:r>
      <w:proofErr w:type="spellStart"/>
      <w:r w:rsidRPr="00A616E3">
        <w:rPr>
          <w:rFonts w:ascii="Times New Roman" w:eastAsia="標楷體" w:hAnsi="Times New Roman" w:cs="Times New Roman"/>
          <w:kern w:val="2"/>
          <w:szCs w:val="22"/>
        </w:rPr>
        <w:t>matlab</w:t>
      </w:r>
      <w:proofErr w:type="spellEnd"/>
      <w:r w:rsidRPr="00A616E3">
        <w:rPr>
          <w:rFonts w:ascii="Times New Roman" w:eastAsia="標楷體" w:hAnsi="標楷體" w:cs="Times New Roman"/>
          <w:kern w:val="2"/>
          <w:szCs w:val="22"/>
        </w:rPr>
        <w:t>內建函式計算得到的。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個股來看，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的資料所得到的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都差距不大，因此可以推</w:t>
      </w:r>
      <w:r w:rsidRPr="00A616E3">
        <w:rPr>
          <w:rFonts w:ascii="Times New Roman" w:eastAsia="標楷體" w:hAnsi="標楷體" w:cs="Times New Roman"/>
          <w:kern w:val="2"/>
          <w:szCs w:val="22"/>
        </w:rPr>
        <w:lastRenderedPageBreak/>
        <w:t>斷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的資料可能是由相同的系統所控制的。而交易量的資料，則明顯與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Pr="00A616E3">
        <w:rPr>
          <w:rFonts w:ascii="Times New Roman" w:eastAsia="標楷體" w:hAnsi="標楷體" w:cs="Times New Roman"/>
          <w:kern w:val="2"/>
          <w:szCs w:val="22"/>
        </w:rPr>
        <w:t>資料相差較大，可能是由不同的系統參數所控制。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整體來看，可以發現產業類別和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的關聯較小。例如鴻海和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聯發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科皆是半導體產業，但兩者的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卻十分不同，反而是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大立光和鴻海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或是台積電和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聯發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科，反而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較為相近。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0F1078" w:rsidRPr="00A616E3" w:rsidRDefault="0014502F" w:rsidP="000F1078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接下來我們對不同股票的同一種資料進行分析，由於分別對開盤價、最高點、最低點和收盤價資料進行分析時，圖形長相都十分類似，以下只以不同股票的開盤價資料進行比較。</w:t>
      </w:r>
    </w:p>
    <w:p w:rsidR="000F1078" w:rsidRPr="00A616E3" w:rsidRDefault="000F1078" w:rsidP="000F1078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drawing>
          <wp:inline distT="0" distB="0" distL="0" distR="0">
            <wp:extent cx="3870960" cy="2897627"/>
            <wp:effectExtent l="0" t="0" r="0" b="0"/>
            <wp:docPr id="29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82" cy="290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圖十四：不同股票間開盤價資料的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由圖十四可以發現，台積電和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大立光的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資料自相關度較為不好，而另外四支股票較好。</w:t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noProof/>
          <w:kern w:val="2"/>
          <w:szCs w:val="22"/>
          <w:lang w:bidi="th-TH"/>
        </w:rPr>
        <w:lastRenderedPageBreak/>
        <w:drawing>
          <wp:inline distT="0" distB="0" distL="0" distR="0">
            <wp:extent cx="3832860" cy="2869106"/>
            <wp:effectExtent l="0" t="0" r="0" b="7620"/>
            <wp:docPr id="30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88" cy="28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2F" w:rsidRPr="00A616E3" w:rsidRDefault="0014502F" w:rsidP="0014502F">
      <w:pPr>
        <w:widowControl w:val="0"/>
        <w:jc w:val="center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圖十五：不同股票間交易量資料的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mutual information</w:t>
      </w: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ind w:left="48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 xml:space="preserve">　　由圖十五可以發現，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大立光和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中華電在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260</w:t>
      </w:r>
      <w:r w:rsidRPr="00A616E3">
        <w:rPr>
          <w:rFonts w:ascii="Times New Roman" w:eastAsia="標楷體" w:hAnsi="標楷體" w:cs="Times New Roman"/>
          <w:kern w:val="2"/>
          <w:szCs w:val="22"/>
        </w:rPr>
        <w:t>的地方，出現了向上的斷層，而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聯發科則</w:t>
      </w:r>
      <w:proofErr w:type="gramEnd"/>
      <w:r w:rsidRPr="00A616E3">
        <w:rPr>
          <w:rFonts w:ascii="Times New Roman" w:eastAsia="標楷體" w:hAnsi="標楷體" w:cs="Times New Roman"/>
          <w:kern w:val="2"/>
          <w:szCs w:val="22"/>
        </w:rPr>
        <w:t>是在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r w:rsidRPr="00A616E3">
        <w:rPr>
          <w:rFonts w:ascii="Times New Roman" w:eastAsia="標楷體" w:hAnsi="標楷體" w:cs="Times New Roman"/>
          <w:kern w:val="2"/>
          <w:szCs w:val="22"/>
        </w:rPr>
        <w:t>為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100</w:t>
      </w:r>
      <w:r w:rsidRPr="00A616E3">
        <w:rPr>
          <w:rFonts w:ascii="Times New Roman" w:eastAsia="標楷體" w:hAnsi="標楷體" w:cs="Times New Roman"/>
          <w:kern w:val="2"/>
          <w:szCs w:val="22"/>
        </w:rPr>
        <w:t>的地方出現。</w:t>
      </w:r>
      <w:bookmarkStart w:id="0" w:name="_GoBack"/>
      <w:bookmarkEnd w:id="0"/>
    </w:p>
    <w:p w:rsidR="0014502F" w:rsidRPr="00A616E3" w:rsidRDefault="0014502F" w:rsidP="0014502F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</w:p>
    <w:p w:rsidR="0014502F" w:rsidRPr="00A616E3" w:rsidRDefault="0014502F" w:rsidP="0014502F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標楷體" w:cs="Times New Roman"/>
          <w:kern w:val="2"/>
          <w:szCs w:val="22"/>
        </w:rPr>
        <w:t>綜觀以上分析，可得以下結論：</w:t>
      </w:r>
    </w:p>
    <w:p w:rsidR="0014502F" w:rsidRPr="00A616E3" w:rsidRDefault="0014502F" w:rsidP="0014502F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kern w:val="2"/>
          <w:szCs w:val="22"/>
        </w:rPr>
        <w:t>1. time delay</w:t>
      </w:r>
      <w:r w:rsidR="00D10D00" w:rsidRPr="00A616E3">
        <w:rPr>
          <w:rFonts w:ascii="Times New Roman" w:eastAsia="標楷體" w:hAnsi="標楷體" w:cs="Times New Roman"/>
          <w:kern w:val="2"/>
          <w:szCs w:val="22"/>
        </w:rPr>
        <w:t>值</w:t>
      </w:r>
      <w:r w:rsidRPr="00A616E3">
        <w:rPr>
          <w:rFonts w:ascii="Times New Roman" w:eastAsia="標楷體" w:hAnsi="標楷體" w:cs="Times New Roman"/>
          <w:kern w:val="2"/>
          <w:szCs w:val="22"/>
        </w:rPr>
        <w:t>與股票的產業性質未有太大</w:t>
      </w:r>
      <w:r w:rsidR="00D10D00" w:rsidRPr="00A616E3">
        <w:rPr>
          <w:rFonts w:ascii="Times New Roman" w:eastAsia="標楷體" w:hAnsi="標楷體" w:cs="Times New Roman"/>
          <w:kern w:val="2"/>
          <w:szCs w:val="22"/>
        </w:rPr>
        <w:t>的</w:t>
      </w:r>
      <w:r w:rsidRPr="00A616E3">
        <w:rPr>
          <w:rFonts w:ascii="Times New Roman" w:eastAsia="標楷體" w:hAnsi="標楷體" w:cs="Times New Roman"/>
          <w:kern w:val="2"/>
          <w:szCs w:val="22"/>
        </w:rPr>
        <w:t>關聯性</w:t>
      </w:r>
    </w:p>
    <w:p w:rsidR="0014502F" w:rsidRPr="00A616E3" w:rsidRDefault="0014502F" w:rsidP="0014502F">
      <w:pPr>
        <w:widowControl w:val="0"/>
        <w:jc w:val="both"/>
        <w:rPr>
          <w:rFonts w:ascii="Times New Roman" w:eastAsia="標楷體" w:hAnsi="Times New Roman" w:cs="Times New Roman"/>
          <w:kern w:val="2"/>
          <w:szCs w:val="22"/>
        </w:rPr>
      </w:pPr>
      <w:r w:rsidRPr="00A616E3">
        <w:rPr>
          <w:rFonts w:ascii="Times New Roman" w:eastAsia="標楷體" w:hAnsi="Times New Roman" w:cs="Times New Roman"/>
          <w:kern w:val="2"/>
          <w:szCs w:val="22"/>
        </w:rPr>
        <w:t xml:space="preserve">2. </w:t>
      </w:r>
      <w:r w:rsidRPr="00A616E3">
        <w:rPr>
          <w:rFonts w:ascii="Times New Roman" w:eastAsia="標楷體" w:hAnsi="標楷體" w:cs="Times New Roman"/>
          <w:kern w:val="2"/>
          <w:szCs w:val="22"/>
        </w:rPr>
        <w:t>在六種股票中，交易量的</w:t>
      </w:r>
      <w:r w:rsidRPr="00A616E3">
        <w:rPr>
          <w:rFonts w:ascii="Times New Roman" w:eastAsia="標楷體" w:hAnsi="Times New Roman" w:cs="Times New Roman"/>
          <w:kern w:val="2"/>
          <w:szCs w:val="22"/>
        </w:rPr>
        <w:t>time delay</w:t>
      </w:r>
      <w:proofErr w:type="gramStart"/>
      <w:r w:rsidRPr="00A616E3">
        <w:rPr>
          <w:rFonts w:ascii="Times New Roman" w:eastAsia="標楷體" w:hAnsi="標楷體" w:cs="Times New Roman"/>
          <w:kern w:val="2"/>
          <w:szCs w:val="22"/>
        </w:rPr>
        <w:t>均較</w:t>
      </w:r>
      <w:proofErr w:type="gramEnd"/>
      <w:r w:rsidRPr="00A616E3">
        <w:rPr>
          <w:rFonts w:ascii="Times New Roman" w:eastAsia="標楷體" w:hAnsi="Times New Roman" w:cs="Times New Roman"/>
          <w:kern w:val="2"/>
          <w:szCs w:val="22"/>
        </w:rPr>
        <w:t>OHLC</w:t>
      </w:r>
      <w:r w:rsidR="00D10D00" w:rsidRPr="00A616E3">
        <w:rPr>
          <w:rFonts w:ascii="Times New Roman" w:eastAsia="標楷體" w:hAnsi="標楷體" w:cs="Times New Roman"/>
          <w:kern w:val="2"/>
          <w:szCs w:val="22"/>
        </w:rPr>
        <w:t>來得低，由此</w:t>
      </w:r>
      <w:r w:rsidRPr="00A616E3">
        <w:rPr>
          <w:rFonts w:ascii="Times New Roman" w:eastAsia="標楷體" w:hAnsi="標楷體" w:cs="Times New Roman"/>
          <w:kern w:val="2"/>
          <w:szCs w:val="22"/>
        </w:rPr>
        <w:t>推測交易量受到外在環境影響的反映較其他參數快。</w:t>
      </w:r>
    </w:p>
    <w:p w:rsidR="00290C1F" w:rsidRDefault="00290C1F" w:rsidP="00290C1F">
      <w:pPr>
        <w:widowControl w:val="0"/>
        <w:jc w:val="both"/>
        <w:rPr>
          <w:rFonts w:ascii="Times New Roman" w:hAnsi="Times New Roman" w:cs="Times New Roman" w:hint="eastAsia"/>
          <w:b/>
          <w:bCs/>
          <w:kern w:val="2"/>
          <w:szCs w:val="22"/>
        </w:rPr>
      </w:pPr>
      <w:proofErr w:type="spellStart"/>
      <w:r>
        <w:rPr>
          <w:rFonts w:ascii="Times New Roman" w:hAnsi="Times New Roman" w:cs="Times New Roman" w:hint="eastAsia"/>
          <w:b/>
          <w:bCs/>
          <w:kern w:val="2"/>
          <w:szCs w:val="22"/>
        </w:rPr>
        <w:t>Embeddig</w:t>
      </w:r>
      <w:proofErr w:type="spellEnd"/>
      <w:r>
        <w:rPr>
          <w:rFonts w:ascii="Times New Roman" w:hAnsi="Times New Roman" w:cs="Times New Roman" w:hint="eastAsia"/>
          <w:b/>
          <w:bCs/>
          <w:kern w:val="2"/>
          <w:szCs w:val="22"/>
        </w:rPr>
        <w:t xml:space="preserve"> Dimension </w:t>
      </w:r>
    </w:p>
    <w:p w:rsidR="005578E2" w:rsidRDefault="005578E2" w:rsidP="00290C1F">
      <w:pPr>
        <w:widowControl w:val="0"/>
        <w:jc w:val="both"/>
        <w:rPr>
          <w:rFonts w:ascii="Times New Roman" w:hAnsi="Times New Roman" w:cs="Times New Roman" w:hint="eastAsia"/>
          <w:b/>
          <w:bCs/>
          <w:kern w:val="2"/>
          <w:szCs w:val="22"/>
        </w:rPr>
      </w:pPr>
    </w:p>
    <w:p w:rsidR="00290C1F" w:rsidRPr="0014502F" w:rsidRDefault="00290C1F" w:rsidP="00290C1F">
      <w:pPr>
        <w:widowControl w:val="0"/>
        <w:jc w:val="both"/>
        <w:rPr>
          <w:rFonts w:ascii="Times New Roman" w:hAnsi="Times New Roman" w:cs="Times New Roman"/>
          <w:b/>
          <w:bCs/>
          <w:kern w:val="2"/>
          <w:szCs w:val="22"/>
        </w:rPr>
      </w:pPr>
      <w:r>
        <w:rPr>
          <w:rFonts w:ascii="Times New Roman" w:hAnsi="Times New Roman" w:cs="Times New Roman" w:hint="eastAsia"/>
          <w:b/>
          <w:bCs/>
          <w:kern w:val="2"/>
          <w:szCs w:val="22"/>
        </w:rPr>
        <w:t>Phase Space Reconstruction</w:t>
      </w:r>
    </w:p>
    <w:p w:rsidR="00651484" w:rsidRDefault="005578E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 w:rsidR="00573920">
        <w:rPr>
          <w:rFonts w:ascii="Times New Roman" w:eastAsia="標楷體" w:hAnsi="Times New Roman" w:cs="Times New Roman" w:hint="eastAsia"/>
        </w:rPr>
        <w:t>透過</w:t>
      </w:r>
      <w:r w:rsidR="00573920">
        <w:rPr>
          <w:rFonts w:ascii="Times New Roman" w:eastAsia="標楷體" w:hAnsi="Times New Roman" w:cs="Times New Roman" w:hint="eastAsia"/>
        </w:rPr>
        <w:t>Mutual information</w:t>
      </w:r>
      <w:r w:rsidR="00573920">
        <w:rPr>
          <w:rFonts w:ascii="Times New Roman" w:eastAsia="標楷體" w:hAnsi="Times New Roman" w:cs="Times New Roman" w:hint="eastAsia"/>
        </w:rPr>
        <w:t>與</w:t>
      </w:r>
      <w:r w:rsidR="00573920">
        <w:rPr>
          <w:rFonts w:ascii="Times New Roman" w:eastAsia="標楷體" w:hAnsi="Times New Roman" w:cs="Times New Roman" w:hint="eastAsia"/>
        </w:rPr>
        <w:t>Embedding dimension</w:t>
      </w:r>
      <w:r w:rsidR="00573920">
        <w:rPr>
          <w:rFonts w:ascii="Times New Roman" w:eastAsia="標楷體" w:hAnsi="Times New Roman" w:cs="Times New Roman" w:hint="eastAsia"/>
        </w:rPr>
        <w:t>得到每支股票的</w:t>
      </w:r>
      <w:r w:rsidR="00573920">
        <w:rPr>
          <w:rFonts w:ascii="Times New Roman" w:eastAsia="標楷體" w:hAnsi="Times New Roman" w:cs="Times New Roman" w:hint="eastAsia"/>
        </w:rPr>
        <w:t>time delay</w:t>
      </w:r>
      <w:r w:rsidR="00573920">
        <w:rPr>
          <w:rFonts w:ascii="Times New Roman" w:eastAsia="標楷體" w:hAnsi="Times New Roman" w:cs="Times New Roman" w:hint="eastAsia"/>
        </w:rPr>
        <w:t>以及</w:t>
      </w:r>
      <w:r w:rsidR="00573920">
        <w:rPr>
          <w:rFonts w:ascii="Times New Roman" w:eastAsia="標楷體" w:hAnsi="Times New Roman" w:cs="Times New Roman" w:hint="eastAsia"/>
        </w:rPr>
        <w:t>dimension</w:t>
      </w:r>
      <w:r w:rsidR="00573920">
        <w:rPr>
          <w:rFonts w:ascii="Times New Roman" w:eastAsia="標楷體" w:hAnsi="Times New Roman" w:cs="Times New Roman" w:hint="eastAsia"/>
        </w:rPr>
        <w:t>後，套用</w:t>
      </w:r>
      <w:proofErr w:type="spellStart"/>
      <w:r w:rsidR="00573920">
        <w:rPr>
          <w:rFonts w:ascii="Times New Roman" w:eastAsia="標楷體" w:hAnsi="Times New Roman" w:cs="Times New Roman" w:hint="eastAsia"/>
        </w:rPr>
        <w:t>Matlab</w:t>
      </w:r>
      <w:proofErr w:type="spellEnd"/>
      <w:r w:rsidR="00573920">
        <w:rPr>
          <w:rFonts w:ascii="Times New Roman" w:eastAsia="標楷體" w:hAnsi="Times New Roman" w:cs="Times New Roman" w:hint="eastAsia"/>
        </w:rPr>
        <w:t>的內建</w:t>
      </w:r>
      <w:proofErr w:type="spellStart"/>
      <w:r w:rsidR="00573920">
        <w:rPr>
          <w:rFonts w:ascii="Times New Roman" w:eastAsia="標楷體" w:hAnsi="Times New Roman" w:cs="Times New Roman" w:hint="eastAsia"/>
        </w:rPr>
        <w:t>phaseSpaceRecostruction</w:t>
      </w:r>
      <w:proofErr w:type="spellEnd"/>
      <w:r w:rsidR="00573920">
        <w:rPr>
          <w:rFonts w:ascii="Times New Roman" w:eastAsia="標楷體" w:hAnsi="Times New Roman" w:cs="Times New Roman" w:hint="eastAsia"/>
        </w:rPr>
        <w:t>函式，計算每支股票</w:t>
      </w:r>
      <w:r w:rsidR="00573920">
        <w:rPr>
          <w:rFonts w:ascii="Times New Roman" w:eastAsia="標楷體" w:hAnsi="Times New Roman" w:cs="Times New Roman" w:hint="eastAsia"/>
        </w:rPr>
        <w:t>OHLCV</w:t>
      </w:r>
      <w:r w:rsidR="00573920">
        <w:rPr>
          <w:rFonts w:ascii="Times New Roman" w:eastAsia="標楷體" w:hAnsi="Times New Roman" w:cs="Times New Roman" w:hint="eastAsia"/>
        </w:rPr>
        <w:t>重建後的</w:t>
      </w:r>
      <w:r w:rsidR="00217E8F">
        <w:rPr>
          <w:rFonts w:ascii="Times New Roman" w:eastAsia="標楷體" w:hAnsi="Times New Roman" w:cs="Times New Roman" w:hint="eastAsia"/>
        </w:rPr>
        <w:t>序列</w:t>
      </w:r>
      <w:r w:rsidR="00573920">
        <w:rPr>
          <w:rFonts w:ascii="Times New Roman" w:eastAsia="標楷體" w:hAnsi="Times New Roman" w:cs="Times New Roman" w:hint="eastAsia"/>
        </w:rPr>
        <w:t>XR</w:t>
      </w:r>
      <w:r w:rsidR="00573920">
        <w:rPr>
          <w:rFonts w:ascii="Times New Roman" w:eastAsia="標楷體" w:hAnsi="Times New Roman" w:cs="Times New Roman" w:hint="eastAsia"/>
        </w:rPr>
        <w:t>，再作圖繪出每</w:t>
      </w:r>
      <w:proofErr w:type="gramStart"/>
      <w:r w:rsidR="00573920">
        <w:rPr>
          <w:rFonts w:ascii="Times New Roman" w:eastAsia="標楷體" w:hAnsi="Times New Roman" w:cs="Times New Roman" w:hint="eastAsia"/>
        </w:rPr>
        <w:t>個</w:t>
      </w:r>
      <w:proofErr w:type="gramEnd"/>
      <w:r w:rsidR="00573920">
        <w:rPr>
          <w:rFonts w:ascii="Times New Roman" w:eastAsia="標楷體" w:hAnsi="Times New Roman" w:cs="Times New Roman" w:hint="eastAsia"/>
        </w:rPr>
        <w:t>資料的三維</w:t>
      </w:r>
      <w:r w:rsidR="00573920">
        <w:rPr>
          <w:rFonts w:ascii="Times New Roman" w:eastAsia="標楷體" w:hAnsi="Times New Roman" w:cs="Times New Roman" w:hint="eastAsia"/>
        </w:rPr>
        <w:t>Phase plot</w:t>
      </w:r>
      <w:r w:rsidR="00573920">
        <w:rPr>
          <w:rFonts w:ascii="Times New Roman" w:eastAsia="標楷體" w:hAnsi="Times New Roman" w:cs="Times New Roman" w:hint="eastAsia"/>
        </w:rPr>
        <w:t>，來觀察是否具有混沌現象。</w:t>
      </w:r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由於六支股票各自的</w:t>
      </w:r>
      <w:r>
        <w:rPr>
          <w:rFonts w:ascii="Times New Roman" w:eastAsia="標楷體" w:hAnsi="Times New Roman" w:cs="Times New Roman" w:hint="eastAsia"/>
        </w:rPr>
        <w:t>OHLC</w:t>
      </w:r>
      <w:r>
        <w:rPr>
          <w:rFonts w:ascii="Times New Roman" w:eastAsia="標楷體" w:hAnsi="Times New Roman" w:cs="Times New Roman" w:hint="eastAsia"/>
        </w:rPr>
        <w:t>所得的圖形均相當類似，因此以下僅針對六股開盤價與交易量的圖形進行分析探討。</w:t>
      </w:r>
    </w:p>
    <w:p w:rsidR="003529E8" w:rsidRPr="00290C1F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一、開盤價</w:t>
      </w:r>
    </w:p>
    <w:p w:rsidR="003529E8" w:rsidRDefault="003529E8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  <w:lang w:bidi="th-TH"/>
        </w:rPr>
        <w:lastRenderedPageBreak/>
        <w:drawing>
          <wp:inline distT="0" distB="0" distL="0" distR="0">
            <wp:extent cx="5054195" cy="3790950"/>
            <wp:effectExtent l="19050" t="0" r="0" b="0"/>
            <wp:docPr id="1" name="圖片 0" descr="台塑化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台塑化open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988" cy="37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3529E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台塑化開盤價的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drawing>
          <wp:inline distT="0" distB="0" distL="0" distR="0">
            <wp:extent cx="5274310" cy="3956050"/>
            <wp:effectExtent l="19050" t="0" r="2540" b="0"/>
            <wp:docPr id="2" name="圖片 1" descr="中華電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華電open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中華電開盤價的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lastRenderedPageBreak/>
        <w:drawing>
          <wp:inline distT="0" distB="0" distL="0" distR="0">
            <wp:extent cx="5274310" cy="3956050"/>
            <wp:effectExtent l="19050" t="0" r="2540" b="0"/>
            <wp:docPr id="5" name="圖片 4" descr="大立光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立光open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3529E8">
      <w:pPr>
        <w:jc w:val="center"/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大立光開盤價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drawing>
          <wp:inline distT="0" distB="0" distL="0" distR="0">
            <wp:extent cx="4981575" cy="3736481"/>
            <wp:effectExtent l="19050" t="0" r="9525" b="0"/>
            <wp:docPr id="4" name="圖片 3" descr="台積電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台積電open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76" cy="37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台積電開盤價的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lastRenderedPageBreak/>
        <w:drawing>
          <wp:inline distT="0" distB="0" distL="0" distR="0">
            <wp:extent cx="5274310" cy="3956050"/>
            <wp:effectExtent l="19050" t="0" r="2540" b="0"/>
            <wp:docPr id="6" name="圖片 5" descr="鴻海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鴻海open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3529E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鴻海開盤價的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drawing>
          <wp:inline distT="0" distB="0" distL="0" distR="0">
            <wp:extent cx="4924425" cy="3693615"/>
            <wp:effectExtent l="19050" t="0" r="0" b="0"/>
            <wp:docPr id="9" name="圖片 8" descr="聯發科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聯發科open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380" cy="36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3529E8">
      <w:pPr>
        <w:jc w:val="center"/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聯發科開盤價</w:t>
      </w:r>
      <w:proofErr w:type="gram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r w:rsidR="00E55061">
        <w:rPr>
          <w:rFonts w:ascii="Times New Roman" w:eastAsia="標楷體" w:hAnsi="Times New Roman" w:cs="Times New Roman"/>
        </w:rPr>
        <w:t>reconstruction</w:t>
      </w:r>
    </w:p>
    <w:p w:rsidR="00E55061" w:rsidRDefault="00E55061" w:rsidP="00E5506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ab/>
      </w:r>
      <w:r>
        <w:rPr>
          <w:rFonts w:ascii="Times New Roman" w:eastAsia="標楷體" w:hAnsi="Times New Roman" w:cs="Times New Roman" w:hint="eastAsia"/>
        </w:rPr>
        <w:t>從上方六張圖中可以看出，每支股票</w:t>
      </w:r>
      <w:r>
        <w:rPr>
          <w:rFonts w:ascii="Times New Roman" w:eastAsia="標楷體" w:hAnsi="Times New Roman" w:cs="Times New Roman"/>
        </w:rPr>
        <w:t>reconstruction</w:t>
      </w:r>
      <w:r>
        <w:rPr>
          <w:rFonts w:ascii="Times New Roman" w:eastAsia="標楷體" w:hAnsi="Times New Roman" w:cs="Times New Roman" w:hint="eastAsia"/>
        </w:rPr>
        <w:t>後</w:t>
      </w:r>
      <w:r w:rsidR="00217E8F">
        <w:rPr>
          <w:rFonts w:ascii="Times New Roman" w:eastAsia="標楷體" w:hAnsi="Times New Roman" w:cs="Times New Roman" w:hint="eastAsia"/>
        </w:rPr>
        <w:t>每點所圍出來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>
        <w:rPr>
          <w:rFonts w:ascii="Times New Roman" w:eastAsia="標楷體" w:hAnsi="Times New Roman" w:cs="Times New Roman" w:hint="eastAsia"/>
        </w:rPr>
        <w:t>圖形均不太</w:t>
      </w:r>
      <w:proofErr w:type="gramEnd"/>
      <w:r>
        <w:rPr>
          <w:rFonts w:ascii="Times New Roman" w:eastAsia="標楷體" w:hAnsi="Times New Roman" w:cs="Times New Roman" w:hint="eastAsia"/>
        </w:rPr>
        <w:t>一</w:t>
      </w:r>
      <w:r w:rsidR="00217E8F">
        <w:rPr>
          <w:rFonts w:ascii="Times New Roman" w:eastAsia="標楷體" w:hAnsi="Times New Roman" w:cs="Times New Roman" w:hint="eastAsia"/>
        </w:rPr>
        <w:t>樣</w:t>
      </w:r>
      <w:r>
        <w:rPr>
          <w:rFonts w:ascii="Times New Roman" w:eastAsia="標楷體" w:hAnsi="Times New Roman" w:cs="Times New Roman" w:hint="eastAsia"/>
        </w:rPr>
        <w:t>，</w:t>
      </w:r>
      <w:r w:rsidR="00217E8F">
        <w:rPr>
          <w:rFonts w:ascii="Times New Roman" w:eastAsia="標楷體" w:hAnsi="Times New Roman" w:cs="Times New Roman" w:hint="eastAsia"/>
        </w:rPr>
        <w:t>相當獨特，像是台塑化的圖形類似鳳梨形狀、</w:t>
      </w:r>
      <w:proofErr w:type="gramStart"/>
      <w:r>
        <w:rPr>
          <w:rFonts w:ascii="Times New Roman" w:eastAsia="標楷體" w:hAnsi="Times New Roman" w:cs="Times New Roman" w:hint="eastAsia"/>
        </w:rPr>
        <w:t>大立光與</w:t>
      </w:r>
      <w:proofErr w:type="gramEnd"/>
      <w:r w:rsidR="00217E8F">
        <w:rPr>
          <w:rFonts w:ascii="Times New Roman" w:eastAsia="標楷體" w:hAnsi="Times New Roman" w:cs="Times New Roman" w:hint="eastAsia"/>
        </w:rPr>
        <w:t>台積電類似龍捲風形狀、鴻海類似帽子狀等等，也由此可以看出，各支股票的</w:t>
      </w:r>
      <w:r w:rsidR="00217E8F">
        <w:rPr>
          <w:rFonts w:ascii="Times New Roman" w:eastAsia="標楷體" w:hAnsi="Times New Roman" w:cs="Times New Roman" w:hint="eastAsia"/>
        </w:rPr>
        <w:t>OHLC</w:t>
      </w:r>
      <w:r w:rsidR="00217E8F">
        <w:rPr>
          <w:rFonts w:ascii="Times New Roman" w:eastAsia="標楷體" w:hAnsi="Times New Roman" w:cs="Times New Roman" w:hint="eastAsia"/>
        </w:rPr>
        <w:t>，</w:t>
      </w:r>
      <w:proofErr w:type="gramStart"/>
      <w:r w:rsidR="00217E8F">
        <w:rPr>
          <w:rFonts w:ascii="Times New Roman" w:eastAsia="標楷體" w:hAnsi="Times New Roman" w:cs="Times New Roman" w:hint="eastAsia"/>
        </w:rPr>
        <w:t>均有混沌</w:t>
      </w:r>
      <w:proofErr w:type="gramEnd"/>
      <w:r w:rsidR="00217E8F">
        <w:rPr>
          <w:rFonts w:ascii="Times New Roman" w:eastAsia="標楷體" w:hAnsi="Times New Roman" w:cs="Times New Roman" w:hint="eastAsia"/>
        </w:rPr>
        <w:t>現象發生。</w:t>
      </w:r>
    </w:p>
    <w:p w:rsidR="00217E8F" w:rsidRDefault="00217E8F" w:rsidP="00E55061">
      <w:pPr>
        <w:rPr>
          <w:rFonts w:ascii="Times New Roman" w:eastAsia="標楷體" w:hAnsi="Times New Roman" w:cs="Times New Roman" w:hint="eastAsia"/>
        </w:rPr>
      </w:pPr>
    </w:p>
    <w:p w:rsidR="003529E8" w:rsidRDefault="003529E8" w:rsidP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二、交易量</w:t>
      </w:r>
    </w:p>
    <w:p w:rsidR="003529E8" w:rsidRPr="003529E8" w:rsidRDefault="003529E8" w:rsidP="003529E8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六支股票交易量的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  <w:r>
        <w:rPr>
          <w:rFonts w:ascii="Times New Roman" w:eastAsia="標楷體" w:hAnsi="Times New Roman" w:cs="Times New Roman" w:hint="eastAsia"/>
        </w:rPr>
        <w:t>結果如下：</w:t>
      </w:r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drawing>
          <wp:inline distT="0" distB="0" distL="0" distR="0">
            <wp:extent cx="4901807" cy="3676650"/>
            <wp:effectExtent l="19050" t="0" r="0" b="0"/>
            <wp:docPr id="10" name="圖片 9" descr="台塑化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台塑化volum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37" cy="367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台塑化交易量的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lastRenderedPageBreak/>
        <w:drawing>
          <wp:inline distT="0" distB="0" distL="0" distR="0">
            <wp:extent cx="4886325" cy="3665040"/>
            <wp:effectExtent l="19050" t="0" r="0" b="0"/>
            <wp:docPr id="11" name="圖片 10" descr="中華電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華電volume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644" cy="3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中華電交易量的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drawing>
          <wp:inline distT="0" distB="0" distL="0" distR="0">
            <wp:extent cx="5333574" cy="4000500"/>
            <wp:effectExtent l="19050" t="0" r="426" b="0"/>
            <wp:docPr id="15" name="圖片 14" descr="大立光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立光volume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59" cy="40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P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大立光交易</w:t>
      </w:r>
      <w:proofErr w:type="gramEnd"/>
      <w:r>
        <w:rPr>
          <w:rFonts w:ascii="Times New Roman" w:eastAsia="標楷體" w:hAnsi="Times New Roman" w:cs="Times New Roman" w:hint="eastAsia"/>
        </w:rPr>
        <w:t>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  <w:lang w:bidi="th-TH"/>
        </w:rPr>
        <w:lastRenderedPageBreak/>
        <w:drawing>
          <wp:inline distT="0" distB="0" distL="0" distR="0">
            <wp:extent cx="5282777" cy="3962400"/>
            <wp:effectExtent l="19050" t="0" r="0" b="0"/>
            <wp:docPr id="16" name="圖片 15" descr="台積電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台積電volume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444" cy="39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7E46A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台積電交易量的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  <w:lang w:bidi="th-TH"/>
        </w:rPr>
        <w:drawing>
          <wp:inline distT="0" distB="0" distL="0" distR="0">
            <wp:extent cx="5219700" cy="3915088"/>
            <wp:effectExtent l="19050" t="0" r="0" b="0"/>
            <wp:docPr id="17" name="圖片 16" descr="鴻海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鴻海volume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893" cy="391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鴻海交易量的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proofErr w:type="spellStart"/>
      <w:r>
        <w:rPr>
          <w:rFonts w:ascii="Times New Roman" w:eastAsia="標楷體" w:hAnsi="Times New Roman" w:cs="Times New Roman" w:hint="eastAsia"/>
        </w:rPr>
        <w:t>recostruction</w:t>
      </w:r>
      <w:proofErr w:type="spellEnd"/>
    </w:p>
    <w:p w:rsidR="003529E8" w:rsidRDefault="003529E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  <w:lang w:bidi="th-TH"/>
        </w:rPr>
        <w:lastRenderedPageBreak/>
        <w:drawing>
          <wp:inline distT="0" distB="0" distL="0" distR="0">
            <wp:extent cx="4972050" cy="3729335"/>
            <wp:effectExtent l="19050" t="0" r="0" b="0"/>
            <wp:docPr id="19" name="圖片 18" descr="聯發科vol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聯發科volume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795" cy="37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8" w:rsidRDefault="003529E8" w:rsidP="00AF224F">
      <w:pPr>
        <w:jc w:val="center"/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聯發科交易</w:t>
      </w:r>
      <w:proofErr w:type="gramEnd"/>
      <w:r>
        <w:rPr>
          <w:rFonts w:ascii="Times New Roman" w:eastAsia="標楷體" w:hAnsi="Times New Roman" w:cs="Times New Roman" w:hint="eastAsia"/>
        </w:rPr>
        <w:t>量的</w:t>
      </w:r>
      <w:r>
        <w:rPr>
          <w:rFonts w:ascii="Times New Roman" w:eastAsia="標楷體" w:hAnsi="Times New Roman" w:cs="Times New Roman" w:hint="eastAsia"/>
        </w:rPr>
        <w:t xml:space="preserve">phase space </w:t>
      </w:r>
      <w:r w:rsidR="00E55061">
        <w:rPr>
          <w:rFonts w:ascii="Times New Roman" w:eastAsia="標楷體" w:hAnsi="Times New Roman" w:cs="Times New Roman"/>
        </w:rPr>
        <w:t>reconstruction</w:t>
      </w:r>
    </w:p>
    <w:p w:rsidR="00217E8F" w:rsidRDefault="00217E8F" w:rsidP="00217E8F">
      <w:pPr>
        <w:rPr>
          <w:rFonts w:ascii="Times New Roman" w:eastAsia="標楷體" w:hAnsi="Times New Roman" w:cs="Times New Roman" w:hint="eastAsia"/>
        </w:rPr>
      </w:pPr>
    </w:p>
    <w:p w:rsidR="00E55061" w:rsidRDefault="00E55061" w:rsidP="00E5506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觀察六支股票交易量的</w:t>
      </w:r>
      <w:r>
        <w:rPr>
          <w:rFonts w:ascii="Times New Roman" w:eastAsia="標楷體" w:hAnsi="Times New Roman" w:cs="Times New Roman"/>
        </w:rPr>
        <w:t>reconstruction</w:t>
      </w:r>
      <w:r>
        <w:rPr>
          <w:rFonts w:ascii="Times New Roman" w:eastAsia="標楷體" w:hAnsi="Times New Roman" w:cs="Times New Roman" w:hint="eastAsia"/>
        </w:rPr>
        <w:t>圖形，均呈現橢圓形密集分布，類似於隨機分布的狀態，未有明顯的混沌現象。</w:t>
      </w:r>
    </w:p>
    <w:p w:rsidR="000C39F5" w:rsidRDefault="000C39F5" w:rsidP="00E55061">
      <w:pPr>
        <w:rPr>
          <w:rFonts w:ascii="Times New Roman" w:eastAsia="標楷體" w:hAnsi="Times New Roman" w:cs="Times New Roman" w:hint="eastAsia"/>
        </w:rPr>
      </w:pPr>
    </w:p>
    <w:p w:rsidR="00217E8F" w:rsidRDefault="000C39F5" w:rsidP="00E5506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三、小結</w:t>
      </w:r>
    </w:p>
    <w:p w:rsidR="000C39F5" w:rsidRDefault="000C39F5" w:rsidP="00E5506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如先前提到的，由於六支股票的</w:t>
      </w:r>
      <w:r>
        <w:rPr>
          <w:rFonts w:ascii="Times New Roman" w:eastAsia="標楷體" w:hAnsi="Times New Roman" w:cs="Times New Roman" w:hint="eastAsia"/>
        </w:rPr>
        <w:t>OHLC</w:t>
      </w:r>
      <w:r>
        <w:rPr>
          <w:rFonts w:ascii="Times New Roman" w:eastAsia="標楷體" w:hAnsi="Times New Roman" w:cs="Times New Roman" w:hint="eastAsia"/>
        </w:rPr>
        <w:t>的維度均相同，在動態系統裡可視為相同變數，因此</w:t>
      </w:r>
      <w:r>
        <w:rPr>
          <w:rFonts w:ascii="Times New Roman" w:eastAsia="標楷體" w:hAnsi="Times New Roman" w:cs="Times New Roman" w:hint="eastAsia"/>
        </w:rPr>
        <w:t xml:space="preserve">phase space </w:t>
      </w:r>
      <w:r>
        <w:rPr>
          <w:rFonts w:ascii="Times New Roman" w:eastAsia="標楷體" w:hAnsi="Times New Roman" w:cs="Times New Roman"/>
        </w:rPr>
        <w:t>reconstruction</w:t>
      </w:r>
      <w:r>
        <w:rPr>
          <w:rFonts w:ascii="Times New Roman" w:eastAsia="標楷體" w:hAnsi="Times New Roman" w:cs="Times New Roman" w:hint="eastAsia"/>
        </w:rPr>
        <w:t>出來的結構也類似；而不同的股票</w:t>
      </w:r>
      <w:r w:rsidR="007E46AF">
        <w:rPr>
          <w:rFonts w:ascii="Times New Roman" w:eastAsia="標楷體" w:hAnsi="Times New Roman" w:cs="Times New Roman" w:hint="eastAsia"/>
        </w:rPr>
        <w:t>OHLC</w:t>
      </w:r>
      <w:r w:rsidR="007E46AF">
        <w:rPr>
          <w:rFonts w:ascii="Times New Roman" w:eastAsia="標楷體" w:hAnsi="Times New Roman" w:cs="Times New Roman" w:hint="eastAsia"/>
        </w:rPr>
        <w:t>數值大小不同</w:t>
      </w:r>
      <w:r>
        <w:rPr>
          <w:rFonts w:ascii="Times New Roman" w:eastAsia="標楷體" w:hAnsi="Times New Roman" w:cs="Times New Roman" w:hint="eastAsia"/>
        </w:rPr>
        <w:t>，</w:t>
      </w:r>
      <w:r w:rsidR="007E46AF">
        <w:rPr>
          <w:rFonts w:ascii="Times New Roman" w:eastAsia="標楷體" w:hAnsi="Times New Roman" w:cs="Times New Roman" w:hint="eastAsia"/>
        </w:rPr>
        <w:t>指數每日的變動幅度亦不同，可以視為不同的動態系統，因此會得到不同的混沌圖形。</w:t>
      </w:r>
    </w:p>
    <w:p w:rsidR="007E46AF" w:rsidRDefault="007E46AF" w:rsidP="00E5506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至於在成交量的部分，六支股票的圖形均呈現隨機分布，這可能是由於各股的成交量較不受</w:t>
      </w:r>
      <w:r w:rsidR="003B09CE">
        <w:rPr>
          <w:rFonts w:ascii="Times New Roman" w:eastAsia="標楷體" w:hAnsi="Times New Roman" w:cs="Times New Roman" w:hint="eastAsia"/>
        </w:rPr>
        <w:t>股票</w:t>
      </w:r>
      <w:r>
        <w:rPr>
          <w:rFonts w:ascii="Times New Roman" w:eastAsia="標楷體" w:hAnsi="Times New Roman" w:cs="Times New Roman" w:hint="eastAsia"/>
        </w:rPr>
        <w:t>本身</w:t>
      </w:r>
      <w:r w:rsidR="003B09CE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結構</w:t>
      </w:r>
      <w:r w:rsidR="003B09CE">
        <w:rPr>
          <w:rFonts w:ascii="Times New Roman" w:eastAsia="標楷體" w:hAnsi="Times New Roman" w:cs="Times New Roman" w:hint="eastAsia"/>
        </w:rPr>
        <w:t>影響；</w:t>
      </w:r>
      <w:proofErr w:type="gramStart"/>
      <w:r w:rsidR="003B09CE">
        <w:rPr>
          <w:rFonts w:ascii="Times New Roman" w:eastAsia="標楷體" w:hAnsi="Times New Roman" w:cs="Times New Roman" w:hint="eastAsia"/>
        </w:rPr>
        <w:t>此外，</w:t>
      </w:r>
      <w:proofErr w:type="gramEnd"/>
      <w:r w:rsidR="003B09CE">
        <w:rPr>
          <w:rFonts w:ascii="Times New Roman" w:eastAsia="標楷體" w:hAnsi="Times New Roman" w:cs="Times New Roman" w:hint="eastAsia"/>
        </w:rPr>
        <w:t>交易量也會因當日市場的活躍度、投資人的購買能力等因素有關，總體受變動的因素較多且較複雜，導致</w:t>
      </w:r>
      <w:r w:rsidR="003B09CE">
        <w:rPr>
          <w:rFonts w:ascii="Times New Roman" w:eastAsia="標楷體" w:hAnsi="Times New Roman" w:cs="Times New Roman" w:hint="eastAsia"/>
        </w:rPr>
        <w:t xml:space="preserve">phase space </w:t>
      </w:r>
      <w:r w:rsidR="003B09CE">
        <w:rPr>
          <w:rFonts w:ascii="Times New Roman" w:eastAsia="標楷體" w:hAnsi="Times New Roman" w:cs="Times New Roman"/>
        </w:rPr>
        <w:t>reconstruction</w:t>
      </w:r>
      <w:r w:rsidR="003B09CE">
        <w:rPr>
          <w:rFonts w:ascii="Times New Roman" w:eastAsia="標楷體" w:hAnsi="Times New Roman" w:cs="Times New Roman" w:hint="eastAsia"/>
        </w:rPr>
        <w:t>後的結果呈現隨機分布的狀態。</w:t>
      </w:r>
    </w:p>
    <w:p w:rsidR="007E46AF" w:rsidRPr="003529E8" w:rsidRDefault="007E46AF" w:rsidP="00E55061">
      <w:pPr>
        <w:rPr>
          <w:rFonts w:ascii="Times New Roman" w:eastAsia="標楷體" w:hAnsi="Times New Roman" w:cs="Times New Roman"/>
        </w:rPr>
      </w:pPr>
    </w:p>
    <w:p w:rsidR="00C5175A" w:rsidRPr="00A616E3" w:rsidRDefault="00C5175A">
      <w:pPr>
        <w:rPr>
          <w:rFonts w:ascii="Times New Roman" w:eastAsia="標楷體" w:hAnsi="Times New Roman" w:cs="Times New Roman"/>
          <w:sz w:val="28"/>
          <w:szCs w:val="28"/>
        </w:rPr>
      </w:pPr>
      <w:r w:rsidRPr="00A616E3">
        <w:rPr>
          <w:rFonts w:ascii="Times New Roman" w:eastAsia="標楷體" w:hAnsi="Times New Roman" w:cs="Times New Roman"/>
          <w:sz w:val="28"/>
          <w:szCs w:val="28"/>
        </w:rPr>
        <w:t>4</w:t>
      </w:r>
      <w:r w:rsidRPr="00A616E3">
        <w:rPr>
          <w:rFonts w:ascii="Times New Roman" w:eastAsia="標楷體" w:hAnsi="Times New Roman" w:cs="Times New Roman"/>
          <w:sz w:val="28"/>
          <w:szCs w:val="28"/>
        </w:rPr>
        <w:tab/>
        <w:t>References</w:t>
      </w:r>
    </w:p>
    <w:p w:rsidR="006B5393" w:rsidRPr="00A616E3" w:rsidRDefault="00C4429C">
      <w:pPr>
        <w:rPr>
          <w:rFonts w:ascii="Times New Roman" w:eastAsia="標楷體" w:hAnsi="Times New Roman" w:cs="Times New Roman"/>
        </w:rPr>
      </w:pPr>
      <w:hyperlink r:id="rId35" w:history="1">
        <w:r w:rsidR="006B5393" w:rsidRPr="00A616E3">
          <w:rPr>
            <w:rStyle w:val="a7"/>
            <w:rFonts w:ascii="Times New Roman" w:eastAsia="標楷體" w:hAnsi="Times New Roman" w:cs="Times New Roman"/>
          </w:rPr>
          <w:t>https://www.cnyes.com/twstock/ps_historyprice.aspx</w:t>
        </w:r>
      </w:hyperlink>
      <w:r w:rsidR="006B5393" w:rsidRPr="00A616E3">
        <w:rPr>
          <w:rFonts w:ascii="Times New Roman" w:eastAsia="標楷體" w:hAnsi="Times New Roman" w:cs="Times New Roman"/>
        </w:rPr>
        <w:t xml:space="preserve"> </w:t>
      </w:r>
    </w:p>
    <w:p w:rsidR="000F1078" w:rsidRPr="00A616E3" w:rsidRDefault="00651484" w:rsidP="000F1078">
      <w:pPr>
        <w:pStyle w:val="Default"/>
        <w:rPr>
          <w:rFonts w:eastAsia="標楷體"/>
          <w:color w:val="auto"/>
          <w:sz w:val="22"/>
          <w:szCs w:val="22"/>
        </w:rPr>
      </w:pPr>
      <w:proofErr w:type="spellStart"/>
      <w:proofErr w:type="gramStart"/>
      <w:r w:rsidRPr="00A616E3">
        <w:rPr>
          <w:color w:val="auto"/>
          <w:sz w:val="22"/>
          <w:szCs w:val="22"/>
        </w:rPr>
        <w:t>Kunsch</w:t>
      </w:r>
      <w:proofErr w:type="spellEnd"/>
      <w:r w:rsidRPr="00A616E3">
        <w:rPr>
          <w:color w:val="auto"/>
          <w:sz w:val="22"/>
          <w:szCs w:val="22"/>
        </w:rPr>
        <w:t xml:space="preserve">, P., </w:t>
      </w:r>
      <w:proofErr w:type="spellStart"/>
      <w:r w:rsidRPr="00A616E3">
        <w:rPr>
          <w:color w:val="auto"/>
          <w:sz w:val="22"/>
          <w:szCs w:val="22"/>
        </w:rPr>
        <w:t>Theys</w:t>
      </w:r>
      <w:proofErr w:type="spellEnd"/>
      <w:r w:rsidRPr="00A616E3">
        <w:rPr>
          <w:color w:val="auto"/>
          <w:sz w:val="22"/>
          <w:szCs w:val="22"/>
        </w:rPr>
        <w:t xml:space="preserve">, M., Chevalier, A. and </w:t>
      </w:r>
      <w:proofErr w:type="spellStart"/>
      <w:r w:rsidRPr="00A616E3">
        <w:rPr>
          <w:color w:val="auto"/>
          <w:sz w:val="22"/>
          <w:szCs w:val="22"/>
        </w:rPr>
        <w:t>Lacopetta</w:t>
      </w:r>
      <w:proofErr w:type="spellEnd"/>
      <w:r w:rsidRPr="00A616E3">
        <w:rPr>
          <w:color w:val="auto"/>
          <w:sz w:val="22"/>
          <w:szCs w:val="22"/>
        </w:rPr>
        <w:t>, J. P. (2000).</w:t>
      </w:r>
      <w:proofErr w:type="gramEnd"/>
      <w:r w:rsidRPr="00A616E3">
        <w:rPr>
          <w:color w:val="auto"/>
          <w:sz w:val="22"/>
          <w:szCs w:val="22"/>
        </w:rPr>
        <w:t xml:space="preserve"> </w:t>
      </w:r>
      <w:r w:rsidR="000F1078" w:rsidRPr="00A616E3">
        <w:rPr>
          <w:rFonts w:eastAsia="標楷體"/>
          <w:color w:val="auto"/>
          <w:sz w:val="22"/>
          <w:szCs w:val="22"/>
        </w:rPr>
        <w:t xml:space="preserve">A System Dynamics Model </w:t>
      </w:r>
    </w:p>
    <w:p w:rsidR="00651484" w:rsidRPr="00A616E3" w:rsidRDefault="00651484" w:rsidP="000F1078">
      <w:pPr>
        <w:pStyle w:val="Default"/>
        <w:ind w:leftChars="177" w:left="425"/>
      </w:pPr>
      <w:proofErr w:type="gramStart"/>
      <w:r w:rsidRPr="00A616E3">
        <w:rPr>
          <w:rFonts w:eastAsia="標楷體"/>
          <w:color w:val="auto"/>
          <w:sz w:val="22"/>
          <w:szCs w:val="22"/>
        </w:rPr>
        <w:t>of</w:t>
      </w:r>
      <w:proofErr w:type="gramEnd"/>
      <w:r w:rsidRPr="00A616E3">
        <w:rPr>
          <w:rFonts w:eastAsia="標楷體"/>
          <w:color w:val="auto"/>
          <w:sz w:val="22"/>
          <w:szCs w:val="22"/>
        </w:rPr>
        <w:t xml:space="preserve"> Stock Price Movements.</w:t>
      </w:r>
      <w:r w:rsidRPr="00A616E3">
        <w:rPr>
          <w:color w:val="auto"/>
          <w:sz w:val="22"/>
          <w:szCs w:val="22"/>
        </w:rPr>
        <w:t xml:space="preserve"> Decision making: Recent development and world-wide applications Applied Optimization Volume 45: 157-171. </w:t>
      </w:r>
      <w:proofErr w:type="spellStart"/>
      <w:proofErr w:type="gramStart"/>
      <w:r w:rsidRPr="00A616E3">
        <w:rPr>
          <w:color w:val="auto"/>
          <w:sz w:val="22"/>
          <w:szCs w:val="22"/>
          <w:shd w:val="clear" w:color="auto" w:fill="FFFFFF"/>
        </w:rPr>
        <w:t>doi</w:t>
      </w:r>
      <w:proofErr w:type="spellEnd"/>
      <w:proofErr w:type="gramEnd"/>
      <w:r w:rsidRPr="00A616E3">
        <w:rPr>
          <w:color w:val="auto"/>
          <w:sz w:val="22"/>
          <w:szCs w:val="22"/>
          <w:shd w:val="clear" w:color="auto" w:fill="FFFFFF"/>
        </w:rPr>
        <w:t>:</w:t>
      </w:r>
      <w:r w:rsidRPr="00A616E3">
        <w:rPr>
          <w:color w:val="555555"/>
          <w:sz w:val="22"/>
          <w:szCs w:val="22"/>
          <w:shd w:val="clear" w:color="auto" w:fill="FFFFFF"/>
        </w:rPr>
        <w:t> </w:t>
      </w:r>
      <w:hyperlink r:id="rId36" w:tgtFrame="_blank" w:history="1">
        <w:r w:rsidRPr="00A616E3">
          <w:rPr>
            <w:rStyle w:val="a7"/>
            <w:sz w:val="22"/>
            <w:szCs w:val="22"/>
            <w:bdr w:val="none" w:sz="0" w:space="0" w:color="auto" w:frame="1"/>
            <w:shd w:val="clear" w:color="auto" w:fill="FFFFFF"/>
          </w:rPr>
          <w:t>10.1007/978-1-4757-4919-9_11</w:t>
        </w:r>
      </w:hyperlink>
    </w:p>
    <w:p w:rsidR="000F1078" w:rsidRPr="000F1078" w:rsidRDefault="000F1078" w:rsidP="000F1078">
      <w:pPr>
        <w:pStyle w:val="Default"/>
        <w:rPr>
          <w:rFonts w:eastAsia="標楷體"/>
          <w:color w:val="auto"/>
          <w:sz w:val="22"/>
          <w:szCs w:val="22"/>
        </w:rPr>
      </w:pPr>
    </w:p>
    <w:sectPr w:rsidR="000F1078" w:rsidRPr="000F1078" w:rsidSect="00F94764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170" w:rsidRDefault="00703170" w:rsidP="00C5175A">
      <w:r>
        <w:separator/>
      </w:r>
    </w:p>
  </w:endnote>
  <w:endnote w:type="continuationSeparator" w:id="0">
    <w:p w:rsidR="00703170" w:rsidRDefault="00703170" w:rsidP="00C51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3673"/>
      <w:docPartObj>
        <w:docPartGallery w:val="Page Numbers (Bottom of Page)"/>
        <w:docPartUnique/>
      </w:docPartObj>
    </w:sdtPr>
    <w:sdtContent>
      <w:p w:rsidR="003529E8" w:rsidRDefault="003529E8">
        <w:pPr>
          <w:pStyle w:val="a5"/>
          <w:jc w:val="right"/>
        </w:pPr>
        <w:fldSimple w:instr=" PAGE   \* MERGEFORMAT ">
          <w:r w:rsidR="006E4D40" w:rsidRPr="006E4D40">
            <w:rPr>
              <w:noProof/>
              <w:lang w:val="zh-TW"/>
            </w:rPr>
            <w:t>1</w:t>
          </w:r>
        </w:fldSimple>
      </w:p>
    </w:sdtContent>
  </w:sdt>
  <w:p w:rsidR="003529E8" w:rsidRDefault="003529E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170" w:rsidRDefault="00703170" w:rsidP="00C5175A">
      <w:r>
        <w:separator/>
      </w:r>
    </w:p>
  </w:footnote>
  <w:footnote w:type="continuationSeparator" w:id="0">
    <w:p w:rsidR="00703170" w:rsidRDefault="00703170" w:rsidP="00C517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F6684"/>
    <w:multiLevelType w:val="hybridMultilevel"/>
    <w:tmpl w:val="3CF849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2EA5AE6"/>
    <w:multiLevelType w:val="hybridMultilevel"/>
    <w:tmpl w:val="B726C2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75A"/>
    <w:rsid w:val="000C39F5"/>
    <w:rsid w:val="000F1078"/>
    <w:rsid w:val="00104BD6"/>
    <w:rsid w:val="0014502F"/>
    <w:rsid w:val="00160CF2"/>
    <w:rsid w:val="00217E8F"/>
    <w:rsid w:val="0023780A"/>
    <w:rsid w:val="00290C1F"/>
    <w:rsid w:val="002967DC"/>
    <w:rsid w:val="003529E8"/>
    <w:rsid w:val="003B09CE"/>
    <w:rsid w:val="005578E2"/>
    <w:rsid w:val="00573920"/>
    <w:rsid w:val="00651484"/>
    <w:rsid w:val="0067677A"/>
    <w:rsid w:val="006B5393"/>
    <w:rsid w:val="006E4D40"/>
    <w:rsid w:val="00703170"/>
    <w:rsid w:val="007E46AF"/>
    <w:rsid w:val="008037A4"/>
    <w:rsid w:val="00813E35"/>
    <w:rsid w:val="00907027"/>
    <w:rsid w:val="00A326C3"/>
    <w:rsid w:val="00A40FF3"/>
    <w:rsid w:val="00A616E3"/>
    <w:rsid w:val="00AF163C"/>
    <w:rsid w:val="00AF224F"/>
    <w:rsid w:val="00C4429C"/>
    <w:rsid w:val="00C5175A"/>
    <w:rsid w:val="00CB0E3F"/>
    <w:rsid w:val="00D10D00"/>
    <w:rsid w:val="00D57943"/>
    <w:rsid w:val="00E55061"/>
    <w:rsid w:val="00F94764"/>
    <w:rsid w:val="00F9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75A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517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75A"/>
    <w:rPr>
      <w:sz w:val="20"/>
      <w:szCs w:val="20"/>
    </w:rPr>
  </w:style>
  <w:style w:type="paragraph" w:customStyle="1" w:styleId="Default">
    <w:name w:val="Default"/>
    <w:rsid w:val="0065148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bidi="th-TH"/>
    </w:rPr>
  </w:style>
  <w:style w:type="character" w:styleId="a7">
    <w:name w:val="Hyperlink"/>
    <w:basedOn w:val="a0"/>
    <w:uiPriority w:val="99"/>
    <w:unhideWhenUsed/>
    <w:rsid w:val="00651484"/>
    <w:rPr>
      <w:color w:val="0000FF"/>
      <w:u w:val="single"/>
    </w:rPr>
  </w:style>
  <w:style w:type="table" w:customStyle="1" w:styleId="1">
    <w:name w:val="表格格線1"/>
    <w:basedOn w:val="a1"/>
    <w:uiPriority w:val="39"/>
    <w:rsid w:val="00145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145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450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4502F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0C39F5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C39F5"/>
  </w:style>
  <w:style w:type="character" w:customStyle="1" w:styleId="ad">
    <w:name w:val="註解文字 字元"/>
    <w:basedOn w:val="a0"/>
    <w:link w:val="ac"/>
    <w:uiPriority w:val="99"/>
    <w:semiHidden/>
    <w:rsid w:val="000C39F5"/>
    <w:rPr>
      <w:rFonts w:ascii="新細明體" w:eastAsia="新細明體" w:hAnsi="新細明體" w:cs="新細明體"/>
      <w:kern w:val="0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C39F5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0C39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hyperlink" Target="https://www.researchgate.net/deref/http%3A%2F%2Fdx.doi.org%2F10.1007%2F978-1-4757-4919-9_1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yperlink" Target="https://www.cnyes.com/twstock/ps_historyprice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77FBF-6664-490C-B539-9F38FA97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20</Pages>
  <Words>979</Words>
  <Characters>5584</Characters>
  <Application>Microsoft Office Word</Application>
  <DocSecurity>0</DocSecurity>
  <Lines>46</Lines>
  <Paragraphs>13</Paragraphs>
  <ScaleCrop>false</ScaleCrop>
  <Company>C.M.T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hg</cp:lastModifiedBy>
  <cp:revision>9</cp:revision>
  <dcterms:created xsi:type="dcterms:W3CDTF">2021-01-17T16:47:00Z</dcterms:created>
  <dcterms:modified xsi:type="dcterms:W3CDTF">2021-01-18T09:55:00Z</dcterms:modified>
</cp:coreProperties>
</file>