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Introduction</w:t>
      </w:r>
    </w:p>
    <w:p>
      <w:pPr>
        <w:spacing w:after="120"/>
        <w:jc w:val="both"/>
      </w:pPr>
      <w:r>
        <w:t xml:space="preserve">Les ascenseurs font partie de ces équipements dont on ne remarque l'existence qu'au moment où ils cessent de fonctionner. Leur disponibilité conditionne l'accessibilité des bâtiments, le confort et parfois la sécurité des usagers ; une panne, surtout lorsqu'elle immobilise une personne, engage directement la réputation et la responsabilité de l'entreprise chargée de la maintenance. Pour un ascensoriste, garantir la fiabilité d'un parc d'appareils est donc à la fois un impératif de service et un enjeu économique.</w:t>
      </w:r>
    </w:p>
    <w:p>
      <w:pPr>
        <w:spacing w:after="120"/>
        <w:jc w:val="both"/>
      </w:pPr>
      <w:r>
        <w:t xml:space="preserve">La maintenance de ces équipements a longtemps reposé sur deux logiques : réparer après la panne (maintenance corrective) et entretenir à intervalles réguliers (maintenance préventive). Depuis une dizaine d'années, une troisième voie s'impose dans le secteur : la maintenance prédictive, qui vise à anticiper les défaillances pour n'intervenir qu'au moment utile. Les grands groupes mondiaux — Otis, KONE, Schindler, TK Elevator — ont massivement investi dans des plateformes connectées, fondées sur des capteurs et l'intelligence artificielle, pour surveiller en temps réel l'état de leurs appareils.</w:t>
      </w:r>
    </w:p>
    <w:p>
      <w:pPr>
        <w:spacing w:after="120"/>
        <w:jc w:val="both"/>
      </w:pPr>
      <w:r>
        <w:t xml:space="preserve">Ces solutions restent toutefois largement hors de portée des petites et moyennes entreprises du secteur : elles supposent un investissement matériel important et sont surtout adaptées aux équipements récents et connectés, alors qu'une PME entretient souvent un parc ancien, multimarque et non instrumenté. Pourtant, ces mêmes entreprises disposent, sans toujours l'exploiter, d'un actif précieux : l'historique de leurs interventions, accumulé au fil des années dans leur logiciel de gestion de maintenance. C'est le cas d'AFEO Ascenseurs &amp; Automatisme, qui centralise dans le progiciel Binsa l'ensemble de ses interventions sur un parc de plusieurs milliers d'appareils.</w:t>
      </w:r>
    </w:p>
    <w:p>
      <w:pPr>
        <w:spacing w:after="120"/>
        <w:jc w:val="both"/>
      </w:pPr>
      <w:r>
        <w:t xml:space="preserve">Ce mémoire, réalisé dans le cadre d'un stage au sein d'AFEO, part de cette intuition : et si l'historique d'interventions suffisait, à lui seul, à anticiper les pannes ? Il s'agit d'évaluer la possibilité de construire, à partir des seules données déjà présentes dans Binsa et sans aucun capteur additionnel, un modèle d'apprentissage automatique capable d'estimer le risque de défaillance de chaque ascenseur. L'ambition n'est pas de livrer un système industrialisé, mais une preuve de concept : démontrer la faisabilité de la démarche, en mesurer la portée et les limites, et tracer la voie de son intégration.</w:t>
      </w:r>
    </w:p>
    <w:p>
      <w:pPr>
        <w:pStyle w:val="Heading2"/>
        <w:spacing w:before="240"/>
      </w:pPr>
      <w:r>
        <w:t xml:space="preserve">Problématique</w:t>
      </w:r>
    </w:p>
    <w:p>
      <w:pPr>
        <w:spacing w:after="120"/>
        <w:jc w:val="both"/>
      </w:pPr>
      <w:r>
        <w:t xml:space="preserve">La question centrale qui structure ce travail peut être formulée ainsi :</w:t>
      </w:r>
    </w:p>
    <w:p>
      <w:pPr>
        <w:spacing w:after="120" w:before="120"/>
        <w:ind w:left="400"/>
        <w:jc w:val="both"/>
      </w:pPr>
      <w:r>
        <w:rPr>
          <w:b/>
          <w:bCs/>
          <w:i/>
          <w:iCs/>
        </w:rPr>
        <w:t xml:space="preserve">Dans quelle mesure l'historique d'interventions d'une PME ascensoriste, tel qu'enregistré dans son système de gestion, permet-il de construire un modèle d'apprentissage automatique capable d'anticiper le risque de défaillance d'un appareil ?</w:t>
      </w:r>
    </w:p>
    <w:p>
      <w:pPr>
        <w:spacing w:after="120"/>
        <w:jc w:val="both"/>
      </w:pPr>
      <w:r>
        <w:t xml:space="preserve">Cette interrogation se décline en plusieurs sous-questions qui guident la démarche :</w:t>
      </w:r>
    </w:p>
    <w:p>
      <w:pPr>
        <w:pStyle w:val="ListParagraph"/>
        <w:numPr>
          <w:ilvl w:val="0"/>
          <w:numId w:val="1"/>
        </w:numPr>
        <w:spacing w:after="60"/>
        <w:jc w:val="both"/>
      </w:pPr>
      <w:r>
        <w:t xml:space="preserve">Les données disponibles sont-elles suffisantes, en quantité et en qualité, pour un apprentissage supervisé ? (volet faisabilité)</w:t>
      </w:r>
    </w:p>
    <w:p>
      <w:pPr>
        <w:pStyle w:val="ListParagraph"/>
        <w:numPr>
          <w:ilvl w:val="0"/>
          <w:numId w:val="1"/>
        </w:numPr>
        <w:spacing w:after="60"/>
        <w:jc w:val="both"/>
      </w:pPr>
      <w:r>
        <w:t xml:space="preserve">Comment définir et construire, à partir d'un historique d'interventions, une variable de « panne » et les variables explicatives associées ?</w:t>
      </w:r>
    </w:p>
    <w:p>
      <w:pPr>
        <w:pStyle w:val="ListParagraph"/>
        <w:numPr>
          <w:ilvl w:val="0"/>
          <w:numId w:val="1"/>
        </w:numPr>
        <w:spacing w:after="60"/>
        <w:jc w:val="both"/>
      </w:pPr>
      <w:r>
        <w:t xml:space="preserve">Quels modèles mobiliser, et comment évaluer honnêtement leur capacité à anticiper des pannes futures ?</w:t>
      </w:r>
    </w:p>
    <w:p>
      <w:pPr>
        <w:pStyle w:val="ListParagraph"/>
        <w:numPr>
          <w:ilvl w:val="0"/>
          <w:numId w:val="1"/>
        </w:numPr>
        <w:spacing w:after="60"/>
        <w:jc w:val="both"/>
      </w:pPr>
      <w:r>
        <w:t xml:space="preserve">Quelle valeur opérationnelle un tel modèle peut-il apporter à AFEO, et à quelles conditions peut-il s'intégrer à son fonctionnement ?</w:t>
      </w:r>
    </w:p>
    <w:p>
      <w:pPr>
        <w:pStyle w:val="Heading2"/>
        <w:spacing w:before="240"/>
      </w:pPr>
      <w:r>
        <w:t xml:space="preserve">Démarche et structure du mémoire</w:t>
      </w:r>
    </w:p>
    <w:p>
      <w:pPr>
        <w:spacing w:after="120"/>
        <w:jc w:val="both"/>
      </w:pPr>
      <w:r>
        <w:t xml:space="preserve">La réponse à ces questions procède en cinq temps. La première partie situe le travail dans son contexte sectoriel et théorique, et précise l'angle original retenu — la prédiction sans capteurs en PME. La deuxième partie présente le terrain et réalise un audit de faisabilité des données issues de Binsa, jusqu'à la construction du jeu de données d'apprentissage. La troisième partie détaille la méthodologie de modélisation : découpage temporel, définition des cibles, choix et entraînement des modèles. La quatrième partie expose et discute les résultats, obtenus par validation temporelle sur une période future. La cinquième partie, enfin, examine la valeur métier du modèle pour AFEO, les perspectives d'amélioration et une feuille de route d'intégration.</w:t>
      </w:r>
    </w:p>
    <w:p>
      <w:pPr>
        <w:spacing w:after="120"/>
        <w:jc w:val="both"/>
      </w:pPr>
      <w:r>
        <w:t xml:space="preserve">Un mot, pour finir, sur les conditions de ce travail. Comme souvent en entreprise, l'accès aux données et leur qualité ont constitué une contrainte de premier plan, et le temps imparti était limité. Plutôt que de les subir, ce mémoire choisit d'assumer ces contraintes comme un objet d'étude à part entière : car ce sont précisément elles qui caractérisent la réalité d'un projet de science des données en PME, et qui donnent à cette preuve de concept sa valeur d'enseignement.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2026-07-16T12:06:04.336Z</dcterms:created>
  <dcterms:modified xsi:type="dcterms:W3CDTF">2026-07-16T12:06:04.350Z</dcterms:modified>
</cp:coreProperties>
</file>

<file path=docProps/custom.xml><?xml version="1.0" encoding="utf-8"?>
<Properties xmlns="http://schemas.openxmlformats.org/officeDocument/2006/custom-properties" xmlns:vt="http://schemas.openxmlformats.org/officeDocument/2006/docPropsVTypes"/>
</file>