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Partie 1 — Contexte, enjeux et état de l'art</w:t>
      </w:r>
    </w:p>
    <w:p>
      <w:pPr>
        <w:spacing w:after="120"/>
        <w:jc w:val="both"/>
      </w:pPr>
      <w:r>
        <w:t xml:space="preserve">Cette partie situe le travail dans son cadre théorique et sectoriel. Elle rappelle d'abord les grandes stratégies de maintenance et l'intérêt de la maintenance prédictive, puis dresse un panorama des pratiques du secteur ascensoriste, dominées par les grands groupes et leurs plateformes connectées. Elle précise ensuite l'angle original du mémoire — la prédiction sans capteurs, à partir de l'historique d'une PME — avant d'exposer les principes de l'apprentissage supervisé mobilisés par la suite. Conformément au cadrage du mémoire, cet état de l'art se veut synthétique.</w:t>
      </w:r>
    </w:p>
    <w:p>
      <w:pPr>
        <w:pStyle w:val="Heading2"/>
        <w:spacing w:before="240"/>
      </w:pPr>
      <w:r>
        <w:t xml:space="preserve">1.1  Les stratégies de maintenance : du correctif au prédictif</w:t>
      </w:r>
    </w:p>
    <w:p>
      <w:pPr>
        <w:spacing w:after="120"/>
        <w:jc w:val="both"/>
      </w:pPr>
      <w:r>
        <w:t xml:space="preserve">On distingue classiquement trois grandes approches de la maintenance. La maintenance corrective intervient après la panne : elle est simple mais subie, source d'immobilisations imprévues et de coûts d'urgence. La maintenance préventive planifie des interventions à intervalles réguliers, indépendamment de l'état réel de l'équipement : elle réduit les pannes mais entraîne des visites parfois inutiles et un entretien uniforme, sans égard aux différences de risque entre appareils. La maintenance prédictive, enfin, cherche à anticiper la défaillance à partir de l'état et de l'historique de chaque équipement, afin de n'intervenir qu'au moment opportun.</w:t>
      </w:r>
    </w:p>
    <w:p>
      <w:pPr>
        <w:spacing w:after="120"/>
        <w:jc w:val="both"/>
      </w:pPr>
      <w:r>
        <w:t xml:space="preserve">L'intérêt de cette dernière approche est double : elle vise à réduire simultanément les pannes subies et les interventions superflues, en concentrant l'effort là où le risque le justifie. Elle relève d'une logique de maintenance conditionnelle, où l'action est déclenchée par des indices de dégradation plutôt que par un simple calendrier. C'est cette logique que le présent travail cherche à outiller.</w:t>
      </w:r>
    </w:p>
    <w:p>
      <w:pPr>
        <w:pStyle w:val="Heading2"/>
        <w:spacing w:before="240"/>
      </w:pPr>
      <w:r>
        <w:t xml:space="preserve">1.2  La maintenance prédictive dans le secteur ascensoriste</w:t>
      </w:r>
    </w:p>
    <w:p>
      <w:pPr>
        <w:spacing w:after="120"/>
        <w:jc w:val="both"/>
      </w:pPr>
      <w:r>
        <w:t xml:space="preserve">Le secteur de l'élévation a été un terrain précoce d'application de la maintenance prédictive, porté par les grands constructeurs mondiaux. Ceux-ci ont massivement investi dans des plateformes connectées reposant sur l'Internet des objets (IoT) et l'analyse de données dans le cloud. Otis exploite ainsi sa plateforme Otis ONE, qui connecte plusieurs centaines de milliers d'appareils pour en surveiller la performance. KONE propose ses 24/7 Connected Services, un service de maintenance prédictive fondé sur des capteurs et une analyse par intelligence artificielle, portant sur plus d'un million d'appareils connectés ; le groupe met en avant une résolution proactive d'une large part des incidents et une réduction sensible des temps d'indisponibilité. Schindler développe de son côté Schindler Ahead, et TK Elevator (ex-ThyssenKrupp) sa solution MAX, adossée au cloud.</w:t>
      </w:r>
    </w:p>
    <w:p>
      <w:pPr>
        <w:spacing w:after="120"/>
        <w:jc w:val="both"/>
      </w:pPr>
      <w:r>
        <w:t xml:space="preserve">Techniquement, ces dispositifs reposent sur des capteurs mesurant en continu des paramètres tels que le nombre de cycles de portes, le nombre de démarrages, la température ou la précision d'arrêt, transmis à des plateformes cloud où des algorithmes détectent les signes précurseurs de défaillance et adaptent le plan de maintenance.</w:t>
      </w:r>
    </w:p>
    <w:p>
      <w:pPr>
        <w:spacing w:after="120" w:before="60"/>
        <w:jc w:val="both"/>
      </w:pPr>
      <w:r>
        <w:rPr>
          <w:i/>
          <w:iCs/>
          <w:color w:val="555555"/>
          <w:sz w:val="20"/>
          <w:szCs w:val="20"/>
        </w:rPr>
        <w:t xml:space="preserve">Repères : Otis ONE, KONE 24/7 Connected Services (IBM Watson puis AWS), Schindler Ahead, TK Elevator MAX (Microsoft Azure). Sources sectorielles et communications des constructeurs (à référencer précisément dans la version finale).</w:t>
      </w:r>
    </w:p>
    <w:p>
      <w:pPr>
        <w:pStyle w:val="Heading2"/>
        <w:spacing w:before="240"/>
      </w:pPr>
      <w:r>
        <w:t xml:space="preserve">1.3  L'angle du mémoire : la prédiction « sans capteurs » en PME</w:t>
      </w:r>
    </w:p>
    <w:p>
      <w:pPr>
        <w:spacing w:after="120"/>
        <w:jc w:val="both"/>
      </w:pPr>
      <w:r>
        <w:t xml:space="preserve">Ces solutions présentent toutefois deux limites qui définissent, en creux, l'espace de ce mémoire. D'une part, elles sont pleinement fonctionnelles surtout sur les équipements récents des constructeurs concernés ; les appareils anciens ou d'autres marques peuvent être incompatibles ou nécessiter une modernisation. D'autre part, elles supposent un investissement matériel (capteurs, connectivité) et une infrastructure que peu de PME peuvent consentir sur un parc multimarque et hétérogène.</w:t>
      </w:r>
    </w:p>
    <w:p>
      <w:pPr>
        <w:spacing w:after="120"/>
        <w:jc w:val="both"/>
      </w:pPr>
      <w:r>
        <w:t xml:space="preserve">Or une approche alternative existe, de plus en plus reconnue : la maintenance prédictive fondée sur les seules données déjà présentes dans le système de gestion de maintenance (GMAO), sans capteur additionnel. En consolidant l'historique des interventions, des ordres de travail et des pannes, une PME peut identifier des motifs récurrents et anticiper les défaillances. Loin d'être un simple pis-aller, cette voie est désormais considérée comme une stratégie légitime et économiquement accessible, particulièrement adaptée aux structures ne pouvant déployer un réseau de capteurs. C'est exactement la situation d'AFEO, dont le progiciel Binsa concentre un historique riche mais jusqu'ici inexploité à des fins prédictives.</w:t>
      </w:r>
    </w:p>
    <w:p>
      <w:pPr>
        <w:spacing w:after="120"/>
        <w:jc w:val="both"/>
      </w:pPr>
      <w:r>
        <w:t xml:space="preserve">Le présent mémoire s'inscrit donc dans ce créneau peu documenté : évaluer dans quelle mesure l'historique d'interventions d'une PME ascensoriste suffit, à lui seul, à bâtir un modèle prédictif utile. C'est cet écart avec la littérature dominante, centrée sur les grands groupes et l'IoT, qui fait l'originalité du travail.</w:t>
      </w:r>
    </w:p>
    <w:p>
      <w:pPr>
        <w:pStyle w:val="Heading2"/>
        <w:spacing w:before="240"/>
      </w:pPr>
      <w:r>
        <w:t xml:space="preserve">1.4  Principes de l'apprentissage supervisé pour la prédiction de défaillances</w:t>
      </w:r>
    </w:p>
    <w:p>
      <w:pPr>
        <w:spacing w:after="120"/>
        <w:jc w:val="both"/>
      </w:pPr>
      <w:r>
        <w:t xml:space="preserve">Prédire une panne à partir d'un historique relève de l'apprentissage supervisé : à partir d'exemples passés dont l'issue est connue (l'appareil est-il tombé en panne ou non ?), un algorithme apprend une relation entre des variables descriptives et cette issue, qu'il applique ensuite à de nouveaux cas. Le problème traité ici est une classification binaire : pour chaque ascenseur, estimer la probabilité d'une panne sur une période à venir.</w:t>
      </w:r>
    </w:p>
    <w:p>
      <w:pPr>
        <w:spacing w:after="120"/>
        <w:jc w:val="both"/>
      </w:pPr>
      <w:r>
        <w:t xml:space="preserve">Plusieurs familles d'algorithmes se prêtent à cette tâche. La régression logistique fournit une référence linéaire simple et interprétable. Les méthodes d'ensemble fondées sur des arbres de décision — forêts aléatoires (Random Forest) et gradient boosting — capturent des relations plus complexes et non linéaires, et sont largement employées pour produire des scores de risque à partir de journaux de maintenance structurés.</w:t>
      </w:r>
    </w:p>
    <w:p>
      <w:pPr>
        <w:spacing w:after="120"/>
        <w:jc w:val="both"/>
      </w:pPr>
      <w:r>
        <w:t xml:space="preserve">Deux difficultés méthodologiques méritent une attention particulière. La première est le déséquilibre des classes : lorsque les pannes sont rares au regard du volume total d'observations, un modèle peut afficher une exactitude trompeuse tout en étant inutile. On lui préfère donc des métriques adaptées — précision, rappel, score F1, aire sous la courbe ROC (AUC) — qui rendent compte du compromis entre alertes manquées et fausses alertes, ainsi que des techniques de rééquilibrage lorsque nécessaire. La seconde est la validité temporelle de l'évaluation : pour être crédible, un modèle prédictif doit être testé sur une période postérieure à celle de son apprentissage, afin de ne jamais utiliser d'information du futur pour prédire le passé. Ces deux principes structureront la démarche méthodologique développée en Partie 3.</w:t>
      </w:r>
    </w:p>
    <w:p>
      <w:pPr>
        <w:spacing w:before="240"/>
      </w:pPr>
      <w:r>
        <w:rPr>
          <w:i/>
          <w:iCs/>
        </w:rPr>
        <w:t xml:space="preserve">En résumé, l'état de l'art fait apparaître un contraste net : la maintenance prédictive du secteur est aujourd'hui dominée par des solutions IoT réservées aux grands parcs récents et connectés, tandis que la voie fondée sur l'historique de GMAO — accessible aux PME — reste comparativement peu explorée. C'est dans cet interstice, à l'aide des outils de l'apprentissage supervisé, que se situe la contribution de ce mémoire.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2026-07-16T08:55:52.183Z</dcterms:created>
  <dcterms:modified xsi:type="dcterms:W3CDTF">2026-07-16T08:55:52.197Z</dcterms:modified>
</cp:coreProperties>
</file>

<file path=docProps/custom.xml><?xml version="1.0" encoding="utf-8"?>
<Properties xmlns="http://schemas.openxmlformats.org/officeDocument/2006/custom-properties" xmlns:vt="http://schemas.openxmlformats.org/officeDocument/2006/docPropsVTypes"/>
</file>