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Lab 2 Report</w:t>
      </w:r>
    </w:p>
    <w:p>
      <w:pPr>
        <w:jc w:val="center"/>
      </w:pPr>
      <w:r>
        <w:rPr>
          <w:sz w:val="24"/>
        </w:rPr>
        <w:t>Intelligent agents and the PEAS framework</w:t>
      </w:r>
    </w:p>
    <w:p>
      <w:pPr>
        <w:jc w:val="center"/>
      </w:pPr>
      <w:r>
        <w:rPr>
          <w:b/>
        </w:rPr>
        <w:t>Muhammad Ahmad | Roll No. 395</w:t>
      </w:r>
    </w:p>
    <w:p>
      <w:r>
        <w:t>This report records the implementation, assumptions, observed output, and limitations of the lab work. Thresholds and graph weights are synthetic exercise values.</w:t>
      </w:r>
    </w:p>
    <w:p>
      <w:pPr>
        <w:pStyle w:val="Heading1"/>
      </w:pPr>
      <w:r>
        <w:t>1. Objective and assumptions</w:t>
      </w:r>
    </w:p>
    <w:p>
      <w:r>
        <w:t>The implementation models a smart classroom energy agent. The input percept is temperature in degrees Celsius and a Boolean occupancy reading. The output is a simulated mode label. No hardware is controlled. The simple policy gives an empty room priority over temperature and uses strict comparisons: exactly 20°C and 26°C produce IDLE.</w:t>
      </w:r>
    </w:p>
    <w:p>
      <w:pPr>
        <w:pStyle w:val="Heading1"/>
      </w:pPr>
      <w:r>
        <w:t>2. PEAS specification: delivery robot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8"/>
              </w:rPr>
              <w:t>PEAS element</w:t>
            </w:r>
          </w:p>
        </w:tc>
        <w:tc>
          <w:tcPr>
            <w:tcW w:type="dxa" w:w="5040"/>
            <w:vAlign w:val="center"/>
            <w:shd w:fill="D9EAF7"/>
          </w:tcPr>
          <w:p>
            <w:r/>
            <w:r>
              <w:rPr>
                <w:b/>
                <w:sz w:val="18"/>
              </w:rPr>
              <w:t>Concrete entries</w:t>
            </w:r>
          </w:p>
        </w:tc>
      </w:tr>
      <w:tr>
        <w:tc>
          <w:tcPr>
            <w:tcW w:type="dxa" w:w="5040"/>
            <w:vAlign w:val="center"/>
          </w:tcPr>
          <w:p>
            <w:r/>
            <w:r>
              <w:rPr>
                <w:b w:val="0"/>
                <w:sz w:val="18"/>
              </w:rPr>
              <w:t>Performance</w:t>
            </w:r>
          </w:p>
        </w:tc>
        <w:tc>
          <w:tcPr>
            <w:tcW w:type="dxa" w:w="5040"/>
            <w:vAlign w:val="center"/>
          </w:tcPr>
          <w:p>
            <w:r/>
            <w:r>
              <w:rPr>
                <w:b w:val="0"/>
                <w:sz w:val="18"/>
              </w:rPr>
              <w:t>On-time delivery; collision-free movement; correct package handoff; battery and privacy constraints.</w:t>
            </w:r>
          </w:p>
        </w:tc>
      </w:tr>
      <w:tr>
        <w:tc>
          <w:tcPr>
            <w:tcW w:type="dxa" w:w="5040"/>
            <w:vAlign w:val="center"/>
          </w:tcPr>
          <w:p>
            <w:r/>
            <w:r>
              <w:rPr>
                <w:b w:val="0"/>
                <w:sz w:val="18"/>
              </w:rPr>
              <w:t>Environment</w:t>
            </w:r>
          </w:p>
        </w:tc>
        <w:tc>
          <w:tcPr>
            <w:tcW w:type="dxa" w:w="5040"/>
            <w:vAlign w:val="center"/>
          </w:tcPr>
          <w:p>
            <w:r/>
            <w:r>
              <w:rPr>
                <w:b w:val="0"/>
                <w:sz w:val="18"/>
              </w:rPr>
              <w:t>Campus paths; rooms and lifts; people, bicycles and weather.</w:t>
            </w:r>
          </w:p>
        </w:tc>
      </w:tr>
      <w:tr>
        <w:tc>
          <w:tcPr>
            <w:tcW w:type="dxa" w:w="5040"/>
            <w:vAlign w:val="center"/>
          </w:tcPr>
          <w:p>
            <w:r/>
            <w:r>
              <w:rPr>
                <w:b w:val="0"/>
                <w:sz w:val="18"/>
              </w:rPr>
              <w:t>Actuators</w:t>
            </w:r>
          </w:p>
        </w:tc>
        <w:tc>
          <w:tcPr>
            <w:tcW w:type="dxa" w:w="5040"/>
            <w:vAlign w:val="center"/>
          </w:tcPr>
          <w:p>
            <w:r/>
            <w:r>
              <w:rPr>
                <w:b w:val="0"/>
                <w:sz w:val="18"/>
              </w:rPr>
              <w:t>Wheels/steering; brake; speaker/display for alerts; package compartment lock.</w:t>
            </w:r>
          </w:p>
        </w:tc>
      </w:tr>
      <w:tr>
        <w:tc>
          <w:tcPr>
            <w:tcW w:type="dxa" w:w="5040"/>
            <w:vAlign w:val="center"/>
          </w:tcPr>
          <w:p>
            <w:r/>
            <w:r>
              <w:rPr>
                <w:b w:val="0"/>
                <w:sz w:val="18"/>
              </w:rPr>
              <w:t>Sensors</w:t>
            </w:r>
          </w:p>
        </w:tc>
        <w:tc>
          <w:tcPr>
            <w:tcW w:type="dxa" w:w="5040"/>
            <w:vAlign w:val="center"/>
          </w:tcPr>
          <w:p>
            <w:r/>
            <w:r>
              <w:rPr>
                <w:b w:val="0"/>
                <w:sz w:val="18"/>
              </w:rPr>
              <w:t>Camera/LiDAR; wheel odometry; GPS or indoor beacons; package and battery sensors.</w:t>
            </w:r>
          </w:p>
        </w:tc>
      </w:tr>
    </w:tbl>
    <w:p/>
    <w:p>
      <w:r>
        <w:t>Trade-off: the robot must not optimise delivery speed by moving unsafely around people. The simplified simulator is more predictable than a real campus. Hidden variables include a person entering from outside the sensor range and a blocked lift. A path that is safe in the map can become uncertain in the real environment.</w:t>
      </w:r>
    </w:p>
    <w:p>
      <w:pPr>
        <w:pStyle w:val="Heading1"/>
      </w:pPr>
      <w:r>
        <w:t>3. PEAS specification: LLM-based student-support agent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8"/>
              </w:rPr>
              <w:t>PEAS element</w:t>
            </w:r>
          </w:p>
        </w:tc>
        <w:tc>
          <w:tcPr>
            <w:tcW w:type="dxa" w:w="5040"/>
            <w:vAlign w:val="center"/>
            <w:shd w:fill="D9EAF7"/>
          </w:tcPr>
          <w:p>
            <w:r/>
            <w:r>
              <w:rPr>
                <w:b/>
                <w:sz w:val="18"/>
              </w:rPr>
              <w:t>Concrete entries</w:t>
            </w:r>
          </w:p>
        </w:tc>
      </w:tr>
      <w:tr>
        <w:tc>
          <w:tcPr>
            <w:tcW w:type="dxa" w:w="5040"/>
            <w:vAlign w:val="center"/>
          </w:tcPr>
          <w:p>
            <w:r/>
            <w:r>
              <w:rPr>
                <w:b w:val="0"/>
                <w:sz w:val="18"/>
              </w:rPr>
              <w:t>Performance</w:t>
            </w:r>
          </w:p>
        </w:tc>
        <w:tc>
          <w:tcPr>
            <w:tcW w:type="dxa" w:w="5040"/>
            <w:vAlign w:val="center"/>
          </w:tcPr>
          <w:p>
            <w:r/>
            <w:r>
              <w:rPr>
                <w:b w:val="0"/>
                <w:sz w:val="18"/>
              </w:rPr>
              <w:t>Correct and supported answers; useful explanations; respectful response; no exposure of private records.</w:t>
            </w:r>
          </w:p>
        </w:tc>
      </w:tr>
      <w:tr>
        <w:tc>
          <w:tcPr>
            <w:tcW w:type="dxa" w:w="5040"/>
            <w:vAlign w:val="center"/>
          </w:tcPr>
          <w:p>
            <w:r/>
            <w:r>
              <w:rPr>
                <w:b w:val="0"/>
                <w:sz w:val="18"/>
              </w:rPr>
              <w:t>Environment</w:t>
            </w:r>
          </w:p>
        </w:tc>
        <w:tc>
          <w:tcPr>
            <w:tcW w:type="dxa" w:w="5040"/>
            <w:vAlign w:val="center"/>
          </w:tcPr>
          <w:p>
            <w:r/>
            <w:r>
              <w:rPr>
                <w:b w:val="0"/>
                <w:sz w:val="18"/>
              </w:rPr>
              <w:t>Student questions; course material; office-hour rules; changing deadlines and service availability.</w:t>
            </w:r>
          </w:p>
        </w:tc>
      </w:tr>
      <w:tr>
        <w:tc>
          <w:tcPr>
            <w:tcW w:type="dxa" w:w="5040"/>
            <w:vAlign w:val="center"/>
          </w:tcPr>
          <w:p>
            <w:r/>
            <w:r>
              <w:rPr>
                <w:b w:val="0"/>
                <w:sz w:val="18"/>
              </w:rPr>
              <w:t>Actuators</w:t>
            </w:r>
          </w:p>
        </w:tc>
        <w:tc>
          <w:tcPr>
            <w:tcW w:type="dxa" w:w="5040"/>
            <w:vAlign w:val="center"/>
          </w:tcPr>
          <w:p>
            <w:r/>
            <w:r>
              <w:rPr>
                <w:b w:val="0"/>
                <w:sz w:val="18"/>
              </w:rPr>
              <w:t>Chat response; links to approved documents; ticket creation only after user confirmation.</w:t>
            </w:r>
          </w:p>
        </w:tc>
      </w:tr>
      <w:tr>
        <w:tc>
          <w:tcPr>
            <w:tcW w:type="dxa" w:w="5040"/>
            <w:vAlign w:val="center"/>
          </w:tcPr>
          <w:p>
            <w:r/>
            <w:r>
              <w:rPr>
                <w:b w:val="0"/>
                <w:sz w:val="18"/>
              </w:rPr>
              <w:t>Sensors</w:t>
            </w:r>
          </w:p>
        </w:tc>
        <w:tc>
          <w:tcPr>
            <w:tcW w:type="dxa" w:w="5040"/>
            <w:vAlign w:val="center"/>
          </w:tcPr>
          <w:p>
            <w:r/>
            <w:r>
              <w:rPr>
                <w:b w:val="0"/>
                <w:sz w:val="18"/>
              </w:rPr>
              <w:t>User message; retrieved course documents; approved calendar/FAQ tool results; conversation context.</w:t>
            </w:r>
          </w:p>
        </w:tc>
      </w:tr>
    </w:tbl>
    <w:p/>
    <w:p>
      <w:r>
        <w:t>Operational assumptions: the agent may read approved course documents and a read-only FAQ/calendar tool, but it cannot change grades, submit official forms or invent policy. Trade-off: reply speed must not be rewarded above correctness. Hidden variables include the student’s real deadline, emotional state and an unrecorded policy exception. Retrieved facts may be stale, so the agent should show sources or escalate.</w:t>
      </w:r>
    </w:p>
    <w:p>
      <w:pPr>
        <w:pStyle w:val="Heading1"/>
      </w:pPr>
      <w:r>
        <w:t>4. Environment classifications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r/>
            <w:r>
              <w:rPr>
                <w:b/>
                <w:sz w:val="18"/>
              </w:rPr>
              <w:t>System</w:t>
            </w:r>
          </w:p>
        </w:tc>
        <w:tc>
          <w:tcPr>
            <w:tcW w:type="dxa" w:w="2520"/>
            <w:vAlign w:val="center"/>
            <w:shd w:fill="D9EAF7"/>
          </w:tcPr>
          <w:p>
            <w:r/>
            <w:r>
              <w:rPr>
                <w:b/>
                <w:sz w:val="18"/>
              </w:rPr>
              <w:t>Observability</w:t>
            </w:r>
          </w:p>
        </w:tc>
        <w:tc>
          <w:tcPr>
            <w:tcW w:type="dxa" w:w="2520"/>
            <w:vAlign w:val="center"/>
            <w:shd w:fill="D9EAF7"/>
          </w:tcPr>
          <w:p>
            <w:r/>
            <w:r>
              <w:rPr>
                <w:b/>
                <w:sz w:val="18"/>
              </w:rPr>
              <w:t>Determinism</w:t>
            </w:r>
          </w:p>
        </w:tc>
        <w:tc>
          <w:tcPr>
            <w:tcW w:type="dxa" w:w="2520"/>
            <w:vAlign w:val="center"/>
            <w:shd w:fill="D9EAF7"/>
          </w:tcPr>
          <w:p>
            <w:r/>
            <w:r>
              <w:rPr>
                <w:b/>
                <w:sz w:val="18"/>
              </w:rPr>
              <w:t>Justification</w:t>
            </w:r>
          </w:p>
        </w:tc>
      </w:tr>
      <w:tr>
        <w:tc>
          <w:tcPr>
            <w:tcW w:type="dxa" w:w="2520"/>
            <w:vAlign w:val="center"/>
          </w:tcPr>
          <w:p>
            <w:r/>
            <w:r>
              <w:rPr>
                <w:b w:val="0"/>
                <w:sz w:val="18"/>
              </w:rPr>
              <w:t>Delivery robot</w:t>
            </w:r>
          </w:p>
        </w:tc>
        <w:tc>
          <w:tcPr>
            <w:tcW w:type="dxa" w:w="2520"/>
            <w:vAlign w:val="center"/>
          </w:tcPr>
          <w:p>
            <w:r/>
            <w:r>
              <w:rPr>
                <w:b w:val="0"/>
                <w:sz w:val="18"/>
              </w:rPr>
              <w:t>Partially observable</w:t>
            </w:r>
          </w:p>
        </w:tc>
        <w:tc>
          <w:tcPr>
            <w:tcW w:type="dxa" w:w="2520"/>
            <w:vAlign w:val="center"/>
          </w:tcPr>
          <w:p>
            <w:r/>
            <w:r>
              <w:rPr>
                <w:b w:val="0"/>
                <w:sz w:val="18"/>
              </w:rPr>
              <w:t>Stochastic</w:t>
            </w:r>
          </w:p>
        </w:tc>
        <w:tc>
          <w:tcPr>
            <w:tcW w:type="dxa" w:w="2520"/>
            <w:vAlign w:val="center"/>
          </w:tcPr>
          <w:p>
            <w:r/>
            <w:r>
              <w:rPr>
                <w:b w:val="0"/>
                <w:sz w:val="18"/>
              </w:rPr>
              <w:t>Sensors omit hidden people/obstacles; motion and human behaviour are uncertain.</w:t>
            </w:r>
          </w:p>
        </w:tc>
      </w:tr>
      <w:tr>
        <w:tc>
          <w:tcPr>
            <w:tcW w:type="dxa" w:w="2520"/>
            <w:vAlign w:val="center"/>
          </w:tcPr>
          <w:p>
            <w:r/>
            <w:r>
              <w:rPr>
                <w:b w:val="0"/>
                <w:sz w:val="18"/>
              </w:rPr>
              <w:t>Student-support agent</w:t>
            </w:r>
          </w:p>
        </w:tc>
        <w:tc>
          <w:tcPr>
            <w:tcW w:type="dxa" w:w="2520"/>
            <w:vAlign w:val="center"/>
          </w:tcPr>
          <w:p>
            <w:r/>
            <w:r>
              <w:rPr>
                <w:b w:val="0"/>
                <w:sz w:val="18"/>
              </w:rPr>
              <w:t>Partially observable</w:t>
            </w:r>
          </w:p>
        </w:tc>
        <w:tc>
          <w:tcPr>
            <w:tcW w:type="dxa" w:w="2520"/>
            <w:vAlign w:val="center"/>
          </w:tcPr>
          <w:p>
            <w:r/>
            <w:r>
              <w:rPr>
                <w:b w:val="0"/>
                <w:sz w:val="18"/>
              </w:rPr>
              <w:t>Stochastic</w:t>
            </w:r>
          </w:p>
        </w:tc>
        <w:tc>
          <w:tcPr>
            <w:tcW w:type="dxa" w:w="2520"/>
            <w:vAlign w:val="center"/>
          </w:tcPr>
          <w:p>
            <w:r/>
            <w:r>
              <w:rPr>
                <w:b w:val="0"/>
                <w:sz w:val="18"/>
              </w:rPr>
              <w:t>The message omits context and user intent; users and external services can respond unpredictably.</w:t>
            </w:r>
          </w:p>
        </w:tc>
      </w:tr>
    </w:tbl>
    <w:p/>
    <w:p>
      <w:r>
        <w:t>At the narrow simulator boundary, a classroom policy is deterministic: the same temperature and occupancy produce the same mode. At the real-system boundary it is partially observable and partly stochastic because sensor faults, comfort and actuator effects are not fully represented. Environment labels depend on the chosen model boundary.</w:t>
      </w:r>
    </w:p>
    <w:p>
      <w:pPr>
        <w:pStyle w:val="Heading1"/>
      </w:pPr>
      <w:r>
        <w:t>5. Reflex and stateful implementation</w:t>
      </w:r>
    </w:p>
    <w:p>
      <w:r>
        <w:t>The reflex version maps each percept directly to a mode and can request COOL repeatedly. The stateful version stores previous_mode and returns both the target mode and whether a command should be sent. This is memory, not learning from data.</w:t>
      </w:r>
    </w:p>
    <w:p>
      <w:pPr>
        <w:pStyle w:val="NoSpacing"/>
      </w:pPr>
      <w:r>
        <w:rPr>
          <w:rFonts w:ascii="Consolas" w:hAnsi="Consolas"/>
          <w:sz w:val="17"/>
        </w:rPr>
        <w:t>step | previous | percept | target | command</w:t>
        <w:br/>
        <w:t>1 | None | (29, True) | COOL | SEND</w:t>
        <w:br/>
        <w:t>2 | COOL | (29, True) | COOL | NO_COMMAND</w:t>
        <w:br/>
        <w:t>3 | COOL | (20, True) | IDLE | SEND</w:t>
        <w:br/>
        <w:t>4 | IDLE | (26, True) | IDLE | NO_COMMAND</w:t>
        <w:br/>
        <w:t>5 | IDLE | (19, True) | WARM | SEND</w:t>
        <w:br/>
        <w:t>6 | WARM | (29, False) | ECO | SEND</w:t>
        <w:br/>
        <w:t>7 | ECO | (29, False) | ECO | NO_COMMAND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AF7"/>
          </w:tcPr>
          <w:p>
            <w:r/>
            <w:r>
              <w:rPr>
                <w:b/>
                <w:sz w:val="18"/>
              </w:rPr>
              <w:t>Step</w:t>
            </w:r>
          </w:p>
        </w:tc>
        <w:tc>
          <w:tcPr>
            <w:tcW w:type="dxa" w:w="2016"/>
            <w:vAlign w:val="center"/>
            <w:shd w:fill="D9EAF7"/>
          </w:tcPr>
          <w:p>
            <w:r/>
            <w:r>
              <w:rPr>
                <w:b/>
                <w:sz w:val="18"/>
              </w:rPr>
              <w:t>Previous mode</w:t>
            </w:r>
          </w:p>
        </w:tc>
        <w:tc>
          <w:tcPr>
            <w:tcW w:type="dxa" w:w="2016"/>
            <w:vAlign w:val="center"/>
            <w:shd w:fill="D9EAF7"/>
          </w:tcPr>
          <w:p>
            <w:r/>
            <w:r>
              <w:rPr>
                <w:b/>
                <w:sz w:val="18"/>
              </w:rPr>
              <w:t>Percept</w:t>
            </w:r>
          </w:p>
        </w:tc>
        <w:tc>
          <w:tcPr>
            <w:tcW w:type="dxa" w:w="2016"/>
            <w:vAlign w:val="center"/>
            <w:shd w:fill="D9EAF7"/>
          </w:tcPr>
          <w:p>
            <w:r/>
            <w:r>
              <w:rPr>
                <w:b/>
                <w:sz w:val="18"/>
              </w:rPr>
              <w:t>Target</w:t>
            </w:r>
          </w:p>
        </w:tc>
        <w:tc>
          <w:tcPr>
            <w:tcW w:type="dxa" w:w="2016"/>
            <w:vAlign w:val="center"/>
            <w:shd w:fill="D9EAF7"/>
          </w:tcPr>
          <w:p>
            <w:r/>
            <w:r>
              <w:rPr>
                <w:b/>
                <w:sz w:val="18"/>
              </w:rPr>
              <w:t>Command</w:t>
            </w:r>
          </w:p>
        </w:tc>
      </w:tr>
      <w:tr>
        <w:tc>
          <w:tcPr>
            <w:tcW w:type="dxa" w:w="2016"/>
            <w:vAlign w:val="center"/>
          </w:tcPr>
          <w:p>
            <w:r/>
            <w:r>
              <w:rPr>
                <w:b w:val="0"/>
                <w:sz w:val="18"/>
              </w:rPr>
              <w:t>1</w:t>
            </w:r>
          </w:p>
        </w:tc>
        <w:tc>
          <w:tcPr>
            <w:tcW w:type="dxa" w:w="2016"/>
            <w:vAlign w:val="center"/>
          </w:tcPr>
          <w:p>
            <w:r/>
            <w:r>
              <w:rPr>
                <w:b w:val="0"/>
                <w:sz w:val="18"/>
              </w:rPr>
              <w:t>None</w:t>
            </w:r>
          </w:p>
        </w:tc>
        <w:tc>
          <w:tcPr>
            <w:tcW w:type="dxa" w:w="2016"/>
            <w:vAlign w:val="center"/>
          </w:tcPr>
          <w:p>
            <w:r/>
            <w:r>
              <w:rPr>
                <w:b w:val="0"/>
                <w:sz w:val="18"/>
              </w:rPr>
              <w:t>(29, True)</w:t>
            </w:r>
          </w:p>
        </w:tc>
        <w:tc>
          <w:tcPr>
            <w:tcW w:type="dxa" w:w="2016"/>
            <w:vAlign w:val="center"/>
          </w:tcPr>
          <w:p>
            <w:r/>
            <w:r>
              <w:rPr>
                <w:b w:val="0"/>
                <w:sz w:val="18"/>
              </w:rPr>
              <w:t>COOL</w:t>
            </w:r>
          </w:p>
        </w:tc>
        <w:tc>
          <w:tcPr>
            <w:tcW w:type="dxa" w:w="2016"/>
            <w:vAlign w:val="center"/>
          </w:tcPr>
          <w:p>
            <w:r/>
            <w:r>
              <w:rPr>
                <w:b w:val="0"/>
                <w:sz w:val="18"/>
              </w:rPr>
              <w:t>SEND</w:t>
            </w:r>
          </w:p>
        </w:tc>
      </w:tr>
      <w:tr>
        <w:tc>
          <w:tcPr>
            <w:tcW w:type="dxa" w:w="2016"/>
            <w:vAlign w:val="center"/>
          </w:tcPr>
          <w:p>
            <w:r/>
            <w:r>
              <w:rPr>
                <w:b w:val="0"/>
                <w:sz w:val="18"/>
              </w:rPr>
              <w:t>2</w:t>
            </w:r>
          </w:p>
        </w:tc>
        <w:tc>
          <w:tcPr>
            <w:tcW w:type="dxa" w:w="2016"/>
            <w:vAlign w:val="center"/>
          </w:tcPr>
          <w:p>
            <w:r/>
            <w:r>
              <w:rPr>
                <w:b w:val="0"/>
                <w:sz w:val="18"/>
              </w:rPr>
              <w:t>COOL</w:t>
            </w:r>
          </w:p>
        </w:tc>
        <w:tc>
          <w:tcPr>
            <w:tcW w:type="dxa" w:w="2016"/>
            <w:vAlign w:val="center"/>
          </w:tcPr>
          <w:p>
            <w:r/>
            <w:r>
              <w:rPr>
                <w:b w:val="0"/>
                <w:sz w:val="18"/>
              </w:rPr>
              <w:t>(29, True)</w:t>
            </w:r>
          </w:p>
        </w:tc>
        <w:tc>
          <w:tcPr>
            <w:tcW w:type="dxa" w:w="2016"/>
            <w:vAlign w:val="center"/>
          </w:tcPr>
          <w:p>
            <w:r/>
            <w:r>
              <w:rPr>
                <w:b w:val="0"/>
                <w:sz w:val="18"/>
              </w:rPr>
              <w:t>COOL</w:t>
            </w:r>
          </w:p>
        </w:tc>
        <w:tc>
          <w:tcPr>
            <w:tcW w:type="dxa" w:w="2016"/>
            <w:vAlign w:val="center"/>
          </w:tcPr>
          <w:p>
            <w:r/>
            <w:r>
              <w:rPr>
                <w:b w:val="0"/>
                <w:sz w:val="18"/>
              </w:rPr>
              <w:t>NO_COMMAND</w:t>
            </w:r>
          </w:p>
        </w:tc>
      </w:tr>
      <w:tr>
        <w:tc>
          <w:tcPr>
            <w:tcW w:type="dxa" w:w="2016"/>
            <w:vAlign w:val="center"/>
          </w:tcPr>
          <w:p>
            <w:r/>
            <w:r>
              <w:rPr>
                <w:b w:val="0"/>
                <w:sz w:val="18"/>
              </w:rPr>
              <w:t>3</w:t>
            </w:r>
          </w:p>
        </w:tc>
        <w:tc>
          <w:tcPr>
            <w:tcW w:type="dxa" w:w="2016"/>
            <w:vAlign w:val="center"/>
          </w:tcPr>
          <w:p>
            <w:r/>
            <w:r>
              <w:rPr>
                <w:b w:val="0"/>
                <w:sz w:val="18"/>
              </w:rPr>
              <w:t>COOL</w:t>
            </w:r>
          </w:p>
        </w:tc>
        <w:tc>
          <w:tcPr>
            <w:tcW w:type="dxa" w:w="2016"/>
            <w:vAlign w:val="center"/>
          </w:tcPr>
          <w:p>
            <w:r/>
            <w:r>
              <w:rPr>
                <w:b w:val="0"/>
                <w:sz w:val="18"/>
              </w:rPr>
              <w:t>(20, True)</w:t>
            </w:r>
          </w:p>
        </w:tc>
        <w:tc>
          <w:tcPr>
            <w:tcW w:type="dxa" w:w="2016"/>
            <w:vAlign w:val="center"/>
          </w:tcPr>
          <w:p>
            <w:r/>
            <w:r>
              <w:rPr>
                <w:b w:val="0"/>
                <w:sz w:val="18"/>
              </w:rPr>
              <w:t>IDLE</w:t>
            </w:r>
          </w:p>
        </w:tc>
        <w:tc>
          <w:tcPr>
            <w:tcW w:type="dxa" w:w="2016"/>
            <w:vAlign w:val="center"/>
          </w:tcPr>
          <w:p>
            <w:r/>
            <w:r>
              <w:rPr>
                <w:b w:val="0"/>
                <w:sz w:val="18"/>
              </w:rPr>
              <w:t>SEND</w:t>
            </w:r>
          </w:p>
        </w:tc>
      </w:tr>
      <w:tr>
        <w:tc>
          <w:tcPr>
            <w:tcW w:type="dxa" w:w="2016"/>
            <w:vAlign w:val="center"/>
          </w:tcPr>
          <w:p>
            <w:r/>
            <w:r>
              <w:rPr>
                <w:b w:val="0"/>
                <w:sz w:val="18"/>
              </w:rPr>
              <w:t>4</w:t>
            </w:r>
          </w:p>
        </w:tc>
        <w:tc>
          <w:tcPr>
            <w:tcW w:type="dxa" w:w="2016"/>
            <w:vAlign w:val="center"/>
          </w:tcPr>
          <w:p>
            <w:r/>
            <w:r>
              <w:rPr>
                <w:b w:val="0"/>
                <w:sz w:val="18"/>
              </w:rPr>
              <w:t>IDLE</w:t>
            </w:r>
          </w:p>
        </w:tc>
        <w:tc>
          <w:tcPr>
            <w:tcW w:type="dxa" w:w="2016"/>
            <w:vAlign w:val="center"/>
          </w:tcPr>
          <w:p>
            <w:r/>
            <w:r>
              <w:rPr>
                <w:b w:val="0"/>
                <w:sz w:val="18"/>
              </w:rPr>
              <w:t>(26, True)</w:t>
            </w:r>
          </w:p>
        </w:tc>
        <w:tc>
          <w:tcPr>
            <w:tcW w:type="dxa" w:w="2016"/>
            <w:vAlign w:val="center"/>
          </w:tcPr>
          <w:p>
            <w:r/>
            <w:r>
              <w:rPr>
                <w:b w:val="0"/>
                <w:sz w:val="18"/>
              </w:rPr>
              <w:t>IDLE</w:t>
            </w:r>
          </w:p>
        </w:tc>
        <w:tc>
          <w:tcPr>
            <w:tcW w:type="dxa" w:w="2016"/>
            <w:vAlign w:val="center"/>
          </w:tcPr>
          <w:p>
            <w:r/>
            <w:r>
              <w:rPr>
                <w:b w:val="0"/>
                <w:sz w:val="18"/>
              </w:rPr>
              <w:t>NO_COMMAND</w:t>
            </w:r>
          </w:p>
        </w:tc>
      </w:tr>
      <w:tr>
        <w:tc>
          <w:tcPr>
            <w:tcW w:type="dxa" w:w="2016"/>
            <w:vAlign w:val="center"/>
          </w:tcPr>
          <w:p>
            <w:r/>
            <w:r>
              <w:rPr>
                <w:b w:val="0"/>
                <w:sz w:val="18"/>
              </w:rPr>
              <w:t>5</w:t>
            </w:r>
          </w:p>
        </w:tc>
        <w:tc>
          <w:tcPr>
            <w:tcW w:type="dxa" w:w="2016"/>
            <w:vAlign w:val="center"/>
          </w:tcPr>
          <w:p>
            <w:r/>
            <w:r>
              <w:rPr>
                <w:b w:val="0"/>
                <w:sz w:val="18"/>
              </w:rPr>
              <w:t>IDLE</w:t>
            </w:r>
          </w:p>
        </w:tc>
        <w:tc>
          <w:tcPr>
            <w:tcW w:type="dxa" w:w="2016"/>
            <w:vAlign w:val="center"/>
          </w:tcPr>
          <w:p>
            <w:r/>
            <w:r>
              <w:rPr>
                <w:b w:val="0"/>
                <w:sz w:val="18"/>
              </w:rPr>
              <w:t>(19, True)</w:t>
            </w:r>
          </w:p>
        </w:tc>
        <w:tc>
          <w:tcPr>
            <w:tcW w:type="dxa" w:w="2016"/>
            <w:vAlign w:val="center"/>
          </w:tcPr>
          <w:p>
            <w:r/>
            <w:r>
              <w:rPr>
                <w:b w:val="0"/>
                <w:sz w:val="18"/>
              </w:rPr>
              <w:t>WARM</w:t>
            </w:r>
          </w:p>
        </w:tc>
        <w:tc>
          <w:tcPr>
            <w:tcW w:type="dxa" w:w="2016"/>
            <w:vAlign w:val="center"/>
          </w:tcPr>
          <w:p>
            <w:r/>
            <w:r>
              <w:rPr>
                <w:b w:val="0"/>
                <w:sz w:val="18"/>
              </w:rPr>
              <w:t>SEND</w:t>
            </w:r>
          </w:p>
        </w:tc>
      </w:tr>
      <w:tr>
        <w:tc>
          <w:tcPr>
            <w:tcW w:type="dxa" w:w="2016"/>
            <w:vAlign w:val="center"/>
          </w:tcPr>
          <w:p>
            <w:r/>
            <w:r>
              <w:rPr>
                <w:b w:val="0"/>
                <w:sz w:val="18"/>
              </w:rPr>
              <w:t>6</w:t>
            </w:r>
          </w:p>
        </w:tc>
        <w:tc>
          <w:tcPr>
            <w:tcW w:type="dxa" w:w="2016"/>
            <w:vAlign w:val="center"/>
          </w:tcPr>
          <w:p>
            <w:r/>
            <w:r>
              <w:rPr>
                <w:b w:val="0"/>
                <w:sz w:val="18"/>
              </w:rPr>
              <w:t>WARM</w:t>
            </w:r>
          </w:p>
        </w:tc>
        <w:tc>
          <w:tcPr>
            <w:tcW w:type="dxa" w:w="2016"/>
            <w:vAlign w:val="center"/>
          </w:tcPr>
          <w:p>
            <w:r/>
            <w:r>
              <w:rPr>
                <w:b w:val="0"/>
                <w:sz w:val="18"/>
              </w:rPr>
              <w:t>(29, False)</w:t>
            </w:r>
          </w:p>
        </w:tc>
        <w:tc>
          <w:tcPr>
            <w:tcW w:type="dxa" w:w="2016"/>
            <w:vAlign w:val="center"/>
          </w:tcPr>
          <w:p>
            <w:r/>
            <w:r>
              <w:rPr>
                <w:b w:val="0"/>
                <w:sz w:val="18"/>
              </w:rPr>
              <w:t>ECO</w:t>
            </w:r>
          </w:p>
        </w:tc>
        <w:tc>
          <w:tcPr>
            <w:tcW w:type="dxa" w:w="2016"/>
            <w:vAlign w:val="center"/>
          </w:tcPr>
          <w:p>
            <w:r/>
            <w:r>
              <w:rPr>
                <w:b w:val="0"/>
                <w:sz w:val="18"/>
              </w:rPr>
              <w:t>SEND</w:t>
            </w:r>
          </w:p>
        </w:tc>
      </w:tr>
      <w:tr>
        <w:tc>
          <w:tcPr>
            <w:tcW w:type="dxa" w:w="2016"/>
            <w:vAlign w:val="center"/>
          </w:tcPr>
          <w:p>
            <w:r/>
            <w:r>
              <w:rPr>
                <w:b w:val="0"/>
                <w:sz w:val="18"/>
              </w:rPr>
              <w:t>7</w:t>
            </w:r>
          </w:p>
        </w:tc>
        <w:tc>
          <w:tcPr>
            <w:tcW w:type="dxa" w:w="2016"/>
            <w:vAlign w:val="center"/>
          </w:tcPr>
          <w:p>
            <w:r/>
            <w:r>
              <w:rPr>
                <w:b w:val="0"/>
                <w:sz w:val="18"/>
              </w:rPr>
              <w:t>ECO</w:t>
            </w:r>
          </w:p>
        </w:tc>
        <w:tc>
          <w:tcPr>
            <w:tcW w:type="dxa" w:w="2016"/>
            <w:vAlign w:val="center"/>
          </w:tcPr>
          <w:p>
            <w:r/>
            <w:r>
              <w:rPr>
                <w:b w:val="0"/>
                <w:sz w:val="18"/>
              </w:rPr>
              <w:t>(29, False)</w:t>
            </w:r>
          </w:p>
        </w:tc>
        <w:tc>
          <w:tcPr>
            <w:tcW w:type="dxa" w:w="2016"/>
            <w:vAlign w:val="center"/>
          </w:tcPr>
          <w:p>
            <w:r/>
            <w:r>
              <w:rPr>
                <w:b w:val="0"/>
                <w:sz w:val="18"/>
              </w:rPr>
              <w:t>ECO</w:t>
            </w:r>
          </w:p>
        </w:tc>
        <w:tc>
          <w:tcPr>
            <w:tcW w:type="dxa" w:w="2016"/>
            <w:vAlign w:val="center"/>
          </w:tcPr>
          <w:p>
            <w:r/>
            <w:r>
              <w:rPr>
                <w:b w:val="0"/>
                <w:sz w:val="18"/>
              </w:rPr>
              <w:t>NO_COMMAND</w:t>
            </w:r>
          </w:p>
        </w:tc>
      </w:tr>
    </w:tbl>
    <w:p/>
    <w:p>
      <w:pPr>
        <w:pStyle w:val="Heading1"/>
      </w:pPr>
      <w:r>
        <w:t>6. Edge case and limitation</w:t>
      </w:r>
    </w:p>
    <w:p>
      <w:r>
        <w:t>At 26°C the policy returns IDLE because it uses temp &gt; 26 rather than &gt;= 26. Likewise, 20°C is IDLE. A noisy sequence around 26°C can alternate between COOL and IDLE, causing too many commands. Remembering the previous mode prevents identical commands but does not provide hysteresis. A real controller should define a deadband, sensor validation and a safe fallback for missing occupancy data.</w:t>
      </w:r>
    </w:p>
    <w:p>
      <w:pPr>
        <w:pStyle w:val="Heading1"/>
      </w:pPr>
      <w:r>
        <w:t>7. Reflection and responsible practice</w:t>
      </w:r>
    </w:p>
    <w:p>
      <w:r>
        <w:t>I learned that PEAS separates what an agent senses, does and is judged on. The most important design choice was putting safety and energy use in the performance measure instead of only speed or comfort. I would test sensor faults and manual override next. For an LLM agent, unsupported answers should be treated as a safety failure, not as successful fast replies.</w:t>
      </w:r>
    </w:p>
    <w:p>
      <w:pPr>
        <w:pStyle w:val="Heading1"/>
      </w:pPr>
      <w:r>
        <w:t>8. Sources</w:t>
      </w:r>
    </w:p>
    <w:p>
      <w:pPr>
        <w:pStyle w:val="ListBullet"/>
      </w:pPr>
      <w:r>
        <w:t>Russell, S. and Norvig, P., Artificial Intelligence: A Modern Approach, 4th ed., chapters on agents and environments. https://aima.cs.berkeley.edu/</w:t>
      </w:r>
    </w:p>
    <w:p>
      <w:pPr>
        <w:pStyle w:val="ListBullet"/>
      </w:pPr>
      <w:r>
        <w:t>Course lab manual, CAI601400, Section 2.2 PEAS and Section 2.5 percept/action trace (provided PDF).</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