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Lab 1 Report</w:t>
      </w:r>
    </w:p>
    <w:p>
      <w:pPr>
        <w:jc w:val="center"/>
      </w:pPr>
      <w:r>
        <w:rPr>
          <w:sz w:val="24"/>
        </w:rPr>
        <w:t>Introduction to AI and AI paradigms</w:t>
      </w:r>
    </w:p>
    <w:p>
      <w:pPr>
        <w:jc w:val="center"/>
      </w:pPr>
      <w:r>
        <w:rPr>
          <w:b/>
        </w:rPr>
        <w:t>Muhammad Ahmad | Roll No. 395</w:t>
      </w:r>
    </w:p>
    <w:p>
      <w:r>
        <w:t>This report records the implementation, assumptions, observed output, and limitations of the lab work. Thresholds and graph weights are synthetic exercise values.</w:t>
      </w:r>
    </w:p>
    <w:p>
      <w:pPr>
        <w:pStyle w:val="Heading1"/>
      </w:pPr>
      <w:r>
        <w:t>1. Objective and problem</w:t>
      </w:r>
    </w:p>
    <w:p>
      <w:r>
        <w:t>The scholarship-screening example compares an explicit symbolic policy with a probability threshold. “Review” means that a human reviewer should inspect the application; it is not an automatic award decision. The purpose is to compare observable behaviour, not to claim model accuracy.</w:t>
      </w:r>
    </w:p>
    <w:p>
      <w:pPr>
        <w:pStyle w:val="Heading1"/>
      </w:pPr>
      <w:r>
        <w:t>2. Historical timeline</w:t>
      </w:r>
    </w:p>
    <w:tbl>
      <w:tblPr>
        <w:tblStyle w:val="TableGrid"/>
        <w:tblW w:type="auto" w:w="0"/>
        <w:jc w:val="center"/>
        <w:tblLook w:firstColumn="1" w:firstRow="1" w:lastColumn="0" w:lastRow="0" w:noHBand="0" w:noVBand="1" w:val="04A0"/>
      </w:tblPr>
      <w:tblGrid>
        <w:gridCol w:w="3360"/>
        <w:gridCol w:w="3360"/>
        <w:gridCol w:w="3360"/>
      </w:tblGrid>
      <w:tr>
        <w:tc>
          <w:tcPr>
            <w:tcW w:type="dxa" w:w="1440"/>
            <w:vAlign w:val="center"/>
            <w:shd w:fill="D9EAF7"/>
          </w:tcPr>
          <w:p>
            <w:r/>
            <w:r>
              <w:rPr>
                <w:b/>
                <w:sz w:val="18"/>
              </w:rPr>
              <w:t>Year / period</w:t>
            </w:r>
          </w:p>
        </w:tc>
        <w:tc>
          <w:tcPr>
            <w:tcW w:type="dxa" w:w="2304"/>
            <w:vAlign w:val="center"/>
            <w:shd w:fill="D9EAF7"/>
          </w:tcPr>
          <w:p>
            <w:r/>
            <w:r>
              <w:rPr>
                <w:b/>
                <w:sz w:val="18"/>
              </w:rPr>
              <w:t>Milestone</w:t>
            </w:r>
          </w:p>
        </w:tc>
        <w:tc>
          <w:tcPr>
            <w:tcW w:type="dxa" w:w="6480"/>
            <w:vAlign w:val="center"/>
            <w:shd w:fill="D9EAF7"/>
          </w:tcPr>
          <w:p>
            <w:r/>
            <w:r>
              <w:rPr>
                <w:b/>
                <w:sz w:val="18"/>
              </w:rPr>
              <w:t>Significance</w:t>
            </w:r>
          </w:p>
        </w:tc>
      </w:tr>
      <w:tr>
        <w:tc>
          <w:tcPr>
            <w:tcW w:type="dxa" w:w="1440"/>
            <w:vAlign w:val="center"/>
          </w:tcPr>
          <w:p>
            <w:r/>
            <w:r>
              <w:rPr>
                <w:b w:val="0"/>
                <w:sz w:val="18"/>
              </w:rPr>
              <w:t>1950</w:t>
            </w:r>
          </w:p>
        </w:tc>
        <w:tc>
          <w:tcPr>
            <w:tcW w:type="dxa" w:w="2304"/>
            <w:vAlign w:val="center"/>
          </w:tcPr>
          <w:p>
            <w:r/>
            <w:r>
              <w:rPr>
                <w:b w:val="0"/>
                <w:sz w:val="18"/>
              </w:rPr>
              <w:t>Turing publishes “Computing Machinery and Intelligence”</w:t>
            </w:r>
          </w:p>
        </w:tc>
        <w:tc>
          <w:tcPr>
            <w:tcW w:type="dxa" w:w="6480"/>
            <w:vAlign w:val="center"/>
          </w:tcPr>
          <w:p>
            <w:r/>
            <w:r>
              <w:rPr>
                <w:b w:val="0"/>
                <w:sz w:val="18"/>
              </w:rPr>
              <w:t>Introduced the imitation-game question as an operational way to discuss machine intelligence.</w:t>
            </w:r>
          </w:p>
        </w:tc>
      </w:tr>
      <w:tr>
        <w:tc>
          <w:tcPr>
            <w:tcW w:type="dxa" w:w="1440"/>
            <w:vAlign w:val="center"/>
          </w:tcPr>
          <w:p>
            <w:r/>
            <w:r>
              <w:rPr>
                <w:b w:val="0"/>
                <w:sz w:val="18"/>
              </w:rPr>
              <w:t>1956</w:t>
            </w:r>
          </w:p>
        </w:tc>
        <w:tc>
          <w:tcPr>
            <w:tcW w:type="dxa" w:w="2304"/>
            <w:vAlign w:val="center"/>
          </w:tcPr>
          <w:p>
            <w:r/>
            <w:r>
              <w:rPr>
                <w:b w:val="0"/>
                <w:sz w:val="18"/>
              </w:rPr>
              <w:t>Dartmouth workshop</w:t>
            </w:r>
          </w:p>
        </w:tc>
        <w:tc>
          <w:tcPr>
            <w:tcW w:type="dxa" w:w="6480"/>
            <w:vAlign w:val="center"/>
          </w:tcPr>
          <w:p>
            <w:r/>
            <w:r>
              <w:rPr>
                <w:b w:val="0"/>
                <w:sz w:val="18"/>
              </w:rPr>
              <w:t>The workshop proposal helped establish artificial intelligence as a named research field.</w:t>
            </w:r>
          </w:p>
        </w:tc>
      </w:tr>
      <w:tr>
        <w:tc>
          <w:tcPr>
            <w:tcW w:type="dxa" w:w="1440"/>
            <w:vAlign w:val="center"/>
          </w:tcPr>
          <w:p>
            <w:r/>
            <w:r>
              <w:rPr>
                <w:b w:val="0"/>
                <w:sz w:val="18"/>
              </w:rPr>
              <w:t>1974–1980</w:t>
            </w:r>
          </w:p>
        </w:tc>
        <w:tc>
          <w:tcPr>
            <w:tcW w:type="dxa" w:w="2304"/>
            <w:vAlign w:val="center"/>
          </w:tcPr>
          <w:p>
            <w:r/>
            <w:r>
              <w:rPr>
                <w:b w:val="0"/>
                <w:sz w:val="18"/>
              </w:rPr>
              <w:t>First AI winter</w:t>
            </w:r>
          </w:p>
        </w:tc>
        <w:tc>
          <w:tcPr>
            <w:tcW w:type="dxa" w:w="6480"/>
            <w:vAlign w:val="center"/>
          </w:tcPr>
          <w:p>
            <w:r/>
            <w:r>
              <w:rPr>
                <w:b w:val="0"/>
                <w:sz w:val="18"/>
              </w:rPr>
              <w:t>Funding and confidence fell after early systems failed to meet broad expectations.</w:t>
            </w:r>
          </w:p>
        </w:tc>
      </w:tr>
      <w:tr>
        <w:tc>
          <w:tcPr>
            <w:tcW w:type="dxa" w:w="1440"/>
            <w:vAlign w:val="center"/>
          </w:tcPr>
          <w:p>
            <w:r/>
            <w:r>
              <w:rPr>
                <w:b w:val="0"/>
                <w:sz w:val="18"/>
              </w:rPr>
              <w:t>1997</w:t>
            </w:r>
          </w:p>
        </w:tc>
        <w:tc>
          <w:tcPr>
            <w:tcW w:type="dxa" w:w="2304"/>
            <w:vAlign w:val="center"/>
          </w:tcPr>
          <w:p>
            <w:r/>
            <w:r>
              <w:rPr>
                <w:b w:val="0"/>
                <w:sz w:val="18"/>
              </w:rPr>
              <w:t>Deep Blue defeats Garry Kasparov</w:t>
            </w:r>
          </w:p>
        </w:tc>
        <w:tc>
          <w:tcPr>
            <w:tcW w:type="dxa" w:w="6480"/>
            <w:vAlign w:val="center"/>
          </w:tcPr>
          <w:p>
            <w:r/>
            <w:r>
              <w:rPr>
                <w:b w:val="0"/>
                <w:sz w:val="18"/>
              </w:rPr>
              <w:t>Demonstrated strong machine performance in a narrow, well-defined task.</w:t>
            </w:r>
          </w:p>
        </w:tc>
      </w:tr>
      <w:tr>
        <w:tc>
          <w:tcPr>
            <w:tcW w:type="dxa" w:w="1440"/>
            <w:vAlign w:val="center"/>
          </w:tcPr>
          <w:p>
            <w:r/>
            <w:r>
              <w:rPr>
                <w:b w:val="0"/>
                <w:sz w:val="18"/>
              </w:rPr>
              <w:t>2012</w:t>
            </w:r>
          </w:p>
        </w:tc>
        <w:tc>
          <w:tcPr>
            <w:tcW w:type="dxa" w:w="2304"/>
            <w:vAlign w:val="center"/>
          </w:tcPr>
          <w:p>
            <w:r/>
            <w:r>
              <w:rPr>
                <w:b w:val="0"/>
                <w:sz w:val="18"/>
              </w:rPr>
              <w:t>AlexNet wins ImageNet</w:t>
            </w:r>
          </w:p>
        </w:tc>
        <w:tc>
          <w:tcPr>
            <w:tcW w:type="dxa" w:w="6480"/>
            <w:vAlign w:val="center"/>
          </w:tcPr>
          <w:p>
            <w:r/>
            <w:r>
              <w:rPr>
                <w:b w:val="0"/>
                <w:sz w:val="18"/>
              </w:rPr>
              <w:t>Large data, GPUs and deep learning produced a major improvement in image-recognition results.</w:t>
            </w:r>
          </w:p>
        </w:tc>
      </w:tr>
    </w:tbl>
    <w:p/>
    <w:p>
      <w:r>
        <w:t>The timeline shows that progress depends on problem definition, algorithms, data and available compute. A milestone does not prove general intelligence.</w:t>
      </w:r>
    </w:p>
    <w:p>
      <w:pPr>
        <w:pStyle w:val="Heading1"/>
      </w:pPr>
      <w:r>
        <w:t>3. Symbolic versus threshold behaviour</w:t>
      </w:r>
    </w:p>
    <w:p>
      <w:r>
        <w:t>The symbolic function requires complete documents and a score of at least 70. The threshold function only checks whether an invented probability is at least 0.70. Since the probabilities are supplied demonstration values and no model is trained, the comparison is deliberately limited.</w:t>
      </w:r>
    </w:p>
    <w:p>
      <w:pPr>
        <w:pStyle w:val="NoSpacing"/>
      </w:pPr>
      <w:r>
        <w:rPr>
          <w:rFonts w:ascii="Consolas" w:hAnsi="Consolas"/>
          <w:sz w:val="17"/>
        </w:rPr>
        <w:t>case | symbolic | threshold | disagreement</w:t>
        <w:br/>
        <w:t>complete_high | Review | Review | False</w:t>
        <w:br/>
        <w:t>complete_low | Hold | Review | True</w:t>
        <w:br/>
        <w:t>incomplete_high | Hold | Review | True</w:t>
        <w:br/>
        <w:t>boundary | Review | Review | False</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D9EAF7"/>
          </w:tcPr>
          <w:p>
            <w:r/>
            <w:r>
              <w:rPr>
                <w:b/>
                <w:sz w:val="18"/>
              </w:rPr>
              <w:t>Case</w:t>
            </w:r>
          </w:p>
        </w:tc>
        <w:tc>
          <w:tcPr>
            <w:tcW w:type="dxa" w:w="2016"/>
            <w:vAlign w:val="center"/>
            <w:shd w:fill="D9EAF7"/>
          </w:tcPr>
          <w:p>
            <w:r/>
            <w:r>
              <w:rPr>
                <w:b/>
                <w:sz w:val="18"/>
              </w:rPr>
              <w:t>Symbolic</w:t>
            </w:r>
          </w:p>
        </w:tc>
        <w:tc>
          <w:tcPr>
            <w:tcW w:type="dxa" w:w="2016"/>
            <w:vAlign w:val="center"/>
            <w:shd w:fill="D9EAF7"/>
          </w:tcPr>
          <w:p>
            <w:r/>
            <w:r>
              <w:rPr>
                <w:b/>
                <w:sz w:val="18"/>
              </w:rPr>
              <w:t>Threshold</w:t>
            </w:r>
          </w:p>
        </w:tc>
        <w:tc>
          <w:tcPr>
            <w:tcW w:type="dxa" w:w="2016"/>
            <w:vAlign w:val="center"/>
            <w:shd w:fill="D9EAF7"/>
          </w:tcPr>
          <w:p>
            <w:r/>
            <w:r>
              <w:rPr>
                <w:b/>
                <w:sz w:val="18"/>
              </w:rPr>
              <w:t>Disagreement</w:t>
            </w:r>
          </w:p>
        </w:tc>
        <w:tc>
          <w:tcPr>
            <w:tcW w:type="dxa" w:w="2016"/>
            <w:vAlign w:val="center"/>
            <w:shd w:fill="D9EAF7"/>
          </w:tcPr>
          <w:p>
            <w:r/>
            <w:r>
              <w:rPr>
                <w:b/>
                <w:sz w:val="18"/>
              </w:rPr>
              <w:t>Interpretation</w:t>
            </w:r>
          </w:p>
        </w:tc>
      </w:tr>
      <w:tr>
        <w:tc>
          <w:tcPr>
            <w:tcW w:type="dxa" w:w="2016"/>
            <w:vAlign w:val="center"/>
          </w:tcPr>
          <w:p>
            <w:r/>
            <w:r>
              <w:rPr>
                <w:b w:val="0"/>
                <w:sz w:val="18"/>
              </w:rPr>
              <w:t>complete_high</w:t>
            </w:r>
          </w:p>
        </w:tc>
        <w:tc>
          <w:tcPr>
            <w:tcW w:type="dxa" w:w="2016"/>
            <w:vAlign w:val="center"/>
          </w:tcPr>
          <w:p>
            <w:r/>
            <w:r>
              <w:rPr>
                <w:b w:val="0"/>
                <w:sz w:val="18"/>
              </w:rPr>
              <w:t>Review</w:t>
            </w:r>
          </w:p>
        </w:tc>
        <w:tc>
          <w:tcPr>
            <w:tcW w:type="dxa" w:w="2016"/>
            <w:vAlign w:val="center"/>
          </w:tcPr>
          <w:p>
            <w:r/>
            <w:r>
              <w:rPr>
                <w:b w:val="0"/>
                <w:sz w:val="18"/>
              </w:rPr>
              <w:t>Review</w:t>
            </w:r>
          </w:p>
        </w:tc>
        <w:tc>
          <w:tcPr>
            <w:tcW w:type="dxa" w:w="2016"/>
            <w:vAlign w:val="center"/>
          </w:tcPr>
          <w:p>
            <w:r/>
            <w:r>
              <w:rPr>
                <w:b w:val="0"/>
                <w:sz w:val="18"/>
              </w:rPr>
              <w:t>No</w:t>
            </w:r>
          </w:p>
        </w:tc>
        <w:tc>
          <w:tcPr>
            <w:tcW w:type="dxa" w:w="2016"/>
            <w:vAlign w:val="center"/>
          </w:tcPr>
          <w:p>
            <w:r/>
            <w:r>
              <w:rPr>
                <w:b w:val="0"/>
                <w:sz w:val="18"/>
              </w:rPr>
              <w:t>Both rules pass their thresholds.</w:t>
            </w:r>
          </w:p>
        </w:tc>
      </w:tr>
      <w:tr>
        <w:tc>
          <w:tcPr>
            <w:tcW w:type="dxa" w:w="2016"/>
            <w:vAlign w:val="center"/>
          </w:tcPr>
          <w:p>
            <w:r/>
            <w:r>
              <w:rPr>
                <w:b w:val="0"/>
                <w:sz w:val="18"/>
              </w:rPr>
              <w:t>complete_low</w:t>
            </w:r>
          </w:p>
        </w:tc>
        <w:tc>
          <w:tcPr>
            <w:tcW w:type="dxa" w:w="2016"/>
            <w:vAlign w:val="center"/>
          </w:tcPr>
          <w:p>
            <w:r/>
            <w:r>
              <w:rPr>
                <w:b w:val="0"/>
                <w:sz w:val="18"/>
              </w:rPr>
              <w:t>Hold</w:t>
            </w:r>
          </w:p>
        </w:tc>
        <w:tc>
          <w:tcPr>
            <w:tcW w:type="dxa" w:w="2016"/>
            <w:vAlign w:val="center"/>
          </w:tcPr>
          <w:p>
            <w:r/>
            <w:r>
              <w:rPr>
                <w:b w:val="0"/>
                <w:sz w:val="18"/>
              </w:rPr>
              <w:t>Review</w:t>
            </w:r>
          </w:p>
        </w:tc>
        <w:tc>
          <w:tcPr>
            <w:tcW w:type="dxa" w:w="2016"/>
            <w:vAlign w:val="center"/>
          </w:tcPr>
          <w:p>
            <w:r/>
            <w:r>
              <w:rPr>
                <w:b w:val="0"/>
                <w:sz w:val="18"/>
              </w:rPr>
              <w:t>Yes</w:t>
            </w:r>
          </w:p>
        </w:tc>
        <w:tc>
          <w:tcPr>
            <w:tcW w:type="dxa" w:w="2016"/>
            <w:vAlign w:val="center"/>
          </w:tcPr>
          <w:p>
            <w:r/>
            <w:r>
              <w:rPr>
                <w:b w:val="0"/>
                <w:sz w:val="18"/>
              </w:rPr>
              <w:t>The symbolic score threshold fails while the supplied probability passes.</w:t>
            </w:r>
          </w:p>
        </w:tc>
      </w:tr>
      <w:tr>
        <w:tc>
          <w:tcPr>
            <w:tcW w:type="dxa" w:w="2016"/>
            <w:vAlign w:val="center"/>
          </w:tcPr>
          <w:p>
            <w:r/>
            <w:r>
              <w:rPr>
                <w:b w:val="0"/>
                <w:sz w:val="18"/>
              </w:rPr>
              <w:t>incomplete_high</w:t>
            </w:r>
          </w:p>
        </w:tc>
        <w:tc>
          <w:tcPr>
            <w:tcW w:type="dxa" w:w="2016"/>
            <w:vAlign w:val="center"/>
          </w:tcPr>
          <w:p>
            <w:r/>
            <w:r>
              <w:rPr>
                <w:b w:val="0"/>
                <w:sz w:val="18"/>
              </w:rPr>
              <w:t>Hold</w:t>
            </w:r>
          </w:p>
        </w:tc>
        <w:tc>
          <w:tcPr>
            <w:tcW w:type="dxa" w:w="2016"/>
            <w:vAlign w:val="center"/>
          </w:tcPr>
          <w:p>
            <w:r/>
            <w:r>
              <w:rPr>
                <w:b w:val="0"/>
                <w:sz w:val="18"/>
              </w:rPr>
              <w:t>Review</w:t>
            </w:r>
          </w:p>
        </w:tc>
        <w:tc>
          <w:tcPr>
            <w:tcW w:type="dxa" w:w="2016"/>
            <w:vAlign w:val="center"/>
          </w:tcPr>
          <w:p>
            <w:r/>
            <w:r>
              <w:rPr>
                <w:b w:val="0"/>
                <w:sz w:val="18"/>
              </w:rPr>
              <w:t>Yes</w:t>
            </w:r>
          </w:p>
        </w:tc>
        <w:tc>
          <w:tcPr>
            <w:tcW w:type="dxa" w:w="2016"/>
            <w:vAlign w:val="center"/>
          </w:tcPr>
          <w:p>
            <w:r/>
            <w:r>
              <w:rPr>
                <w:b w:val="0"/>
                <w:sz w:val="18"/>
              </w:rPr>
              <w:t>The explicit completeness rule blocks review; the threshold does not see it.</w:t>
            </w:r>
          </w:p>
        </w:tc>
      </w:tr>
      <w:tr>
        <w:tc>
          <w:tcPr>
            <w:tcW w:type="dxa" w:w="2016"/>
            <w:vAlign w:val="center"/>
          </w:tcPr>
          <w:p>
            <w:r/>
            <w:r>
              <w:rPr>
                <w:b w:val="0"/>
                <w:sz w:val="18"/>
              </w:rPr>
              <w:t>boundary</w:t>
            </w:r>
          </w:p>
        </w:tc>
        <w:tc>
          <w:tcPr>
            <w:tcW w:type="dxa" w:w="2016"/>
            <w:vAlign w:val="center"/>
          </w:tcPr>
          <w:p>
            <w:r/>
            <w:r>
              <w:rPr>
                <w:b w:val="0"/>
                <w:sz w:val="18"/>
              </w:rPr>
              <w:t>Review</w:t>
            </w:r>
          </w:p>
        </w:tc>
        <w:tc>
          <w:tcPr>
            <w:tcW w:type="dxa" w:w="2016"/>
            <w:vAlign w:val="center"/>
          </w:tcPr>
          <w:p>
            <w:r/>
            <w:r>
              <w:rPr>
                <w:b w:val="0"/>
                <w:sz w:val="18"/>
              </w:rPr>
              <w:t>Review</w:t>
            </w:r>
          </w:p>
        </w:tc>
        <w:tc>
          <w:tcPr>
            <w:tcW w:type="dxa" w:w="2016"/>
            <w:vAlign w:val="center"/>
          </w:tcPr>
          <w:p>
            <w:r/>
            <w:r>
              <w:rPr>
                <w:b w:val="0"/>
                <w:sz w:val="18"/>
              </w:rPr>
              <w:t>No</w:t>
            </w:r>
          </w:p>
        </w:tc>
        <w:tc>
          <w:tcPr>
            <w:tcW w:type="dxa" w:w="2016"/>
            <w:vAlign w:val="center"/>
          </w:tcPr>
          <w:p>
            <w:r/>
            <w:r>
              <w:rPr>
                <w:b w:val="0"/>
                <w:sz w:val="18"/>
              </w:rPr>
              <w:t>Both comparisons include the boundary with &gt;=.</w:t>
            </w:r>
          </w:p>
        </w:tc>
      </w:tr>
    </w:tbl>
    <w:p/>
    <w:p>
      <w:pPr>
        <w:pStyle w:val="Heading1"/>
      </w:pPr>
      <w:r>
        <w:t>4. Two additional transparent conditions</w:t>
      </w:r>
    </w:p>
    <w:p>
      <w:r>
        <w:t>For the second experiment I retained score &gt;= 70 and document completeness, then added two named conditions: recommendation_complete must be true, and need_score must be at least 50. These are synthetic lab assumptions. They are not a real scholarship policy and would require policy approval and validation before use.</w:t>
      </w:r>
    </w:p>
    <w:p>
      <w:pPr>
        <w:pStyle w:val="NoSpacing"/>
      </w:pPr>
      <w:r>
        <w:rPr>
          <w:rFonts w:ascii="Consolas" w:hAnsi="Consolas"/>
          <w:sz w:val="17"/>
        </w:rPr>
        <w:t>case | expected | actual | pass | reason</w:t>
        <w:br/>
        <w:t>full_pass | Review | Review | True | all synthetic conditions passed</w:t>
        <w:br/>
        <w:t>missing_recommendation | Hold | Hold | True | recommendation missing</w:t>
        <w:br/>
        <w:t>low_need_score | Hold | Hold | True | need score below 50</w:t>
        <w:br/>
        <w:t>threshold_boundary | Review | Review | True | all synthetic conditions passed</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b/>
                <w:sz w:val="18"/>
              </w:rPr>
              <w:t>Case</w:t>
            </w:r>
          </w:p>
        </w:tc>
        <w:tc>
          <w:tcPr>
            <w:tcW w:type="dxa" w:w="2520"/>
            <w:vAlign w:val="center"/>
            <w:shd w:fill="D9EAF7"/>
          </w:tcPr>
          <w:p>
            <w:r/>
            <w:r>
              <w:rPr>
                <w:b/>
                <w:sz w:val="18"/>
              </w:rPr>
              <w:t>Purpose</w:t>
            </w:r>
          </w:p>
        </w:tc>
        <w:tc>
          <w:tcPr>
            <w:tcW w:type="dxa" w:w="2520"/>
            <w:vAlign w:val="center"/>
            <w:shd w:fill="D9EAF7"/>
          </w:tcPr>
          <w:p>
            <w:r/>
            <w:r>
              <w:rPr>
                <w:b/>
                <w:sz w:val="18"/>
              </w:rPr>
              <w:t>Expected / actual</w:t>
            </w:r>
          </w:p>
        </w:tc>
        <w:tc>
          <w:tcPr>
            <w:tcW w:type="dxa" w:w="2520"/>
            <w:vAlign w:val="center"/>
            <w:shd w:fill="D9EAF7"/>
          </w:tcPr>
          <w:p>
            <w:r/>
            <w:r>
              <w:rPr>
                <w:b/>
                <w:sz w:val="18"/>
              </w:rPr>
              <w:t>Reason</w:t>
            </w:r>
          </w:p>
        </w:tc>
      </w:tr>
      <w:tr>
        <w:tc>
          <w:tcPr>
            <w:tcW w:type="dxa" w:w="2520"/>
            <w:vAlign w:val="center"/>
          </w:tcPr>
          <w:p>
            <w:r/>
            <w:r>
              <w:rPr>
                <w:b w:val="0"/>
                <w:sz w:val="18"/>
              </w:rPr>
              <w:t>full_pass</w:t>
            </w:r>
          </w:p>
        </w:tc>
        <w:tc>
          <w:tcPr>
            <w:tcW w:type="dxa" w:w="2520"/>
            <w:vAlign w:val="center"/>
          </w:tcPr>
          <w:p>
            <w:r/>
            <w:r>
              <w:rPr>
                <w:b w:val="0"/>
                <w:sz w:val="18"/>
              </w:rPr>
              <w:t>Pass case</w:t>
            </w:r>
          </w:p>
        </w:tc>
        <w:tc>
          <w:tcPr>
            <w:tcW w:type="dxa" w:w="2520"/>
            <w:vAlign w:val="center"/>
          </w:tcPr>
          <w:p>
            <w:r/>
            <w:r>
              <w:rPr>
                <w:b w:val="0"/>
                <w:sz w:val="18"/>
              </w:rPr>
              <w:t>Review / Review</w:t>
            </w:r>
          </w:p>
        </w:tc>
        <w:tc>
          <w:tcPr>
            <w:tcW w:type="dxa" w:w="2520"/>
            <w:vAlign w:val="center"/>
          </w:tcPr>
          <w:p>
            <w:r/>
            <w:r>
              <w:rPr>
                <w:b w:val="0"/>
                <w:sz w:val="18"/>
              </w:rPr>
              <w:t>All four synthetic conditions pass.</w:t>
            </w:r>
          </w:p>
        </w:tc>
      </w:tr>
      <w:tr>
        <w:tc>
          <w:tcPr>
            <w:tcW w:type="dxa" w:w="2520"/>
            <w:vAlign w:val="center"/>
          </w:tcPr>
          <w:p>
            <w:r/>
            <w:r>
              <w:rPr>
                <w:b w:val="0"/>
                <w:sz w:val="18"/>
              </w:rPr>
              <w:t>missing_recommendation</w:t>
            </w:r>
          </w:p>
        </w:tc>
        <w:tc>
          <w:tcPr>
            <w:tcW w:type="dxa" w:w="2520"/>
            <w:vAlign w:val="center"/>
          </w:tcPr>
          <w:p>
            <w:r/>
            <w:r>
              <w:rPr>
                <w:b w:val="0"/>
                <w:sz w:val="18"/>
              </w:rPr>
              <w:t>Fail new condition 1</w:t>
            </w:r>
          </w:p>
        </w:tc>
        <w:tc>
          <w:tcPr>
            <w:tcW w:type="dxa" w:w="2520"/>
            <w:vAlign w:val="center"/>
          </w:tcPr>
          <w:p>
            <w:r/>
            <w:r>
              <w:rPr>
                <w:b w:val="0"/>
                <w:sz w:val="18"/>
              </w:rPr>
              <w:t>Hold / Hold</w:t>
            </w:r>
          </w:p>
        </w:tc>
        <w:tc>
          <w:tcPr>
            <w:tcW w:type="dxa" w:w="2520"/>
            <w:vAlign w:val="center"/>
          </w:tcPr>
          <w:p>
            <w:r/>
            <w:r>
              <w:rPr>
                <w:b w:val="0"/>
                <w:sz w:val="18"/>
              </w:rPr>
              <w:t>Recommendation is false.</w:t>
            </w:r>
          </w:p>
        </w:tc>
      </w:tr>
      <w:tr>
        <w:tc>
          <w:tcPr>
            <w:tcW w:type="dxa" w:w="2520"/>
            <w:vAlign w:val="center"/>
          </w:tcPr>
          <w:p>
            <w:r/>
            <w:r>
              <w:rPr>
                <w:b w:val="0"/>
                <w:sz w:val="18"/>
              </w:rPr>
              <w:t>low_need_score</w:t>
            </w:r>
          </w:p>
        </w:tc>
        <w:tc>
          <w:tcPr>
            <w:tcW w:type="dxa" w:w="2520"/>
            <w:vAlign w:val="center"/>
          </w:tcPr>
          <w:p>
            <w:r/>
            <w:r>
              <w:rPr>
                <w:b w:val="0"/>
                <w:sz w:val="18"/>
              </w:rPr>
              <w:t>Fail new condition 2</w:t>
            </w:r>
          </w:p>
        </w:tc>
        <w:tc>
          <w:tcPr>
            <w:tcW w:type="dxa" w:w="2520"/>
            <w:vAlign w:val="center"/>
          </w:tcPr>
          <w:p>
            <w:r/>
            <w:r>
              <w:rPr>
                <w:b w:val="0"/>
                <w:sz w:val="18"/>
              </w:rPr>
              <w:t>Hold / Hold</w:t>
            </w:r>
          </w:p>
        </w:tc>
        <w:tc>
          <w:tcPr>
            <w:tcW w:type="dxa" w:w="2520"/>
            <w:vAlign w:val="center"/>
          </w:tcPr>
          <w:p>
            <w:r/>
            <w:r>
              <w:rPr>
                <w:b w:val="0"/>
                <w:sz w:val="18"/>
              </w:rPr>
              <w:t>Need score is below 50.</w:t>
            </w:r>
          </w:p>
        </w:tc>
      </w:tr>
      <w:tr>
        <w:tc>
          <w:tcPr>
            <w:tcW w:type="dxa" w:w="2520"/>
            <w:vAlign w:val="center"/>
          </w:tcPr>
          <w:p>
            <w:r/>
            <w:r>
              <w:rPr>
                <w:b w:val="0"/>
                <w:sz w:val="18"/>
              </w:rPr>
              <w:t>threshold_boundary</w:t>
            </w:r>
          </w:p>
        </w:tc>
        <w:tc>
          <w:tcPr>
            <w:tcW w:type="dxa" w:w="2520"/>
            <w:vAlign w:val="center"/>
          </w:tcPr>
          <w:p>
            <w:r/>
            <w:r>
              <w:rPr>
                <w:b w:val="0"/>
                <w:sz w:val="18"/>
              </w:rPr>
              <w:t>Boundary case</w:t>
            </w:r>
          </w:p>
        </w:tc>
        <w:tc>
          <w:tcPr>
            <w:tcW w:type="dxa" w:w="2520"/>
            <w:vAlign w:val="center"/>
          </w:tcPr>
          <w:p>
            <w:r/>
            <w:r>
              <w:rPr>
                <w:b w:val="0"/>
                <w:sz w:val="18"/>
              </w:rPr>
              <w:t>Review / Review</w:t>
            </w:r>
          </w:p>
        </w:tc>
        <w:tc>
          <w:tcPr>
            <w:tcW w:type="dxa" w:w="2520"/>
            <w:vAlign w:val="center"/>
          </w:tcPr>
          <w:p>
            <w:r/>
            <w:r>
              <w:rPr>
                <w:b w:val="0"/>
                <w:sz w:val="18"/>
              </w:rPr>
              <w:t>Score 70 and need 50 are included.</w:t>
            </w:r>
          </w:p>
        </w:tc>
      </w:tr>
    </w:tbl>
    <w:p/>
    <w:p>
      <w:pPr>
        <w:pStyle w:val="Heading1"/>
      </w:pPr>
      <w:r>
        <w:t>5. Conversational test and general intelligence</w:t>
      </w:r>
    </w:p>
    <w:p>
      <w:r>
        <w:t>A conversational test observes whether a system can produce replies that seem human-like in an interaction. It does not establish reliable perception, grounded knowledge, safe planning, causal understanding, or performance across unfamiliar tasks. In this scholarship case, a fluent assistant could say “the application is ready for review” while overlooking that documents_complete is false. The wording can sound convincing even though the decision is wrong.</w:t>
      </w:r>
    </w:p>
    <w:p>
      <w:r>
        <w:t>A useful additional test would be a repeated, blinded evaluation on held-out applications with known ground-truth document status and an explicit cost for unsafe false approvals. Reviewers should also inspect explanations and disagreement cases rather than relying on fluency.</w:t>
      </w:r>
    </w:p>
    <w:p>
      <w:pPr>
        <w:pStyle w:val="Heading1"/>
      </w:pPr>
      <w:r>
        <w:t>6. Edge case and failure analysis</w:t>
      </w:r>
    </w:p>
    <w:p>
      <w:r>
        <w:t>The incomplete_high case has score 91 and probability 0.88, but the symbolic result is Hold because a required document is missing. The likely cause of the disagreement is that the threshold input does not encode completeness. A proposed improvement is to validate mandatory fields before scoring and to require the reviewer to see the missing-document reason. Even that improvement needs representative data, privacy controls and human oversight.</w:t>
      </w:r>
    </w:p>
    <w:p>
      <w:pPr>
        <w:pStyle w:val="Heading1"/>
      </w:pPr>
      <w:r>
        <w:t>7. Reflection and responsible practice</w:t>
      </w:r>
    </w:p>
    <w:p>
      <w:r>
        <w:t>I learned that a rule can be easy to trace but narrow, while a probability threshold can look flexible without showing how its input was produced. I would use explicit checks for hard constraints and treat learned scores as decision support. The main surprise was that a high score can coexist with a missing document. Next time I would add more edge cases and test the policy with the people who own the scholarship rules.</w:t>
      </w:r>
    </w:p>
    <w:p>
      <w:pPr>
        <w:pStyle w:val="Heading1"/>
      </w:pPr>
      <w:r>
        <w:t>8. Sources</w:t>
      </w:r>
    </w:p>
    <w:p>
      <w:pPr>
        <w:pStyle w:val="ListBullet"/>
      </w:pPr>
      <w:r>
        <w:t>Turing, A. M. (1950), “Computing Machinery and Intelligence,” Mind, 59(236), 433–460. https://doi.org/10.1093/mind/LIX.236.433</w:t>
      </w:r>
    </w:p>
    <w:p>
      <w:pPr>
        <w:pStyle w:val="ListBullet"/>
      </w:pPr>
      <w:r>
        <w:t>McCarthy et al. (1955), “A Proposal for the Dartmouth Summer Research Project on Artificial Intelligence.” http://www-formal.stanford.edu/jmc/history/dartmouth/dartmouth.html</w:t>
      </w:r>
    </w:p>
    <w:p>
      <w:pPr>
        <w:pStyle w:val="ListBullet"/>
      </w:pPr>
      <w:r>
        <w:t>Russell, S. and Norvig, P., Artificial Intelligence: A Modern Approach, 4th ed., sections on AI history and intelligent agents. https://aima.cs.berkeley.edu/</w:t>
      </w:r>
    </w:p>
    <w:p>
      <w:pPr>
        <w:pStyle w:val="ListBullet"/>
      </w:pPr>
      <w:r>
        <w:t>Krizhevsky, Sutskever and Hinton (2012), “ImageNet Classification with Deep Convolutional Neural Networks.” https://doi.org/10.1145/3065386</w:t>
      </w:r>
    </w:p>
    <w:p>
      <w:pPr>
        <w:pStyle w:val="ListBullet"/>
      </w:pPr>
      <w:r>
        <w:t>IBM, “Deep Blue.” https://www.ibm.com/history/deep-blue</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