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6315" w:rsidRPr="00C44FBA" w:rsidRDefault="00386315">
      <w:pPr>
        <w:rPr>
          <w:b/>
          <w:bCs/>
        </w:rPr>
      </w:pPr>
      <w:r w:rsidRPr="00897E33">
        <w:rPr>
          <w:b/>
          <w:bCs/>
        </w:rPr>
        <w:t>Lack of Association Between Genetic Variants at ACE2 and TMPRSS2 Genes Involved in SARS-CoV-2 Infection and Human Quantitative Phenotypes</w:t>
      </w:r>
    </w:p>
    <w:p w:rsidR="002E0539" w:rsidRDefault="002E0539">
      <w:hyperlink r:id="rId5" w:history="1">
        <w:r w:rsidRPr="004D0C07">
          <w:rPr>
            <w:rStyle w:val="Hyperlink"/>
          </w:rPr>
          <w:t>http://doi.org/10.3389/fgene.2020.00613</w:t>
        </w:r>
      </w:hyperlink>
    </w:p>
    <w:p w:rsidR="002265AC" w:rsidRPr="00897E33" w:rsidRDefault="002265AC">
      <w:pPr>
        <w:rPr>
          <w:b/>
          <w:bCs/>
        </w:rPr>
      </w:pPr>
      <w:r w:rsidRPr="00897E33">
        <w:rPr>
          <w:b/>
          <w:bCs/>
        </w:rPr>
        <w:t>Notes:</w:t>
      </w:r>
    </w:p>
    <w:p w:rsidR="002265AC" w:rsidRDefault="00057E60">
      <w:r>
        <w:t xml:space="preserve">Genetic variation in TMPRSS22 and ACE2 may modulate a person’s genetic predisposition to infection and virus clearance. A total of </w:t>
      </w:r>
      <w:r w:rsidR="00CF082D">
        <w:t>178 quantitative phenotypes including cytokines and cardio-metabolic bio markers</w:t>
      </w:r>
      <w:r w:rsidR="00B87559">
        <w:t xml:space="preserve"> and 58 medication types were investigated among N = 36,339 volunteers </w:t>
      </w:r>
      <w:r w:rsidR="00AC28C2">
        <w:t>in relation to 1273 genetic variants located on or near ACE2 and TMPRSS2</w:t>
      </w:r>
      <w:r w:rsidR="00FD7591">
        <w:t>. Though none reached a threshold for significance a few observations were made.</w:t>
      </w:r>
    </w:p>
    <w:p w:rsidR="00FD7591" w:rsidRDefault="00FD7591"/>
    <w:p w:rsidR="00FD7591" w:rsidRDefault="00FD7591">
      <w:r>
        <w:t>1</w:t>
      </w:r>
      <w:r w:rsidRPr="00FD7591">
        <w:rPr>
          <w:vertAlign w:val="superscript"/>
        </w:rPr>
        <w:t>st</w:t>
      </w:r>
      <w:r>
        <w:t xml:space="preserve"> – SNPs near TMPRSS2</w:t>
      </w:r>
      <w:r w:rsidR="00EA025E">
        <w:t xml:space="preserve"> genes</w:t>
      </w:r>
      <w:r>
        <w:t xml:space="preserve"> </w:t>
      </w:r>
      <w:r w:rsidR="00EA025E">
        <w:t xml:space="preserve">were </w:t>
      </w:r>
      <w:r>
        <w:t>associated with thrombocytes count</w:t>
      </w:r>
    </w:p>
    <w:p w:rsidR="00FD7591" w:rsidRDefault="00FD7591">
      <w:r>
        <w:t>2</w:t>
      </w:r>
      <w:r w:rsidRPr="00FD7591">
        <w:rPr>
          <w:vertAlign w:val="superscript"/>
        </w:rPr>
        <w:t>nd</w:t>
      </w:r>
      <w:r>
        <w:t xml:space="preserve"> – SNPs near ACE2 gene</w:t>
      </w:r>
      <w:r w:rsidR="00EA025E">
        <w:t xml:space="preserve"> were associated with the use of ARBs combination therapies</w:t>
      </w:r>
      <w:r w:rsidR="001F4B50">
        <w:t>.</w:t>
      </w:r>
    </w:p>
    <w:p w:rsidR="001F4B50" w:rsidRDefault="001F4B50">
      <w:r>
        <w:t>3</w:t>
      </w:r>
      <w:r w:rsidRPr="001F4B50">
        <w:rPr>
          <w:vertAlign w:val="superscript"/>
        </w:rPr>
        <w:t>rd</w:t>
      </w:r>
      <w:r>
        <w:t xml:space="preserve"> – stronger associations were made in female volunteers and volunteers </w:t>
      </w:r>
      <w:r w:rsidR="00594D31">
        <w:t>who used non-steroid anti-inflammatory and anti-rheumatic products.</w:t>
      </w:r>
    </w:p>
    <w:p w:rsidR="000E4F03" w:rsidRDefault="000E4F03"/>
    <w:p w:rsidR="000E4F03" w:rsidRDefault="000E4F03">
      <w:r>
        <w:t>Authors suggest that variants may play a role in disease such as thrombocytopenia, hypertension, and chronic inflammation</w:t>
      </w:r>
      <w:r w:rsidR="001369BC">
        <w:t xml:space="preserve"> (seen in the clinical presentation of COVID-19 subjects).</w:t>
      </w:r>
    </w:p>
    <w:p w:rsidR="00E618D2" w:rsidRDefault="00E618D2"/>
    <w:p w:rsidR="00E618D2" w:rsidRDefault="007C7DEE">
      <w:r>
        <w:t>Quantitative Phenotypes</w:t>
      </w:r>
    </w:p>
    <w:p w:rsidR="007C7DEE" w:rsidRDefault="007C7DEE" w:rsidP="007C7DEE">
      <w:pPr>
        <w:pStyle w:val="ListParagraph"/>
        <w:numPr>
          <w:ilvl w:val="0"/>
          <w:numId w:val="1"/>
        </w:numPr>
      </w:pPr>
      <w:r>
        <w:t>None were found to be significant at the genome-wide level</w:t>
      </w:r>
    </w:p>
    <w:p w:rsidR="007C7DEE" w:rsidRDefault="008D6327" w:rsidP="007C7DEE">
      <w:pPr>
        <w:pStyle w:val="ListParagraph"/>
        <w:numPr>
          <w:ilvl w:val="0"/>
          <w:numId w:val="1"/>
        </w:numPr>
      </w:pPr>
      <w:r>
        <w:t>Most associations were found within quantitative traits at the ACE2 locus were triglycerides</w:t>
      </w:r>
      <w:r w:rsidR="008F7898">
        <w:t xml:space="preserve"> (</w:t>
      </w:r>
      <w:proofErr w:type="spellStart"/>
      <w:r w:rsidR="008F7898">
        <w:t>rs5980163</w:t>
      </w:r>
      <w:proofErr w:type="spellEnd"/>
      <w:r w:rsidR="008F7898">
        <w:t>) and eosinophil counts (</w:t>
      </w:r>
      <w:proofErr w:type="spellStart"/>
      <w:r w:rsidR="008F7898">
        <w:t>rs17264937</w:t>
      </w:r>
      <w:proofErr w:type="spellEnd"/>
      <w:r w:rsidR="008F7898">
        <w:t>)</w:t>
      </w:r>
    </w:p>
    <w:p w:rsidR="00B078FC" w:rsidRDefault="00B078FC" w:rsidP="007C7DEE">
      <w:pPr>
        <w:pStyle w:val="ListParagraph"/>
        <w:numPr>
          <w:ilvl w:val="0"/>
          <w:numId w:val="1"/>
        </w:numPr>
      </w:pPr>
      <w:r>
        <w:t>Strongest associations at TMPRSS2 were plasma levels of CHIT1 (</w:t>
      </w:r>
      <w:proofErr w:type="spellStart"/>
      <w:r>
        <w:t>rs150965978</w:t>
      </w:r>
      <w:proofErr w:type="spellEnd"/>
      <w:r>
        <w:t>) and thrombocytes (</w:t>
      </w:r>
      <w:proofErr w:type="spellStart"/>
      <w:r>
        <w:t>rs28</w:t>
      </w:r>
      <w:r w:rsidR="005E5E7B">
        <w:t>401567</w:t>
      </w:r>
      <w:proofErr w:type="spellEnd"/>
      <w:r w:rsidR="005E5E7B">
        <w:t>).</w:t>
      </w:r>
    </w:p>
    <w:p w:rsidR="005E5E7B" w:rsidRDefault="005E5E7B" w:rsidP="007C7DEE">
      <w:pPr>
        <w:pStyle w:val="ListParagraph"/>
        <w:numPr>
          <w:ilvl w:val="0"/>
          <w:numId w:val="1"/>
        </w:numPr>
      </w:pPr>
      <w:r>
        <w:t>Only association at res5980163 with triglycerides at ACE2 showed differential effect between male and females.</w:t>
      </w:r>
    </w:p>
    <w:p w:rsidR="00072F3D" w:rsidRDefault="00072F3D" w:rsidP="00072F3D">
      <w:r>
        <w:t>Medication use</w:t>
      </w:r>
    </w:p>
    <w:p w:rsidR="00072F3D" w:rsidRDefault="00072F3D" w:rsidP="00072F3D">
      <w:pPr>
        <w:pStyle w:val="ListParagraph"/>
        <w:numPr>
          <w:ilvl w:val="0"/>
          <w:numId w:val="1"/>
        </w:numPr>
      </w:pPr>
      <w:r>
        <w:t>Strongest association at ACE2 locus were observed for group of drugs that contain NSAIDS</w:t>
      </w:r>
      <w:r w:rsidR="00356BD4">
        <w:t xml:space="preserve"> and ARBs in combination with anti hypertensive drugs.</w:t>
      </w:r>
    </w:p>
    <w:p w:rsidR="00356BD4" w:rsidRDefault="00356BD4" w:rsidP="00072F3D">
      <w:pPr>
        <w:pStyle w:val="ListParagraph"/>
        <w:numPr>
          <w:ilvl w:val="0"/>
          <w:numId w:val="1"/>
        </w:numPr>
      </w:pPr>
      <w:r>
        <w:t xml:space="preserve">Individuals carrying at least 1 T allele at </w:t>
      </w:r>
      <w:proofErr w:type="spellStart"/>
      <w:r>
        <w:t>rs4646156</w:t>
      </w:r>
      <w:proofErr w:type="spellEnd"/>
      <w:r>
        <w:t xml:space="preserve"> polymorphism were likely to take this combined therapy compared to in</w:t>
      </w:r>
      <w:r w:rsidR="00095D39">
        <w:t>dividuals</w:t>
      </w:r>
    </w:p>
    <w:p w:rsidR="001709A2" w:rsidRDefault="001709A2" w:rsidP="001709A2">
      <w:pPr>
        <w:pStyle w:val="ListParagraph"/>
        <w:numPr>
          <w:ilvl w:val="0"/>
          <w:numId w:val="1"/>
        </w:numPr>
      </w:pPr>
      <w:r>
        <w:t>Association with ARB combination therapies could indicate that individuals in whom it is difficult to manage hypertension may be g</w:t>
      </w:r>
      <w:r w:rsidR="00846632">
        <w:t xml:space="preserve">enetically pre-disposed to this state of </w:t>
      </w:r>
      <w:proofErr w:type="spellStart"/>
      <w:r w:rsidR="00846632">
        <w:t>rs4646156</w:t>
      </w:r>
      <w:proofErr w:type="spellEnd"/>
    </w:p>
    <w:p w:rsidR="00846632" w:rsidRDefault="00846632" w:rsidP="001709A2">
      <w:pPr>
        <w:pStyle w:val="ListParagraph"/>
        <w:numPr>
          <w:ilvl w:val="0"/>
          <w:numId w:val="1"/>
        </w:numPr>
      </w:pPr>
      <w:r>
        <w:t>Strongest association at TMPRSS2 locus were ob</w:t>
      </w:r>
      <w:r w:rsidR="00393885">
        <w:t xml:space="preserve">served for the group of drugs containing </w:t>
      </w:r>
      <w:proofErr w:type="spellStart"/>
      <w:r w:rsidR="00393885">
        <w:t>antimycotics</w:t>
      </w:r>
      <w:proofErr w:type="spellEnd"/>
      <w:r w:rsidR="00393885">
        <w:t xml:space="preserve"> prescription and for corticosteroids</w:t>
      </w:r>
    </w:p>
    <w:p w:rsidR="00393885" w:rsidRDefault="0002610B" w:rsidP="00393885">
      <w:r>
        <w:rPr>
          <w:noProof/>
        </w:rPr>
        <w:drawing>
          <wp:anchor distT="0" distB="0" distL="114300" distR="114300" simplePos="0" relativeHeight="251659264" behindDoc="0" locked="0" layoutInCell="1" allowOverlap="1" wp14:anchorId="513605CD" wp14:editId="668B5B34">
            <wp:simplePos x="0" y="0"/>
            <wp:positionH relativeFrom="column">
              <wp:posOffset>473107</wp:posOffset>
            </wp:positionH>
            <wp:positionV relativeFrom="paragraph">
              <wp:posOffset>179070</wp:posOffset>
            </wp:positionV>
            <wp:extent cx="4716684" cy="201416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684" cy="201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3885" w:rsidRDefault="00393885" w:rsidP="00393885"/>
    <w:p w:rsidR="00E4088F" w:rsidRDefault="00E4088F" w:rsidP="00393885"/>
    <w:p w:rsidR="00E4088F" w:rsidRDefault="00E4088F" w:rsidP="00393885"/>
    <w:p w:rsidR="00E4088F" w:rsidRDefault="00E4088F" w:rsidP="00393885"/>
    <w:p w:rsidR="00E4088F" w:rsidRDefault="00E4088F" w:rsidP="00393885"/>
    <w:p w:rsidR="00E4088F" w:rsidRDefault="00E4088F" w:rsidP="00393885"/>
    <w:p w:rsidR="00E4088F" w:rsidRDefault="00E4088F" w:rsidP="00393885"/>
    <w:p w:rsidR="00E4088F" w:rsidRDefault="00E4088F" w:rsidP="00393885"/>
    <w:p w:rsidR="00E4088F" w:rsidRDefault="00E4088F" w:rsidP="00393885"/>
    <w:p w:rsidR="00F17909" w:rsidRDefault="00F17909" w:rsidP="00393885"/>
    <w:p w:rsidR="00C617CE" w:rsidRPr="00C44FBA" w:rsidRDefault="00DE49F0" w:rsidP="00393885">
      <w:pPr>
        <w:rPr>
          <w:b/>
          <w:bCs/>
        </w:rPr>
      </w:pPr>
      <w:r w:rsidRPr="00C44FBA">
        <w:rPr>
          <w:b/>
          <w:bCs/>
        </w:rPr>
        <w:lastRenderedPageBreak/>
        <w:t>First comprehensive computational analysis of functional consequences of TMPRSS2 SNPs in susceptibility to SARS-CoV-2 among different populations</w:t>
      </w:r>
    </w:p>
    <w:p w:rsidR="00C617CE" w:rsidRDefault="00C617CE" w:rsidP="00393885">
      <w:hyperlink r:id="rId7" w:history="1">
        <w:r w:rsidRPr="004D0C07">
          <w:rPr>
            <w:rStyle w:val="Hyperlink"/>
          </w:rPr>
          <w:t>https://doi.org/10.1080/07391102.2020.1767690</w:t>
        </w:r>
      </w:hyperlink>
    </w:p>
    <w:p w:rsidR="00C617CE" w:rsidRPr="00C44FBA" w:rsidRDefault="00C617CE" w:rsidP="00393885">
      <w:pPr>
        <w:rPr>
          <w:b/>
          <w:bCs/>
        </w:rPr>
      </w:pPr>
      <w:r w:rsidRPr="00C44FBA">
        <w:rPr>
          <w:b/>
          <w:bCs/>
        </w:rPr>
        <w:t>Notes:</w:t>
      </w:r>
    </w:p>
    <w:p w:rsidR="00D47AF1" w:rsidRDefault="004D6F3A" w:rsidP="00D47AF1">
      <w:r>
        <w:rPr>
          <w:noProof/>
        </w:rPr>
        <w:drawing>
          <wp:anchor distT="0" distB="0" distL="114300" distR="114300" simplePos="0" relativeHeight="251661312" behindDoc="0" locked="0" layoutInCell="1" allowOverlap="1" wp14:anchorId="0931DD47" wp14:editId="59029DA5">
            <wp:simplePos x="0" y="0"/>
            <wp:positionH relativeFrom="column">
              <wp:posOffset>-46291</wp:posOffset>
            </wp:positionH>
            <wp:positionV relativeFrom="paragraph">
              <wp:posOffset>1403985</wp:posOffset>
            </wp:positionV>
            <wp:extent cx="5832371" cy="570678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2371" cy="5706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530">
        <w:t>Study aims to investigate the impact of SNPs on TMPRSS2 function and structure</w:t>
      </w:r>
      <w:r w:rsidR="00800E50">
        <w:t xml:space="preserve"> in </w:t>
      </w:r>
      <w:proofErr w:type="spellStart"/>
      <w:r w:rsidR="00800E50">
        <w:t>silico</w:t>
      </w:r>
      <w:proofErr w:type="spellEnd"/>
      <w:r w:rsidR="00800E50">
        <w:t>. Only 21 SNPs affected the function and struc</w:t>
      </w:r>
      <w:r w:rsidR="000A3EE8">
        <w:t>ture of TMPRSS2 by influencing the protein folding, PTM, splicing,</w:t>
      </w:r>
      <w:r w:rsidR="00186593">
        <w:t xml:space="preserve"> and</w:t>
      </w:r>
      <w:r w:rsidR="000A3EE8">
        <w:t xml:space="preserve"> miRNA function</w:t>
      </w:r>
      <w:r w:rsidR="00186593">
        <w:t xml:space="preserve">, particularly </w:t>
      </w:r>
      <w:proofErr w:type="spellStart"/>
      <w:r w:rsidR="00186593">
        <w:t>rs12329760</w:t>
      </w:r>
      <w:proofErr w:type="spellEnd"/>
      <w:r w:rsidR="001443CA">
        <w:t>, which may create a de novo pocket protein.</w:t>
      </w:r>
      <w:r w:rsidR="004611C9">
        <w:t xml:space="preserve"> </w:t>
      </w:r>
      <w:proofErr w:type="spellStart"/>
      <w:r w:rsidR="004611C9" w:rsidRPr="004611C9">
        <w:t>rs875393</w:t>
      </w:r>
      <w:proofErr w:type="spellEnd"/>
      <w:r w:rsidR="004611C9" w:rsidRPr="004611C9">
        <w:t xml:space="preserve"> can create a donor site, silencer and broken enhancer motifs. </w:t>
      </w:r>
      <w:proofErr w:type="spellStart"/>
      <w:r w:rsidR="004611C9" w:rsidRPr="004611C9">
        <w:t>rs12627374</w:t>
      </w:r>
      <w:proofErr w:type="spellEnd"/>
      <w:r w:rsidR="004611C9" w:rsidRPr="004611C9">
        <w:t xml:space="preserve"> affects a wide spectrum of miRNAs profile. This study highlighted the role of TMPRSS2 SNPs and epigenetic mechanisms especially non-coding RNAs in appearance of different susceptibility to SARS-CoV-2 among different populations. Also, this study could pave the way to potential therapeutic implication of TMPRSS2 in designing antivi</w:t>
      </w:r>
      <w:r w:rsidR="004611C9">
        <w:t xml:space="preserve">ral </w:t>
      </w:r>
      <w:r w:rsidR="001B7354">
        <w:t>drugs</w:t>
      </w:r>
      <w:r w:rsidR="00D47AF1">
        <w:t>.</w:t>
      </w:r>
    </w:p>
    <w:p w:rsidR="0072603A" w:rsidRDefault="0072603A" w:rsidP="00D47AF1">
      <w:pPr>
        <w:pStyle w:val="ListParagraph"/>
        <w:numPr>
          <w:ilvl w:val="0"/>
          <w:numId w:val="1"/>
        </w:numPr>
      </w:pPr>
      <w:r>
        <w:t xml:space="preserve">TMPRSS2 is located on 21q22.3 and contains </w:t>
      </w:r>
      <w:r w:rsidR="002A195F">
        <w:t xml:space="preserve">15 </w:t>
      </w:r>
      <w:proofErr w:type="spellStart"/>
      <w:r w:rsidR="002A195F">
        <w:t>exons</w:t>
      </w:r>
      <w:proofErr w:type="spellEnd"/>
      <w:r w:rsidR="002A195F">
        <w:t>. The protease is highly expressed in prostate, colon-transverse, stomach, and l</w:t>
      </w:r>
      <w:r w:rsidR="0026428E">
        <w:t>ung</w:t>
      </w:r>
      <w:r w:rsidR="00E041FC">
        <w:t>, m</w:t>
      </w:r>
      <w:r w:rsidR="0026428E">
        <w:t xml:space="preserve">ostly comprised of </w:t>
      </w:r>
      <w:proofErr w:type="spellStart"/>
      <w:r w:rsidR="0026428E">
        <w:t>Gly</w:t>
      </w:r>
      <w:proofErr w:type="spellEnd"/>
      <w:r w:rsidR="0026428E">
        <w:t xml:space="preserve">, </w:t>
      </w:r>
      <w:proofErr w:type="spellStart"/>
      <w:r w:rsidR="0026428E">
        <w:t>Ser</w:t>
      </w:r>
      <w:proofErr w:type="spellEnd"/>
      <w:r w:rsidR="0026428E">
        <w:t xml:space="preserve">, Val, </w:t>
      </w:r>
      <w:r w:rsidR="00E041FC">
        <w:t xml:space="preserve">Pro, and Leu </w:t>
      </w:r>
      <w:r w:rsidR="00E041FC">
        <w:lastRenderedPageBreak/>
        <w:t xml:space="preserve">amino acids, and is cleaved by </w:t>
      </w:r>
      <w:r w:rsidR="00582C4F">
        <w:t>trypsin into 27 fragments</w:t>
      </w:r>
      <w:r w:rsidR="00BA4DE4">
        <w:t xml:space="preserve">. TMPRSS2 expression is higher in prostate </w:t>
      </w:r>
      <w:r w:rsidR="006345E6">
        <w:t>adenocarcinoma (PRAD)</w:t>
      </w:r>
      <w:r w:rsidR="000D1FD9">
        <w:t xml:space="preserve">, with survival rate of patients decreased </w:t>
      </w:r>
      <w:r w:rsidR="00262025">
        <w:t>with age.</w:t>
      </w:r>
    </w:p>
    <w:p w:rsidR="00704DB0" w:rsidRDefault="00704DB0" w:rsidP="00393885"/>
    <w:p w:rsidR="00704DB0" w:rsidRDefault="00704DB0" w:rsidP="00A3341F">
      <w:pPr>
        <w:pStyle w:val="ListParagraph"/>
        <w:numPr>
          <w:ilvl w:val="0"/>
          <w:numId w:val="1"/>
        </w:numPr>
      </w:pPr>
      <w:r>
        <w:t xml:space="preserve">Out of 493 SNPs, frequency of 92 SNPs </w:t>
      </w:r>
      <w:r w:rsidR="00E15755">
        <w:t xml:space="preserve">were significantly different between Asian population and other populations. Out of the </w:t>
      </w:r>
      <w:r w:rsidR="005505CA">
        <w:t>92, 21 influenced the function of the protein. Out of 21 SNPs, 9 (</w:t>
      </w:r>
      <w:proofErr w:type="spellStart"/>
      <w:r w:rsidR="00452E4C" w:rsidRPr="00452E4C">
        <w:t>rs423596</w:t>
      </w:r>
      <w:proofErr w:type="spellEnd"/>
      <w:r w:rsidR="00452E4C" w:rsidRPr="00452E4C">
        <w:t xml:space="preserve">, </w:t>
      </w:r>
      <w:proofErr w:type="spellStart"/>
      <w:r w:rsidR="00452E4C" w:rsidRPr="00452E4C">
        <w:t>rs8134203</w:t>
      </w:r>
      <w:proofErr w:type="spellEnd"/>
      <w:r w:rsidR="00452E4C" w:rsidRPr="00452E4C">
        <w:t xml:space="preserve">, </w:t>
      </w:r>
      <w:proofErr w:type="spellStart"/>
      <w:r w:rsidR="00452E4C" w:rsidRPr="00452E4C">
        <w:t>rs464431</w:t>
      </w:r>
      <w:proofErr w:type="spellEnd"/>
      <w:r w:rsidR="00452E4C" w:rsidRPr="00452E4C">
        <w:t xml:space="preserve">, </w:t>
      </w:r>
      <w:proofErr w:type="spellStart"/>
      <w:r w:rsidR="00452E4C" w:rsidRPr="00452E4C">
        <w:t>rs2298662</w:t>
      </w:r>
      <w:proofErr w:type="spellEnd"/>
      <w:r w:rsidR="00452E4C" w:rsidRPr="00452E4C">
        <w:t xml:space="preserve">, </w:t>
      </w:r>
      <w:proofErr w:type="spellStart"/>
      <w:r w:rsidR="00452E4C" w:rsidRPr="00452E4C">
        <w:t>rs2094881</w:t>
      </w:r>
      <w:proofErr w:type="spellEnd"/>
      <w:r w:rsidR="00452E4C" w:rsidRPr="00452E4C">
        <w:t xml:space="preserve">, </w:t>
      </w:r>
      <w:proofErr w:type="spellStart"/>
      <w:r w:rsidR="00452E4C" w:rsidRPr="00452E4C">
        <w:t>rs75603675</w:t>
      </w:r>
      <w:proofErr w:type="spellEnd"/>
      <w:r w:rsidR="00452E4C" w:rsidRPr="00452E4C">
        <w:t xml:space="preserve">, </w:t>
      </w:r>
      <w:proofErr w:type="spellStart"/>
      <w:r w:rsidR="00452E4C" w:rsidRPr="00452E4C">
        <w:t>rs456142</w:t>
      </w:r>
      <w:proofErr w:type="spellEnd"/>
      <w:r w:rsidR="00452E4C" w:rsidRPr="00452E4C">
        <w:t xml:space="preserve">, </w:t>
      </w:r>
      <w:proofErr w:type="spellStart"/>
      <w:r w:rsidR="00452E4C" w:rsidRPr="00452E4C">
        <w:t>rs462574</w:t>
      </w:r>
      <w:proofErr w:type="spellEnd"/>
      <w:r w:rsidR="00452E4C" w:rsidRPr="00452E4C">
        <w:t xml:space="preserve"> and </w:t>
      </w:r>
      <w:proofErr w:type="spellStart"/>
      <w:r w:rsidR="00452E4C" w:rsidRPr="00452E4C">
        <w:t>rs456298</w:t>
      </w:r>
      <w:proofErr w:type="spellEnd"/>
      <w:r w:rsidR="00452E4C" w:rsidRPr="00452E4C">
        <w:t>) showed a significant difference in frequency between Asian population and other populations. Also, the frequency of 2 SNPs (</w:t>
      </w:r>
      <w:proofErr w:type="spellStart"/>
      <w:r w:rsidR="00452E4C" w:rsidRPr="00452E4C">
        <w:t>rs402197</w:t>
      </w:r>
      <w:proofErr w:type="spellEnd"/>
      <w:r w:rsidR="00452E4C" w:rsidRPr="00452E4C">
        <w:t xml:space="preserve"> and </w:t>
      </w:r>
      <w:proofErr w:type="spellStart"/>
      <w:r w:rsidR="00452E4C" w:rsidRPr="00452E4C">
        <w:t>rs456016</w:t>
      </w:r>
      <w:proofErr w:type="spellEnd"/>
      <w:r w:rsidR="00452E4C" w:rsidRPr="00452E4C">
        <w:t>) were similar between Asian and American populations whereas they were different in comparison with other populations.</w:t>
      </w:r>
      <w:r w:rsidR="002C2DAD">
        <w:t xml:space="preserve"> One</w:t>
      </w:r>
      <w:r w:rsidR="002C2DAD" w:rsidRPr="002C2DAD">
        <w:t xml:space="preserve"> SNP (</w:t>
      </w:r>
      <w:proofErr w:type="spellStart"/>
      <w:r w:rsidR="002C2DAD" w:rsidRPr="002C2DAD">
        <w:t>rs461194</w:t>
      </w:r>
      <w:proofErr w:type="spellEnd"/>
      <w:r w:rsidR="002C2DAD" w:rsidRPr="002C2DAD">
        <w:t>) revealed a considerable different frequency between African population and others. Additionally, 8 SNPs (</w:t>
      </w:r>
      <w:proofErr w:type="spellStart"/>
      <w:r w:rsidR="002C2DAD" w:rsidRPr="002C2DAD">
        <w:t>rs422761</w:t>
      </w:r>
      <w:proofErr w:type="spellEnd"/>
      <w:r w:rsidR="002C2DAD" w:rsidRPr="002C2DAD">
        <w:t xml:space="preserve">, </w:t>
      </w:r>
      <w:proofErr w:type="spellStart"/>
      <w:r w:rsidR="002C2DAD" w:rsidRPr="002C2DAD">
        <w:t>rs8134203</w:t>
      </w:r>
      <w:proofErr w:type="spellEnd"/>
      <w:r w:rsidR="002C2DAD" w:rsidRPr="002C2DAD">
        <w:t xml:space="preserve">, </w:t>
      </w:r>
      <w:proofErr w:type="spellStart"/>
      <w:r w:rsidR="002C2DAD" w:rsidRPr="002C2DAD">
        <w:t>rs2094881</w:t>
      </w:r>
      <w:proofErr w:type="spellEnd"/>
      <w:r w:rsidR="002C2DAD" w:rsidRPr="002C2DAD">
        <w:t xml:space="preserve">, </w:t>
      </w:r>
      <w:proofErr w:type="spellStart"/>
      <w:r w:rsidR="002C2DAD" w:rsidRPr="002C2DAD">
        <w:t>rs75603675</w:t>
      </w:r>
      <w:proofErr w:type="spellEnd"/>
      <w:r w:rsidR="002C2DAD" w:rsidRPr="002C2DAD">
        <w:t xml:space="preserve">, </w:t>
      </w:r>
      <w:proofErr w:type="spellStart"/>
      <w:r w:rsidR="002C2DAD" w:rsidRPr="002C2DAD">
        <w:t>rs456142</w:t>
      </w:r>
      <w:proofErr w:type="spellEnd"/>
      <w:r w:rsidR="002C2DAD" w:rsidRPr="002C2DAD">
        <w:t xml:space="preserve">, </w:t>
      </w:r>
      <w:proofErr w:type="spellStart"/>
      <w:r w:rsidR="002C2DAD" w:rsidRPr="002C2DAD">
        <w:t>rs462574</w:t>
      </w:r>
      <w:proofErr w:type="spellEnd"/>
      <w:r w:rsidR="002C2DAD" w:rsidRPr="002C2DAD">
        <w:t xml:space="preserve">, </w:t>
      </w:r>
      <w:proofErr w:type="spellStart"/>
      <w:r w:rsidR="002C2DAD" w:rsidRPr="002C2DAD">
        <w:t>rs456298</w:t>
      </w:r>
      <w:proofErr w:type="spellEnd"/>
      <w:r w:rsidR="002C2DAD" w:rsidRPr="002C2DAD">
        <w:t xml:space="preserve"> and </w:t>
      </w:r>
      <w:proofErr w:type="spellStart"/>
      <w:r w:rsidR="002C2DAD" w:rsidRPr="002C2DAD">
        <w:t>rs12473206</w:t>
      </w:r>
      <w:proofErr w:type="spellEnd"/>
      <w:r w:rsidR="002C2DAD" w:rsidRPr="002C2DAD">
        <w:t>) revealed a notable diffe</w:t>
      </w:r>
      <w:r w:rsidR="00B67497">
        <w:t>r</w:t>
      </w:r>
      <w:r w:rsidR="002C2DAD" w:rsidRPr="002C2DAD">
        <w:t>ent frequency between European and others. Astonishingly, comparison of European and African populations demonstrated that 5 SNPs (</w:t>
      </w:r>
      <w:proofErr w:type="spellStart"/>
      <w:r w:rsidR="002C2DAD" w:rsidRPr="002C2DAD">
        <w:t>rs402197</w:t>
      </w:r>
      <w:proofErr w:type="spellEnd"/>
      <w:r w:rsidR="002C2DAD" w:rsidRPr="002C2DAD">
        <w:t xml:space="preserve">, </w:t>
      </w:r>
      <w:proofErr w:type="spellStart"/>
      <w:r w:rsidR="002C2DAD" w:rsidRPr="002C2DAD">
        <w:t>rs456016</w:t>
      </w:r>
      <w:proofErr w:type="spellEnd"/>
      <w:r w:rsidR="002C2DAD" w:rsidRPr="002C2DAD">
        <w:t xml:space="preserve">, </w:t>
      </w:r>
      <w:proofErr w:type="spellStart"/>
      <w:r w:rsidR="002C2DAD" w:rsidRPr="002C2DAD">
        <w:t>rs461194</w:t>
      </w:r>
      <w:proofErr w:type="spellEnd"/>
      <w:r w:rsidR="002C2DAD" w:rsidRPr="002C2DAD">
        <w:t xml:space="preserve">, </w:t>
      </w:r>
      <w:proofErr w:type="spellStart"/>
      <w:r w:rsidR="002C2DAD" w:rsidRPr="002C2DAD">
        <w:t>rs464431</w:t>
      </w:r>
      <w:proofErr w:type="spellEnd"/>
      <w:r w:rsidR="002C2DAD" w:rsidRPr="002C2DAD">
        <w:t xml:space="preserve"> and </w:t>
      </w:r>
      <w:proofErr w:type="spellStart"/>
      <w:r w:rsidR="002C2DAD" w:rsidRPr="002C2DAD">
        <w:t>rs2298662</w:t>
      </w:r>
      <w:proofErr w:type="spellEnd"/>
      <w:r w:rsidR="002C2DAD" w:rsidRPr="002C2DAD">
        <w:t>) showed almost equal frequencies.</w:t>
      </w:r>
    </w:p>
    <w:p w:rsidR="006B142D" w:rsidRDefault="006B142D" w:rsidP="00393885"/>
    <w:p w:rsidR="006B142D" w:rsidRPr="002B3631" w:rsidRDefault="00E43C20" w:rsidP="00393885">
      <w:pPr>
        <w:rPr>
          <w:b/>
          <w:bCs/>
        </w:rPr>
      </w:pPr>
      <w:r w:rsidRPr="002B3631">
        <w:rPr>
          <w:b/>
          <w:bCs/>
        </w:rPr>
        <w:t>ACE</w:t>
      </w:r>
      <w:r w:rsidR="006C5F19" w:rsidRPr="002B3631">
        <w:rPr>
          <w:b/>
          <w:bCs/>
        </w:rPr>
        <w:t>2 and TMPRSS2 Variants and Expression as candidates to sex and country differences in COVID-19 severity in Italy</w:t>
      </w:r>
      <w:r w:rsidR="0071005E">
        <w:rPr>
          <w:b/>
          <w:bCs/>
        </w:rPr>
        <w:t xml:space="preserve"> (non-peer-reviewed)</w:t>
      </w:r>
    </w:p>
    <w:p w:rsidR="006C5F19" w:rsidRDefault="002B3631" w:rsidP="00393885">
      <w:hyperlink r:id="rId9" w:history="1">
        <w:r w:rsidRPr="004D0C07">
          <w:rPr>
            <w:rStyle w:val="Hyperlink"/>
          </w:rPr>
          <w:t>https://doi.org/10.1101/2020.03.30.20047878</w:t>
        </w:r>
      </w:hyperlink>
    </w:p>
    <w:p w:rsidR="002B3631" w:rsidRDefault="002B3631" w:rsidP="00393885">
      <w:pPr>
        <w:rPr>
          <w:b/>
          <w:bCs/>
        </w:rPr>
      </w:pPr>
      <w:r>
        <w:rPr>
          <w:b/>
          <w:bCs/>
        </w:rPr>
        <w:t>Notes:</w:t>
      </w:r>
    </w:p>
    <w:p w:rsidR="00D116AA" w:rsidRDefault="003D1DF8" w:rsidP="00393885">
      <w:r>
        <w:t xml:space="preserve">Purpose of the study was to investigate the possible genetic </w:t>
      </w:r>
      <w:r w:rsidR="00D116AA">
        <w:t>components of the peculiar severity of COVID-19 among Italians, by looking at the expression levels and variants in ACE2 and TMPRSS2 genes.</w:t>
      </w:r>
      <w:r w:rsidR="009C76F1">
        <w:t xml:space="preserve"> Author indicates no significant evidence </w:t>
      </w:r>
      <w:r w:rsidR="00B23544">
        <w:t xml:space="preserve">that ACE2 is associated with disease severity/sex bias in the Italian population. TMPRSS2 levels and genetic variants prove to be </w:t>
      </w:r>
      <w:r w:rsidR="0022226D">
        <w:t>possible candidates for disease modulators, with similarities in the ACE</w:t>
      </w:r>
      <w:r w:rsidR="000E3760">
        <w:t>2 transcript in both men and women.</w:t>
      </w:r>
      <w:r w:rsidR="00341772">
        <w:t xml:space="preserve"> With ava</w:t>
      </w:r>
      <w:r w:rsidR="00463666">
        <w:t>ilable data, it seems unlikely that sex-differences in ACE2 levels can explain sex differences in disease severity.</w:t>
      </w:r>
      <w:r w:rsidR="0071005E">
        <w:br/>
      </w:r>
    </w:p>
    <w:p w:rsidR="0071005E" w:rsidRPr="003D1DF8" w:rsidRDefault="0071005E" w:rsidP="00393885"/>
    <w:sectPr w:rsidR="0071005E" w:rsidRPr="003D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45C0F"/>
    <w:multiLevelType w:val="hybridMultilevel"/>
    <w:tmpl w:val="0432348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15"/>
    <w:rsid w:val="0002610B"/>
    <w:rsid w:val="00057E60"/>
    <w:rsid w:val="00072F3D"/>
    <w:rsid w:val="00095D39"/>
    <w:rsid w:val="000A3EE8"/>
    <w:rsid w:val="000D1FD9"/>
    <w:rsid w:val="000E3760"/>
    <w:rsid w:val="000E4F03"/>
    <w:rsid w:val="001369BC"/>
    <w:rsid w:val="001443CA"/>
    <w:rsid w:val="001709A2"/>
    <w:rsid w:val="00186593"/>
    <w:rsid w:val="001B7354"/>
    <w:rsid w:val="001F4B50"/>
    <w:rsid w:val="002028C4"/>
    <w:rsid w:val="002126DB"/>
    <w:rsid w:val="0022226D"/>
    <w:rsid w:val="002265AC"/>
    <w:rsid w:val="00262025"/>
    <w:rsid w:val="0026428E"/>
    <w:rsid w:val="002A195F"/>
    <w:rsid w:val="002B3631"/>
    <w:rsid w:val="002C2DAD"/>
    <w:rsid w:val="002E0539"/>
    <w:rsid w:val="00341772"/>
    <w:rsid w:val="00356BD4"/>
    <w:rsid w:val="00386315"/>
    <w:rsid w:val="00393885"/>
    <w:rsid w:val="003D1DF8"/>
    <w:rsid w:val="00452E4C"/>
    <w:rsid w:val="004611C9"/>
    <w:rsid w:val="00463666"/>
    <w:rsid w:val="004806D3"/>
    <w:rsid w:val="004D6F3A"/>
    <w:rsid w:val="005505CA"/>
    <w:rsid w:val="00582C4F"/>
    <w:rsid w:val="00594D31"/>
    <w:rsid w:val="005E5E7B"/>
    <w:rsid w:val="006345E6"/>
    <w:rsid w:val="006B142D"/>
    <w:rsid w:val="006B1FDB"/>
    <w:rsid w:val="006C5F19"/>
    <w:rsid w:val="006E2530"/>
    <w:rsid w:val="006F125B"/>
    <w:rsid w:val="00704DB0"/>
    <w:rsid w:val="0071005E"/>
    <w:rsid w:val="0072603A"/>
    <w:rsid w:val="007C7DEE"/>
    <w:rsid w:val="00800E50"/>
    <w:rsid w:val="00846632"/>
    <w:rsid w:val="0086232F"/>
    <w:rsid w:val="00897E33"/>
    <w:rsid w:val="008D6327"/>
    <w:rsid w:val="008F7898"/>
    <w:rsid w:val="009C76F1"/>
    <w:rsid w:val="00A3341F"/>
    <w:rsid w:val="00A92244"/>
    <w:rsid w:val="00AC28C2"/>
    <w:rsid w:val="00B06047"/>
    <w:rsid w:val="00B078FC"/>
    <w:rsid w:val="00B13031"/>
    <w:rsid w:val="00B23544"/>
    <w:rsid w:val="00B67497"/>
    <w:rsid w:val="00B87559"/>
    <w:rsid w:val="00BA4DE4"/>
    <w:rsid w:val="00C44FBA"/>
    <w:rsid w:val="00C617CE"/>
    <w:rsid w:val="00CE1948"/>
    <w:rsid w:val="00CF082D"/>
    <w:rsid w:val="00D02A79"/>
    <w:rsid w:val="00D116AA"/>
    <w:rsid w:val="00D47AF1"/>
    <w:rsid w:val="00D9737E"/>
    <w:rsid w:val="00DE49F0"/>
    <w:rsid w:val="00E041FC"/>
    <w:rsid w:val="00E15755"/>
    <w:rsid w:val="00E4088F"/>
    <w:rsid w:val="00E43C20"/>
    <w:rsid w:val="00E618D2"/>
    <w:rsid w:val="00EA025E"/>
    <w:rsid w:val="00ED04BE"/>
    <w:rsid w:val="00F17909"/>
    <w:rsid w:val="00F27F3A"/>
    <w:rsid w:val="00FD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13ECD"/>
  <w15:chartTrackingRefBased/>
  <w15:docId w15:val="{7173F9A9-7A18-3F46-A55F-D8FD3E24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i.org/10.1080/07391102.2020.17676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doi.org/10.3389/fgene.2020.0061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1/2020.03.30.200478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Aldan, Johnny T</dc:creator>
  <cp:keywords/>
  <dc:description/>
  <cp:lastModifiedBy>Aldan, Johnny T</cp:lastModifiedBy>
  <cp:revision>19</cp:revision>
  <dcterms:created xsi:type="dcterms:W3CDTF">2020-07-14T17:18:00Z</dcterms:created>
  <dcterms:modified xsi:type="dcterms:W3CDTF">2020-07-14T17:28:00Z</dcterms:modified>
</cp:coreProperties>
</file>