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89AB" w14:textId="5F894B06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>
        <w:rPr>
          <w:rFonts w:eastAsia="SimSun"/>
          <w:b/>
          <w:sz w:val="28"/>
          <w:szCs w:val="28"/>
        </w:rPr>
        <w:t xml:space="preserve">Modeling the </w:t>
      </w:r>
      <w:r w:rsidR="00547BA9">
        <w:rPr>
          <w:rFonts w:eastAsia="SimSun"/>
          <w:b/>
          <w:sz w:val="28"/>
          <w:szCs w:val="28"/>
        </w:rPr>
        <w:t>Cleavage Potential of Cross-Species</w:t>
      </w:r>
      <w:bookmarkStart w:id="0" w:name="_GoBack"/>
      <w:bookmarkEnd w:id="0"/>
      <w:r w:rsidR="00547BA9">
        <w:rPr>
          <w:rFonts w:eastAsia="SimSun"/>
          <w:b/>
          <w:sz w:val="28"/>
          <w:szCs w:val="28"/>
        </w:rPr>
        <w:t xml:space="preserve"> TMPRSS2 Variants to Subunits of SARS-CoV-19 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r w:rsidR="00217193">
        <w:rPr>
          <w:rFonts w:eastAsia="SimSun" w:cstheme="minorHAnsi"/>
          <w:b/>
          <w:bCs/>
          <w:sz w:val="24"/>
          <w:szCs w:val="24"/>
        </w:rPr>
        <w:t xml:space="preserve">Dairian Balai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4894806" w14:textId="036D2550" w:rsidR="0067279F" w:rsidRDefault="00B5448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F09CC">
        <w:rPr>
          <w:sz w:val="24"/>
          <w:szCs w:val="24"/>
        </w:rPr>
        <w:t>evere acute respiratory syndrome coronavirus 2 (SARS-CoV-2)</w:t>
      </w:r>
      <w:r>
        <w:rPr>
          <w:sz w:val="24"/>
          <w:szCs w:val="24"/>
        </w:rPr>
        <w:t>, a positive</w:t>
      </w:r>
      <w:r w:rsidR="00C04F57">
        <w:rPr>
          <w:sz w:val="24"/>
          <w:szCs w:val="24"/>
        </w:rPr>
        <w:t>-stranded RNA virus, has caused &gt;100,000 infections and &gt;50,000 deaths during the 2020 pandemic. The spike (S) glycoprotein</w:t>
      </w:r>
      <w:r w:rsidR="009A2159">
        <w:rPr>
          <w:sz w:val="24"/>
          <w:szCs w:val="24"/>
        </w:rPr>
        <w:t xml:space="preserve"> mediates cell entry by recognizing the angiotensin converting enzyme II (ACE2) receptor, which initializes cleavage of the protein to induce cell membrane fusion. However, </w:t>
      </w:r>
      <w:r w:rsidR="004B59ED">
        <w:rPr>
          <w:sz w:val="24"/>
          <w:szCs w:val="24"/>
        </w:rPr>
        <w:t xml:space="preserve">in previous studies transmembrane protease/serine subfamily member 2 (TMPRSS2) has increased the bonding affinity for SARS-CoV-2 to ACE2. </w:t>
      </w:r>
      <w:r w:rsidR="004B59ED" w:rsidRPr="00E740F4">
        <w:rPr>
          <w:sz w:val="24"/>
          <w:szCs w:val="24"/>
          <w:highlight w:val="yellow"/>
        </w:rPr>
        <w:t xml:space="preserve">This study aims to characterize cross-species variants of TMPRSS2 and its potential to </w:t>
      </w:r>
      <w:r w:rsidR="00E740F4" w:rsidRPr="00E740F4">
        <w:rPr>
          <w:sz w:val="24"/>
          <w:szCs w:val="24"/>
          <w:highlight w:val="yellow"/>
        </w:rPr>
        <w:t>cleave deviates of S proteins</w:t>
      </w:r>
      <w:r w:rsidR="00B2121E">
        <w:rPr>
          <w:sz w:val="24"/>
          <w:szCs w:val="24"/>
          <w:highlight w:val="yellow"/>
        </w:rPr>
        <w:t xml:space="preserve"> in silico</w:t>
      </w:r>
      <w:r w:rsidR="00E740F4" w:rsidRPr="00E740F4">
        <w:rPr>
          <w:sz w:val="24"/>
          <w:szCs w:val="24"/>
          <w:highlight w:val="yellow"/>
        </w:rPr>
        <w:t>.</w:t>
      </w:r>
      <w:r w:rsidR="002E14F6">
        <w:rPr>
          <w:sz w:val="24"/>
          <w:szCs w:val="24"/>
        </w:rPr>
        <w:t xml:space="preserve"> We hypothesize that TMPRSS2-like endoprotease aids in the spillover of SARS-CoV-19 to alternate host </w:t>
      </w:r>
      <w:r w:rsidR="00185604">
        <w:rPr>
          <w:sz w:val="24"/>
          <w:szCs w:val="24"/>
        </w:rPr>
        <w:t>by cleavage of structurally similar ACE2. We will design a</w:t>
      </w:r>
      <w:r w:rsidR="00E740F4">
        <w:rPr>
          <w:sz w:val="24"/>
          <w:szCs w:val="24"/>
        </w:rPr>
        <w:t xml:space="preserve"> phylogenic construct of S proteins and TMPRSS2 amongst species to </w:t>
      </w:r>
      <w:r w:rsidR="00F7748C">
        <w:rPr>
          <w:sz w:val="24"/>
          <w:szCs w:val="24"/>
        </w:rPr>
        <w:t>assess their similarit</w:t>
      </w:r>
      <w:r w:rsidR="00185604">
        <w:rPr>
          <w:sz w:val="24"/>
          <w:szCs w:val="24"/>
        </w:rPr>
        <w:t>y</w:t>
      </w:r>
      <w:r w:rsidR="00F7748C">
        <w:rPr>
          <w:sz w:val="24"/>
          <w:szCs w:val="24"/>
        </w:rPr>
        <w:t xml:space="preserve"> to human strains.</w:t>
      </w:r>
      <w:r w:rsidR="00885E7E">
        <w:rPr>
          <w:sz w:val="24"/>
          <w:szCs w:val="24"/>
        </w:rPr>
        <w:t xml:space="preserve"> </w:t>
      </w:r>
      <w:r w:rsidR="00885E7E">
        <w:rPr>
          <w:sz w:val="24"/>
          <w:szCs w:val="24"/>
        </w:rPr>
        <w:t>We will utilize protein databanks to characterize the amino acid changes that would suppress TMPRSS2’s cleavage of SARS-CoV-19 S protein and ACE2.</w:t>
      </w:r>
      <w:r w:rsidR="00885E7E">
        <w:rPr>
          <w:sz w:val="24"/>
          <w:szCs w:val="24"/>
        </w:rPr>
        <w:t xml:space="preserve"> Additionally, databanks on the variation of TMPRSS2 within human populations will be used to gain insight on genetic drift.</w:t>
      </w:r>
      <w:r w:rsidR="00F7748C">
        <w:rPr>
          <w:sz w:val="24"/>
          <w:szCs w:val="24"/>
        </w:rPr>
        <w:t xml:space="preserve"> </w:t>
      </w:r>
      <w:r w:rsidR="00185604">
        <w:rPr>
          <w:sz w:val="24"/>
          <w:szCs w:val="24"/>
        </w:rPr>
        <w:t xml:space="preserve">This will be used to create a model that scores the susceptibility/severity of various species to SARS-CoV-19 based off phylogenetic changes within TMPRSS2. </w:t>
      </w:r>
      <w:r w:rsidR="002E14F6">
        <w:rPr>
          <w:sz w:val="24"/>
          <w:szCs w:val="24"/>
        </w:rPr>
        <w:t xml:space="preserve">This study will provide insight on possible spillover into alternate host with structurally similar TMPRSS2 strains compared to humans. </w:t>
      </w:r>
      <w:r w:rsidR="00885E7E">
        <w:rPr>
          <w:sz w:val="24"/>
          <w:szCs w:val="24"/>
        </w:rPr>
        <w:t>While tracking the infectivity of SARS-CoV-19 by means of mutation in TMPRSS2 within human populations.</w:t>
      </w:r>
    </w:p>
    <w:p w14:paraId="267B39F8" w14:textId="3F53B113" w:rsidR="00A64342" w:rsidRP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Damas, J., Hughes, G. M., Keough, K. C., Painter, C. A., Persky, N. S., Corbo, M., Hiller, M., Koepfli, K. P., Pfenning, A. R., Zhao, H., Genereux, D. P., Swofford, R., Pollard, K. S., Ryder, O. A., Nweeia, M. T., Lindblad-Toh, K., Teeling, E. C., Karlsson, E. K., &amp; Lewin, H. A. (2020). Broad Host Range of SARS-CoV-2 Predicted by Comparative and Structural Analysis of ACE2 in Vertebrates. </w:t>
      </w:r>
      <w:proofErr w:type="gramStart"/>
      <w:r w:rsidRPr="00B2121E">
        <w:rPr>
          <w:sz w:val="24"/>
          <w:szCs w:val="24"/>
        </w:rPr>
        <w:t>bioRxiv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5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Hofmann, H., &amp; Pöhlmann,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Matsuyama, S., Nao, N., Shirato,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lastRenderedPageBreak/>
        <w:t>Meng, T., Cao, H., Zhang, H., Kang, Z., Xu, D., Gong, H., ... &amp; Wei, H. (2020). The insert sequence in SARS-CoV-2 enhances spike protein cleavage by TMPRSS. BioRxiv.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Paniri, A., Hosseini, M. M., &amp; Akhavan-Niaki,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Shirato, K., Kawase, M., &amp; Matsuyama, S. (2018). Wild-type human coronaviruses prefer cell-surface TMPRSS2 to endosomal cathepsins for cell entry.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Shulla, A., Heald-Sargent, T., Subramanya, G., Zhao, J., Perlman, S., &amp; Gallagher, T. (2011). A transmembrane serine protease is linked to the severe acute respiratory syndrome coronavirus receptor and activates virus entry. Journal of virology, 85(2), 873-882.</w:t>
      </w:r>
    </w:p>
    <w:p w14:paraId="7CE080F1" w14:textId="42EAD600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>Walls, A. C., Park, Y. J., Tortorici, M. A., Wall, A., McGuire, A. T., &amp; Veesler, D. (2020). Structure, function, and antigenicity of the SARS-CoV-2 spike glycoprotein. Cell.</w:t>
      </w:r>
    </w:p>
    <w:p w14:paraId="3F68D4DF" w14:textId="77777777" w:rsidR="00885E7E" w:rsidRPr="00885E7E" w:rsidRDefault="00885E7E">
      <w:pPr>
        <w:ind w:left="360"/>
        <w:rPr>
          <w:sz w:val="24"/>
          <w:szCs w:val="24"/>
        </w:rPr>
      </w:pPr>
    </w:p>
    <w:sectPr w:rsidR="00885E7E" w:rsidRPr="0088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E7"/>
    <w:multiLevelType w:val="hybridMultilevel"/>
    <w:tmpl w:val="89723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15522"/>
    <w:rsid w:val="00185604"/>
    <w:rsid w:val="00217193"/>
    <w:rsid w:val="002E14F6"/>
    <w:rsid w:val="004B59ED"/>
    <w:rsid w:val="00540301"/>
    <w:rsid w:val="00547BA9"/>
    <w:rsid w:val="0067279F"/>
    <w:rsid w:val="00885E7E"/>
    <w:rsid w:val="009A2159"/>
    <w:rsid w:val="00A64342"/>
    <w:rsid w:val="00B2121E"/>
    <w:rsid w:val="00B42C88"/>
    <w:rsid w:val="00B54481"/>
    <w:rsid w:val="00C04F57"/>
    <w:rsid w:val="00E740F4"/>
    <w:rsid w:val="00EF09CC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1/2020.04.16.0453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ty ferrell</cp:lastModifiedBy>
  <cp:revision>3</cp:revision>
  <dcterms:created xsi:type="dcterms:W3CDTF">2020-06-23T07:11:00Z</dcterms:created>
  <dcterms:modified xsi:type="dcterms:W3CDTF">2020-06-26T08:08:00Z</dcterms:modified>
</cp:coreProperties>
</file>