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89AB" w14:textId="7052646F" w:rsidR="00A64342" w:rsidRPr="00A64342" w:rsidRDefault="00A64342" w:rsidP="00A64342">
      <w:pPr>
        <w:spacing w:after="120" w:line="240" w:lineRule="auto"/>
        <w:rPr>
          <w:rFonts w:eastAsia="SimSun"/>
          <w:b/>
          <w:sz w:val="28"/>
          <w:szCs w:val="28"/>
        </w:rPr>
      </w:pPr>
      <w:r w:rsidRPr="00A64342">
        <w:rPr>
          <w:b/>
          <w:bCs/>
          <w:sz w:val="28"/>
          <w:szCs w:val="28"/>
        </w:rPr>
        <w:t xml:space="preserve">Abstract: </w:t>
      </w:r>
      <w:r>
        <w:rPr>
          <w:rFonts w:eastAsia="SimSun"/>
          <w:b/>
          <w:sz w:val="28"/>
          <w:szCs w:val="28"/>
        </w:rPr>
        <w:t xml:space="preserve">Modeling the </w:t>
      </w:r>
      <w:r w:rsidR="00547BA9">
        <w:rPr>
          <w:rFonts w:eastAsia="SimSun"/>
          <w:b/>
          <w:sz w:val="28"/>
          <w:szCs w:val="28"/>
        </w:rPr>
        <w:t>Cleavage Potential of Cross-Species TMPRSS2 Variants to Subunits of SARS-CoV-</w:t>
      </w:r>
      <w:r w:rsidR="00E846DF">
        <w:rPr>
          <w:rFonts w:eastAsia="SimSun"/>
          <w:b/>
          <w:sz w:val="28"/>
          <w:szCs w:val="28"/>
        </w:rPr>
        <w:t>2</w:t>
      </w:r>
      <w:r w:rsidR="00547BA9">
        <w:rPr>
          <w:rFonts w:eastAsia="SimSun"/>
          <w:b/>
          <w:sz w:val="28"/>
          <w:szCs w:val="28"/>
        </w:rPr>
        <w:t xml:space="preserve"> </w:t>
      </w:r>
    </w:p>
    <w:p w14:paraId="4512410F" w14:textId="25D228EF" w:rsidR="00A64342" w:rsidRPr="00A64342" w:rsidRDefault="00A64342" w:rsidP="00A64342">
      <w:pPr>
        <w:spacing w:after="120" w:line="240" w:lineRule="auto"/>
        <w:rPr>
          <w:rFonts w:eastAsia="SimSun" w:cstheme="minorHAnsi"/>
          <w:sz w:val="24"/>
          <w:szCs w:val="24"/>
          <w:vertAlign w:val="superscript"/>
        </w:rPr>
      </w:pPr>
      <w:r w:rsidRPr="00A64342">
        <w:rPr>
          <w:rFonts w:eastAsia="SimSun" w:cstheme="minorHAnsi"/>
          <w:b/>
          <w:bCs/>
          <w:sz w:val="24"/>
          <w:szCs w:val="24"/>
        </w:rPr>
        <w:t>Tyshawn Ferrell</w:t>
      </w:r>
      <w:r w:rsidRPr="00A64342">
        <w:rPr>
          <w:rFonts w:eastAsia="SimSun" w:cstheme="minorHAnsi"/>
          <w:b/>
          <w:bCs/>
          <w:sz w:val="24"/>
          <w:szCs w:val="24"/>
          <w:vertAlign w:val="superscript"/>
        </w:rPr>
        <w:t>1,2</w:t>
      </w:r>
      <w:r>
        <w:rPr>
          <w:rFonts w:eastAsia="SimSun" w:cstheme="minorHAnsi"/>
          <w:b/>
          <w:bCs/>
          <w:sz w:val="24"/>
          <w:szCs w:val="24"/>
        </w:rPr>
        <w:t>, Kelly Pierce</w:t>
      </w:r>
      <w:r w:rsidR="00217193">
        <w:rPr>
          <w:rFonts w:eastAsia="SimSun" w:cstheme="minorHAnsi"/>
          <w:b/>
          <w:bCs/>
          <w:sz w:val="24"/>
          <w:szCs w:val="24"/>
          <w:vertAlign w:val="superscript"/>
        </w:rPr>
        <w:t>1</w:t>
      </w:r>
      <w:r>
        <w:rPr>
          <w:rFonts w:eastAsia="SimSun" w:cstheme="minorHAnsi"/>
          <w:b/>
          <w:bCs/>
          <w:sz w:val="24"/>
          <w:szCs w:val="24"/>
        </w:rPr>
        <w:t>, Johnny Aldan</w:t>
      </w:r>
      <w:r w:rsidR="00217193">
        <w:rPr>
          <w:rFonts w:eastAsia="SimSun" w:cstheme="minorHAnsi"/>
          <w:b/>
          <w:bCs/>
          <w:sz w:val="24"/>
          <w:szCs w:val="24"/>
          <w:vertAlign w:val="superscript"/>
        </w:rPr>
        <w:t>1</w:t>
      </w:r>
      <w:r>
        <w:rPr>
          <w:rFonts w:eastAsia="SimSun" w:cstheme="minorHAnsi"/>
          <w:b/>
          <w:bCs/>
          <w:sz w:val="24"/>
          <w:szCs w:val="24"/>
        </w:rPr>
        <w:t>, Ethan Ho</w:t>
      </w:r>
      <w:r w:rsidR="00217193">
        <w:rPr>
          <w:rFonts w:eastAsia="SimSun" w:cstheme="minorHAnsi"/>
          <w:b/>
          <w:bCs/>
          <w:sz w:val="24"/>
          <w:szCs w:val="24"/>
          <w:vertAlign w:val="superscript"/>
        </w:rPr>
        <w:t>1</w:t>
      </w:r>
      <w:r>
        <w:rPr>
          <w:rFonts w:eastAsia="SimSun" w:cstheme="minorHAnsi"/>
          <w:b/>
          <w:bCs/>
          <w:sz w:val="24"/>
          <w:szCs w:val="24"/>
        </w:rPr>
        <w:t xml:space="preserve">, </w:t>
      </w:r>
      <w:r w:rsidR="00217193">
        <w:rPr>
          <w:rFonts w:eastAsia="SimSun" w:cstheme="minorHAnsi"/>
          <w:b/>
          <w:bCs/>
          <w:sz w:val="24"/>
          <w:szCs w:val="24"/>
        </w:rPr>
        <w:t xml:space="preserve">Dairian Balai </w:t>
      </w:r>
      <w:r w:rsidR="00217193">
        <w:rPr>
          <w:rFonts w:eastAsia="SimSun" w:cstheme="minorHAnsi"/>
          <w:b/>
          <w:bCs/>
          <w:sz w:val="24"/>
          <w:szCs w:val="24"/>
          <w:vertAlign w:val="superscript"/>
        </w:rPr>
        <w:t>1</w:t>
      </w:r>
    </w:p>
    <w:p w14:paraId="6856B16A" w14:textId="72795BE0" w:rsidR="00A64342" w:rsidRPr="00A64342" w:rsidRDefault="00A64342" w:rsidP="00A64342">
      <w:pPr>
        <w:spacing w:after="120" w:line="240" w:lineRule="auto"/>
        <w:rPr>
          <w:rFonts w:eastAsia="SimSun" w:cstheme="minorHAnsi"/>
          <w:sz w:val="24"/>
          <w:szCs w:val="24"/>
        </w:rPr>
      </w:pPr>
      <w:r w:rsidRPr="00A64342">
        <w:rPr>
          <w:rFonts w:eastAsia="SimSun" w:cstheme="minorHAnsi"/>
          <w:bCs/>
          <w:sz w:val="24"/>
          <w:szCs w:val="24"/>
          <w:vertAlign w:val="superscript"/>
        </w:rPr>
        <w:t>1</w:t>
      </w:r>
      <w:r w:rsidR="00217193">
        <w:rPr>
          <w:rFonts w:eastAsia="SimSun" w:cstheme="minorHAnsi"/>
          <w:bCs/>
          <w:sz w:val="24"/>
          <w:szCs w:val="24"/>
        </w:rPr>
        <w:t>Texas Advance Computing Center</w:t>
      </w:r>
      <w:r w:rsidRPr="00A64342">
        <w:rPr>
          <w:rFonts w:eastAsia="SimSun" w:cstheme="minorHAnsi"/>
          <w:b/>
          <w:sz w:val="24"/>
          <w:szCs w:val="24"/>
        </w:rPr>
        <w:t>,</w:t>
      </w:r>
      <w:r w:rsidR="00015522" w:rsidRPr="00015522">
        <w:rPr>
          <w:rFonts w:eastAsia="SimSun" w:cstheme="minorHAnsi"/>
          <w:b/>
          <w:sz w:val="24"/>
          <w:szCs w:val="24"/>
        </w:rPr>
        <w:t xml:space="preserve"> University of Texas at Austin,</w:t>
      </w:r>
      <w:r w:rsidRPr="00A64342">
        <w:rPr>
          <w:rFonts w:eastAsia="SimSun" w:cstheme="minorHAnsi"/>
          <w:b/>
          <w:sz w:val="24"/>
          <w:szCs w:val="24"/>
        </w:rPr>
        <w:t xml:space="preserve"> </w:t>
      </w:r>
      <w:r w:rsidR="00015522" w:rsidRPr="00015522">
        <w:rPr>
          <w:rFonts w:eastAsia="SimSun" w:cstheme="minorHAnsi"/>
          <w:b/>
          <w:sz w:val="24"/>
          <w:szCs w:val="24"/>
        </w:rPr>
        <w:t>Austin</w:t>
      </w:r>
      <w:r w:rsidRPr="00A64342">
        <w:rPr>
          <w:rFonts w:eastAsia="SimSun" w:cstheme="minorHAnsi"/>
          <w:b/>
          <w:sz w:val="24"/>
          <w:szCs w:val="24"/>
        </w:rPr>
        <w:t xml:space="preserve">, </w:t>
      </w:r>
      <w:r w:rsidR="00015522" w:rsidRPr="00015522">
        <w:rPr>
          <w:rFonts w:eastAsia="SimSun" w:cstheme="minorHAnsi"/>
          <w:b/>
          <w:sz w:val="24"/>
          <w:szCs w:val="24"/>
        </w:rPr>
        <w:t>TX</w:t>
      </w:r>
      <w:r w:rsidRPr="00A64342">
        <w:rPr>
          <w:rFonts w:eastAsia="SimSun" w:cstheme="minorHAnsi"/>
          <w:b/>
          <w:sz w:val="24"/>
          <w:szCs w:val="24"/>
        </w:rPr>
        <w:t xml:space="preserve">, </w:t>
      </w:r>
      <w:r w:rsidR="00015522">
        <w:rPr>
          <w:rFonts w:eastAsia="SimSun" w:cstheme="minorHAnsi"/>
          <w:b/>
          <w:sz w:val="24"/>
          <w:szCs w:val="24"/>
        </w:rPr>
        <w:t>78712-78758</w:t>
      </w:r>
    </w:p>
    <w:p w14:paraId="705B4E40" w14:textId="5AB7204E" w:rsidR="00540301" w:rsidRDefault="00A64342" w:rsidP="00A64342">
      <w:pPr>
        <w:spacing w:after="120" w:line="240" w:lineRule="auto"/>
        <w:rPr>
          <w:rFonts w:eastAsia="SimSun" w:cstheme="minorHAnsi"/>
          <w:b/>
          <w:bCs/>
          <w:color w:val="333333"/>
          <w:sz w:val="24"/>
          <w:szCs w:val="24"/>
          <w:shd w:val="clear" w:color="auto" w:fill="FFFFFF"/>
        </w:rPr>
      </w:pPr>
      <w:r w:rsidRPr="00A64342">
        <w:rPr>
          <w:rFonts w:eastAsia="SimSun" w:cstheme="minorHAnsi"/>
          <w:bCs/>
          <w:sz w:val="24"/>
          <w:szCs w:val="24"/>
          <w:vertAlign w:val="superscript"/>
        </w:rPr>
        <w:t>2</w:t>
      </w:r>
      <w:r w:rsidRPr="00A64342">
        <w:rPr>
          <w:rFonts w:eastAsia="SimSun" w:cstheme="minorHAnsi"/>
          <w:bCs/>
          <w:sz w:val="24"/>
          <w:szCs w:val="24"/>
        </w:rPr>
        <w:t xml:space="preserve">Department of Biology, </w:t>
      </w:r>
      <w:r w:rsidRPr="00A64342">
        <w:rPr>
          <w:rFonts w:eastAsia="SimSun" w:cstheme="minorHAnsi"/>
          <w:b/>
          <w:bCs/>
          <w:color w:val="333333"/>
          <w:sz w:val="24"/>
          <w:szCs w:val="24"/>
          <w:shd w:val="clear" w:color="auto" w:fill="FFFFFF"/>
        </w:rPr>
        <w:t>Albany State University, Albany, GA 31705</w:t>
      </w:r>
    </w:p>
    <w:p w14:paraId="3E5F31E5" w14:textId="77777777" w:rsidR="0067279F" w:rsidRPr="00A64342" w:rsidRDefault="0067279F" w:rsidP="00A64342">
      <w:pPr>
        <w:spacing w:after="120" w:line="240" w:lineRule="auto"/>
        <w:rPr>
          <w:rFonts w:eastAsia="SimSun" w:cstheme="minorHAnsi"/>
          <w:bCs/>
          <w:color w:val="333333"/>
          <w:sz w:val="24"/>
          <w:szCs w:val="24"/>
          <w:shd w:val="clear" w:color="auto" w:fill="FFFFFF"/>
        </w:rPr>
      </w:pPr>
    </w:p>
    <w:p w14:paraId="0D8B692E" w14:textId="33DE2E8D" w:rsidR="000E34F9" w:rsidRDefault="00B54481">
      <w:pPr>
        <w:rPr>
          <w:sz w:val="24"/>
          <w:szCs w:val="24"/>
        </w:rPr>
      </w:pPr>
      <w:r w:rsidRPr="0021252F">
        <w:rPr>
          <w:sz w:val="24"/>
          <w:szCs w:val="24"/>
        </w:rPr>
        <w:t>S</w:t>
      </w:r>
      <w:r w:rsidR="00EF09CC" w:rsidRPr="0021252F">
        <w:rPr>
          <w:sz w:val="24"/>
          <w:szCs w:val="24"/>
        </w:rPr>
        <w:t>evere acute respiratory syndrome coronavirus 2 (SARS-CoV-2)</w:t>
      </w:r>
      <w:r w:rsidRPr="0021252F">
        <w:rPr>
          <w:sz w:val="24"/>
          <w:szCs w:val="24"/>
        </w:rPr>
        <w:t>, a positive</w:t>
      </w:r>
      <w:r w:rsidR="00C04F57" w:rsidRPr="0021252F">
        <w:rPr>
          <w:sz w:val="24"/>
          <w:szCs w:val="24"/>
        </w:rPr>
        <w:t>-stranded RNA virus, has caused &gt;100,000 infections and &gt;50,000 deaths during the 2020 pandemic.</w:t>
      </w:r>
      <w:r w:rsidR="00BC72AA" w:rsidRPr="0021252F">
        <w:rPr>
          <w:sz w:val="24"/>
          <w:szCs w:val="24"/>
        </w:rPr>
        <w:t xml:space="preserve"> SARS-CoV-2 successful infection rate has been due to structural configurations of its envelope and specific cell receptor targeting.</w:t>
      </w:r>
      <w:r w:rsidR="00C04F57" w:rsidRPr="0021252F">
        <w:rPr>
          <w:sz w:val="24"/>
          <w:szCs w:val="24"/>
        </w:rPr>
        <w:t xml:space="preserve"> The spike (S) glycoprotein</w:t>
      </w:r>
      <w:r w:rsidR="009A2159" w:rsidRPr="0021252F">
        <w:rPr>
          <w:sz w:val="24"/>
          <w:szCs w:val="24"/>
        </w:rPr>
        <w:t xml:space="preserve"> mediates cell entry by recognizing the angiotensin converting enzyme II (ACE2) receptor, which initializes cleavage of the protein to induce cell membrane fusion. However, </w:t>
      </w:r>
      <w:r w:rsidR="004B59ED" w:rsidRPr="0021252F">
        <w:rPr>
          <w:sz w:val="24"/>
          <w:szCs w:val="24"/>
        </w:rPr>
        <w:t>in previous studies transmembrane protease/serine subfamily member 2 (TMPRSS2) ha</w:t>
      </w:r>
      <w:r w:rsidR="00D217E9" w:rsidRPr="0021252F">
        <w:rPr>
          <w:sz w:val="24"/>
          <w:szCs w:val="24"/>
        </w:rPr>
        <w:t>ve increased cleavage efficiency</w:t>
      </w:r>
      <w:r w:rsidR="003342E7" w:rsidRPr="0021252F">
        <w:rPr>
          <w:sz w:val="24"/>
          <w:szCs w:val="24"/>
        </w:rPr>
        <w:t xml:space="preserve"> towards the S protein subunits</w:t>
      </w:r>
      <w:r w:rsidR="004B59ED" w:rsidRPr="0021252F">
        <w:rPr>
          <w:sz w:val="24"/>
          <w:szCs w:val="24"/>
        </w:rPr>
        <w:t xml:space="preserve">. This study aims to characterize cross-species variants of TMPRSS2 and its potential to </w:t>
      </w:r>
      <w:r w:rsidR="00E740F4" w:rsidRPr="0021252F">
        <w:rPr>
          <w:sz w:val="24"/>
          <w:szCs w:val="24"/>
        </w:rPr>
        <w:t>cleave deviates of S proteins</w:t>
      </w:r>
      <w:r w:rsidR="00B2121E" w:rsidRPr="0021252F">
        <w:rPr>
          <w:sz w:val="24"/>
          <w:szCs w:val="24"/>
        </w:rPr>
        <w:t xml:space="preserve"> in silico</w:t>
      </w:r>
      <w:r w:rsidR="00E740F4" w:rsidRPr="0021252F">
        <w:rPr>
          <w:sz w:val="24"/>
          <w:szCs w:val="24"/>
        </w:rPr>
        <w:t>.</w:t>
      </w:r>
      <w:r w:rsidR="002E14F6" w:rsidRPr="0021252F">
        <w:rPr>
          <w:sz w:val="24"/>
          <w:szCs w:val="24"/>
        </w:rPr>
        <w:t xml:space="preserve"> We hypothesize that TMPRSS2-like endoprotease aids in the spillover of SARS-CoV-</w:t>
      </w:r>
      <w:r w:rsidR="00E846DF" w:rsidRPr="0021252F">
        <w:rPr>
          <w:sz w:val="24"/>
          <w:szCs w:val="24"/>
        </w:rPr>
        <w:t>2</w:t>
      </w:r>
      <w:r w:rsidR="002E14F6" w:rsidRPr="0021252F">
        <w:rPr>
          <w:sz w:val="24"/>
          <w:szCs w:val="24"/>
        </w:rPr>
        <w:t xml:space="preserve"> to alternate host </w:t>
      </w:r>
      <w:r w:rsidR="00185604" w:rsidRPr="0021252F">
        <w:rPr>
          <w:sz w:val="24"/>
          <w:szCs w:val="24"/>
        </w:rPr>
        <w:t>by cleav</w:t>
      </w:r>
      <w:r w:rsidR="0034350A">
        <w:rPr>
          <w:sz w:val="24"/>
          <w:szCs w:val="24"/>
        </w:rPr>
        <w:t xml:space="preserve">ing </w:t>
      </w:r>
      <w:r w:rsidR="0021252F">
        <w:rPr>
          <w:sz w:val="24"/>
          <w:szCs w:val="24"/>
        </w:rPr>
        <w:t>S protein subunits</w:t>
      </w:r>
      <w:r w:rsidR="00185604" w:rsidRPr="0021252F">
        <w:rPr>
          <w:sz w:val="24"/>
          <w:szCs w:val="24"/>
        </w:rPr>
        <w:t xml:space="preserve">. We </w:t>
      </w:r>
      <w:r w:rsidR="00442DC4" w:rsidRPr="0021252F">
        <w:rPr>
          <w:sz w:val="24"/>
          <w:szCs w:val="24"/>
        </w:rPr>
        <w:t>investigate</w:t>
      </w:r>
      <w:r w:rsidR="0043145D">
        <w:rPr>
          <w:sz w:val="24"/>
          <w:szCs w:val="24"/>
        </w:rPr>
        <w:t xml:space="preserve">d the </w:t>
      </w:r>
      <w:r w:rsidR="00442DC4" w:rsidRPr="0021252F">
        <w:rPr>
          <w:sz w:val="24"/>
          <w:szCs w:val="24"/>
        </w:rPr>
        <w:t>conserv</w:t>
      </w:r>
      <w:r w:rsidR="0043145D">
        <w:rPr>
          <w:sz w:val="24"/>
          <w:szCs w:val="24"/>
        </w:rPr>
        <w:t>eness of TMPRSS2 sequences</w:t>
      </w:r>
      <w:r w:rsidR="00E740F4" w:rsidRPr="0021252F">
        <w:rPr>
          <w:sz w:val="24"/>
          <w:szCs w:val="24"/>
        </w:rPr>
        <w:t xml:space="preserve"> amongst species </w:t>
      </w:r>
      <w:r w:rsidR="00B47DC0" w:rsidRPr="0021252F">
        <w:rPr>
          <w:sz w:val="24"/>
          <w:szCs w:val="24"/>
        </w:rPr>
        <w:t xml:space="preserve">and </w:t>
      </w:r>
      <w:r w:rsidR="00F7748C" w:rsidRPr="0021252F">
        <w:rPr>
          <w:sz w:val="24"/>
          <w:szCs w:val="24"/>
        </w:rPr>
        <w:t>assess their similarit</w:t>
      </w:r>
      <w:r w:rsidR="00185604" w:rsidRPr="0021252F">
        <w:rPr>
          <w:sz w:val="24"/>
          <w:szCs w:val="24"/>
        </w:rPr>
        <w:t>y</w:t>
      </w:r>
      <w:r w:rsidR="00F7748C" w:rsidRPr="0021252F">
        <w:rPr>
          <w:sz w:val="24"/>
          <w:szCs w:val="24"/>
        </w:rPr>
        <w:t xml:space="preserve"> to</w:t>
      </w:r>
      <w:r w:rsidR="0043145D">
        <w:rPr>
          <w:sz w:val="24"/>
          <w:szCs w:val="24"/>
        </w:rPr>
        <w:t xml:space="preserve"> the</w:t>
      </w:r>
      <w:r w:rsidR="00F7748C" w:rsidRPr="0021252F">
        <w:rPr>
          <w:sz w:val="24"/>
          <w:szCs w:val="24"/>
        </w:rPr>
        <w:t xml:space="preserve"> human </w:t>
      </w:r>
      <w:r w:rsidR="00B47DC0" w:rsidRPr="0021252F">
        <w:rPr>
          <w:sz w:val="24"/>
          <w:szCs w:val="24"/>
        </w:rPr>
        <w:t>is</w:t>
      </w:r>
      <w:r w:rsidR="0043145D">
        <w:rPr>
          <w:sz w:val="24"/>
          <w:szCs w:val="24"/>
        </w:rPr>
        <w:t>oform</w:t>
      </w:r>
      <w:r w:rsidR="00F7748C" w:rsidRPr="0021252F">
        <w:rPr>
          <w:sz w:val="24"/>
          <w:szCs w:val="24"/>
        </w:rPr>
        <w:t>.</w:t>
      </w:r>
      <w:r w:rsidR="00885E7E" w:rsidRPr="0021252F">
        <w:rPr>
          <w:sz w:val="24"/>
          <w:szCs w:val="24"/>
        </w:rPr>
        <w:t xml:space="preserve"> We utilize</w:t>
      </w:r>
      <w:r w:rsidR="0043145D">
        <w:rPr>
          <w:sz w:val="24"/>
          <w:szCs w:val="24"/>
        </w:rPr>
        <w:t>d</w:t>
      </w:r>
      <w:r w:rsidR="00885E7E" w:rsidRPr="0021252F">
        <w:rPr>
          <w:sz w:val="24"/>
          <w:szCs w:val="24"/>
        </w:rPr>
        <w:t xml:space="preserve"> protein</w:t>
      </w:r>
      <w:r w:rsidR="00B47DC0" w:rsidRPr="0021252F">
        <w:rPr>
          <w:sz w:val="24"/>
          <w:szCs w:val="24"/>
        </w:rPr>
        <w:t xml:space="preserve"> </w:t>
      </w:r>
      <w:r w:rsidR="00885E7E" w:rsidRPr="0021252F">
        <w:rPr>
          <w:sz w:val="24"/>
          <w:szCs w:val="24"/>
        </w:rPr>
        <w:t>databanks to</w:t>
      </w:r>
      <w:r w:rsidR="0043145D">
        <w:rPr>
          <w:sz w:val="24"/>
          <w:szCs w:val="24"/>
        </w:rPr>
        <w:t xml:space="preserve"> form concise multiple sequence alignments of seven domestic animals for comparisons with the human variant</w:t>
      </w:r>
      <w:r w:rsidR="00885E7E" w:rsidRPr="0021252F">
        <w:rPr>
          <w:sz w:val="24"/>
          <w:szCs w:val="24"/>
        </w:rPr>
        <w:t>.</w:t>
      </w:r>
      <w:r w:rsidR="000E34F9">
        <w:rPr>
          <w:sz w:val="24"/>
          <w:szCs w:val="24"/>
        </w:rPr>
        <w:t xml:space="preserve"> We characterized differences in catalytically important residues based off the position specific score matrix and the property changes with the sequence.</w:t>
      </w:r>
      <w:r w:rsidR="00885E7E" w:rsidRPr="0021252F">
        <w:rPr>
          <w:sz w:val="24"/>
          <w:szCs w:val="24"/>
        </w:rPr>
        <w:t xml:space="preserve"> </w:t>
      </w:r>
      <w:r w:rsidR="0043145D">
        <w:rPr>
          <w:sz w:val="24"/>
          <w:szCs w:val="24"/>
        </w:rPr>
        <w:t xml:space="preserve">Our results demonstrated that </w:t>
      </w:r>
      <w:r w:rsidR="000E34F9">
        <w:rPr>
          <w:sz w:val="24"/>
          <w:szCs w:val="24"/>
        </w:rPr>
        <w:t>important residues within TMPRSS2 are highly conserved, substitutions led to had minor affect on catalytic activity, in theory.</w:t>
      </w:r>
      <w:r w:rsidR="0043145D">
        <w:rPr>
          <w:sz w:val="24"/>
          <w:szCs w:val="24"/>
        </w:rPr>
        <w:t xml:space="preserve"> </w:t>
      </w:r>
      <w:r w:rsidR="002E14F6" w:rsidRPr="0021252F">
        <w:rPr>
          <w:sz w:val="24"/>
          <w:szCs w:val="24"/>
        </w:rPr>
        <w:t xml:space="preserve">This study </w:t>
      </w:r>
      <w:r w:rsidR="000E34F9">
        <w:rPr>
          <w:sz w:val="24"/>
          <w:szCs w:val="24"/>
        </w:rPr>
        <w:t>has</w:t>
      </w:r>
      <w:r w:rsidR="002E14F6" w:rsidRPr="0021252F">
        <w:rPr>
          <w:sz w:val="24"/>
          <w:szCs w:val="24"/>
        </w:rPr>
        <w:t xml:space="preserve"> provide</w:t>
      </w:r>
      <w:r w:rsidR="000E34F9">
        <w:rPr>
          <w:sz w:val="24"/>
          <w:szCs w:val="24"/>
        </w:rPr>
        <w:t>d</w:t>
      </w:r>
      <w:r w:rsidR="002E14F6" w:rsidRPr="0021252F">
        <w:rPr>
          <w:sz w:val="24"/>
          <w:szCs w:val="24"/>
        </w:rPr>
        <w:t xml:space="preserve"> insight on possible </w:t>
      </w:r>
      <w:r w:rsidR="000E34F9">
        <w:rPr>
          <w:sz w:val="24"/>
          <w:szCs w:val="24"/>
        </w:rPr>
        <w:t>spillover into alternate</w:t>
      </w:r>
      <w:r w:rsidR="002E14F6" w:rsidRPr="0021252F">
        <w:rPr>
          <w:sz w:val="24"/>
          <w:szCs w:val="24"/>
        </w:rPr>
        <w:t xml:space="preserve"> host</w:t>
      </w:r>
      <w:r w:rsidR="000E34F9">
        <w:rPr>
          <w:sz w:val="24"/>
          <w:szCs w:val="24"/>
        </w:rPr>
        <w:t xml:space="preserve"> </w:t>
      </w:r>
      <w:r w:rsidR="002E14F6" w:rsidRPr="0021252F">
        <w:rPr>
          <w:sz w:val="24"/>
          <w:szCs w:val="24"/>
        </w:rPr>
        <w:t xml:space="preserve">with structurally similar TMPRSS2 </w:t>
      </w:r>
      <w:r w:rsidR="000E34F9">
        <w:rPr>
          <w:sz w:val="24"/>
          <w:szCs w:val="24"/>
        </w:rPr>
        <w:t>variants</w:t>
      </w:r>
      <w:r w:rsidR="002E14F6" w:rsidRPr="0021252F">
        <w:rPr>
          <w:sz w:val="24"/>
          <w:szCs w:val="24"/>
        </w:rPr>
        <w:t xml:space="preserve"> compared to humans</w:t>
      </w:r>
      <w:r w:rsidR="00BC72AA" w:rsidRPr="0021252F">
        <w:rPr>
          <w:sz w:val="24"/>
          <w:szCs w:val="24"/>
        </w:rPr>
        <w:t xml:space="preserve">; </w:t>
      </w:r>
      <w:r w:rsidR="000E34F9">
        <w:rPr>
          <w:sz w:val="24"/>
          <w:szCs w:val="24"/>
        </w:rPr>
        <w:t xml:space="preserve">posing an immense threat </w:t>
      </w:r>
      <w:r w:rsidR="00FA39BA">
        <w:rPr>
          <w:sz w:val="24"/>
          <w:szCs w:val="24"/>
        </w:rPr>
        <w:t>for epidemics in domesticated animal populations.</w:t>
      </w:r>
    </w:p>
    <w:p w14:paraId="4AD0FFD5" w14:textId="6C90E418" w:rsidR="00E20B0F" w:rsidRPr="009F71DD" w:rsidRDefault="000E34F9">
      <w:pPr>
        <w:rPr>
          <w:b/>
          <w:bCs/>
          <w:sz w:val="24"/>
          <w:szCs w:val="24"/>
        </w:rPr>
      </w:pPr>
      <w:r w:rsidRPr="009F71DD">
        <w:rPr>
          <w:b/>
          <w:bCs/>
          <w:sz w:val="24"/>
          <w:szCs w:val="24"/>
        </w:rPr>
        <w:t xml:space="preserve"> </w:t>
      </w:r>
      <w:r w:rsidR="008E739D" w:rsidRPr="009F71DD">
        <w:rPr>
          <w:b/>
          <w:bCs/>
          <w:sz w:val="24"/>
          <w:szCs w:val="24"/>
        </w:rPr>
        <w:t>Introduction</w:t>
      </w:r>
    </w:p>
    <w:p w14:paraId="53884D2F" w14:textId="2A37E23A" w:rsidR="00373BE3" w:rsidRDefault="00E20B0F">
      <w:pPr>
        <w:rPr>
          <w:sz w:val="24"/>
          <w:szCs w:val="24"/>
        </w:rPr>
      </w:pPr>
      <w:r>
        <w:rPr>
          <w:sz w:val="24"/>
          <w:szCs w:val="24"/>
        </w:rPr>
        <w:t xml:space="preserve">Severe acute respiratory syndrome coronavirus 2 (SARS-CoV-2), a novel betacoronavirus, </w:t>
      </w:r>
      <w:r w:rsidR="00234FCE">
        <w:rPr>
          <w:sz w:val="24"/>
          <w:szCs w:val="24"/>
        </w:rPr>
        <w:t>that curtailed the world’s health system within a matter of months</w:t>
      </w:r>
      <w:r>
        <w:rPr>
          <w:sz w:val="24"/>
          <w:szCs w:val="24"/>
        </w:rPr>
        <w:t>. A</w:t>
      </w:r>
      <w:r w:rsidR="00F92EFE">
        <w:rPr>
          <w:sz w:val="24"/>
          <w:szCs w:val="24"/>
        </w:rPr>
        <w:t>s of July 20</w:t>
      </w:r>
      <w:r w:rsidR="00F92EFE" w:rsidRPr="00F92EFE">
        <w:rPr>
          <w:sz w:val="24"/>
          <w:szCs w:val="24"/>
          <w:vertAlign w:val="superscript"/>
        </w:rPr>
        <w:t>th</w:t>
      </w:r>
      <w:r w:rsidR="00F92EFE">
        <w:rPr>
          <w:sz w:val="24"/>
          <w:szCs w:val="24"/>
        </w:rPr>
        <w:t xml:space="preserve">, 2020, </w:t>
      </w:r>
      <w:r w:rsidR="00FE3C5E">
        <w:rPr>
          <w:sz w:val="24"/>
          <w:szCs w:val="24"/>
        </w:rPr>
        <w:t>14,348,858 laboratory-confirmed infections and 603,000 SARS-CoV-2 related deaths have been reported globally [12]</w:t>
      </w:r>
      <w:r>
        <w:rPr>
          <w:sz w:val="24"/>
          <w:szCs w:val="24"/>
        </w:rPr>
        <w:t xml:space="preserve">. This is due to SARS-CoV-2 mode of transmission and high bonding affinity for the angiotensin converting enzyme II (ACE2) receptor in </w:t>
      </w:r>
      <w:r w:rsidR="00FE3C5E">
        <w:rPr>
          <w:sz w:val="24"/>
          <w:szCs w:val="24"/>
        </w:rPr>
        <w:t xml:space="preserve">airway </w:t>
      </w:r>
      <w:r>
        <w:rPr>
          <w:sz w:val="24"/>
          <w:szCs w:val="24"/>
        </w:rPr>
        <w:t>epithelial cells.</w:t>
      </w:r>
      <w:r w:rsidR="00726F2F">
        <w:rPr>
          <w:sz w:val="24"/>
          <w:szCs w:val="24"/>
        </w:rPr>
        <w:t xml:space="preserve"> More specifically the S1 subunit of the S protein binds to ACE2 via its receptor binding domain (RBD), while the S2 subunit is used for virus-cell membrane fusion [</w:t>
      </w:r>
      <w:r w:rsidR="0056678F">
        <w:rPr>
          <w:sz w:val="24"/>
          <w:szCs w:val="24"/>
        </w:rPr>
        <w:t>1,3,6</w:t>
      </w:r>
      <w:r w:rsidR="00726F2F">
        <w:rPr>
          <w:sz w:val="24"/>
          <w:szCs w:val="24"/>
        </w:rPr>
        <w:t>].</w:t>
      </w:r>
      <w:r>
        <w:rPr>
          <w:sz w:val="24"/>
          <w:szCs w:val="24"/>
        </w:rPr>
        <w:t xml:space="preserve"> In previous studies it has been shown that SARS-CoV have a preference for cells with an endoprotease, transmembrane protease/serine subfamily member 2 (TMPRSS2), which increases the ability for virus-host membrane fusion</w:t>
      </w:r>
      <w:r w:rsidR="0056678F">
        <w:rPr>
          <w:sz w:val="24"/>
          <w:szCs w:val="24"/>
        </w:rPr>
        <w:t xml:space="preserve"> [6,7,9]</w:t>
      </w:r>
      <w:r>
        <w:rPr>
          <w:sz w:val="24"/>
          <w:szCs w:val="24"/>
        </w:rPr>
        <w:t xml:space="preserve">. In silico studies have shown that SARS-CoV-2 ability to infect alternate host depends on ACE2 based on the conserveness of the enzyme compared to the human </w:t>
      </w:r>
      <w:r w:rsidR="0056678F">
        <w:rPr>
          <w:sz w:val="24"/>
          <w:szCs w:val="24"/>
        </w:rPr>
        <w:t xml:space="preserve">strain </w:t>
      </w:r>
      <w:r w:rsidR="0056678F">
        <w:rPr>
          <w:sz w:val="24"/>
          <w:szCs w:val="24"/>
        </w:rPr>
        <w:lastRenderedPageBreak/>
        <w:t>[8]</w:t>
      </w:r>
      <w:r>
        <w:rPr>
          <w:sz w:val="24"/>
          <w:szCs w:val="24"/>
        </w:rPr>
        <w:t>.</w:t>
      </w:r>
      <w:r w:rsidR="0056678F">
        <w:rPr>
          <w:sz w:val="24"/>
          <w:szCs w:val="24"/>
        </w:rPr>
        <w:t xml:space="preserve"> Though ACE2 is an essential component for attachment of the S protein, it is the host cell proteases that activate</w:t>
      </w:r>
      <w:r w:rsidR="000B2ED7">
        <w:rPr>
          <w:sz w:val="24"/>
          <w:szCs w:val="24"/>
        </w:rPr>
        <w:t>s</w:t>
      </w:r>
      <w:r w:rsidR="0056678F">
        <w:rPr>
          <w:sz w:val="24"/>
          <w:szCs w:val="24"/>
        </w:rPr>
        <w:t xml:space="preserve"> the S2 subunit that holds the transmembrane fusion machinery. </w:t>
      </w:r>
    </w:p>
    <w:p w14:paraId="4B38256D" w14:textId="261FCAC6" w:rsidR="0056678F" w:rsidRDefault="00C223AA">
      <w:pPr>
        <w:rPr>
          <w:sz w:val="24"/>
          <w:szCs w:val="24"/>
        </w:rPr>
      </w:pPr>
      <w:r>
        <w:rPr>
          <w:sz w:val="24"/>
          <w:szCs w:val="24"/>
        </w:rPr>
        <w:t>TMPRSS2 is a memb</w:t>
      </w:r>
      <w:r w:rsidR="00257083">
        <w:rPr>
          <w:sz w:val="24"/>
          <w:szCs w:val="24"/>
        </w:rPr>
        <w:t>er</w:t>
      </w:r>
      <w:r>
        <w:rPr>
          <w:sz w:val="24"/>
          <w:szCs w:val="24"/>
        </w:rPr>
        <w:t xml:space="preserve"> of the</w:t>
      </w:r>
      <w:r w:rsidR="00E01CD7">
        <w:rPr>
          <w:sz w:val="24"/>
          <w:szCs w:val="24"/>
        </w:rPr>
        <w:t xml:space="preserve"> type II</w:t>
      </w:r>
      <w:r>
        <w:rPr>
          <w:sz w:val="24"/>
          <w:szCs w:val="24"/>
        </w:rPr>
        <w:t xml:space="preserve"> </w:t>
      </w:r>
      <w:r w:rsidR="00E01CD7">
        <w:rPr>
          <w:sz w:val="24"/>
          <w:szCs w:val="24"/>
        </w:rPr>
        <w:t>Transmembrane</w:t>
      </w:r>
      <w:r>
        <w:rPr>
          <w:sz w:val="24"/>
          <w:szCs w:val="24"/>
        </w:rPr>
        <w:t xml:space="preserve"> Serine </w:t>
      </w:r>
      <w:r w:rsidR="00E01CD7">
        <w:rPr>
          <w:sz w:val="24"/>
          <w:szCs w:val="24"/>
        </w:rPr>
        <w:t>Protease (TTSP)</w:t>
      </w:r>
      <w:r>
        <w:rPr>
          <w:sz w:val="24"/>
          <w:szCs w:val="24"/>
        </w:rPr>
        <w:t xml:space="preserve">, </w:t>
      </w:r>
      <w:r w:rsidR="00E01CD7">
        <w:rPr>
          <w:sz w:val="24"/>
          <w:szCs w:val="24"/>
        </w:rPr>
        <w:t>specifically</w:t>
      </w:r>
      <w:r>
        <w:rPr>
          <w:sz w:val="24"/>
          <w:szCs w:val="24"/>
        </w:rPr>
        <w:t xml:space="preserve"> belonging to the H</w:t>
      </w:r>
      <w:r w:rsidR="00E11CFC">
        <w:rPr>
          <w:sz w:val="24"/>
          <w:szCs w:val="24"/>
        </w:rPr>
        <w:t>epsin</w:t>
      </w:r>
      <w:r>
        <w:rPr>
          <w:sz w:val="24"/>
          <w:szCs w:val="24"/>
        </w:rPr>
        <w:t>/</w:t>
      </w:r>
      <w:r w:rsidR="00E11CFC">
        <w:rPr>
          <w:sz w:val="24"/>
          <w:szCs w:val="24"/>
        </w:rPr>
        <w:t>TMPRSS</w:t>
      </w:r>
      <w:r>
        <w:rPr>
          <w:sz w:val="24"/>
          <w:szCs w:val="24"/>
        </w:rPr>
        <w:t xml:space="preserve"> subfamily.</w:t>
      </w:r>
      <w:r w:rsidR="00E01CD7">
        <w:rPr>
          <w:sz w:val="24"/>
          <w:szCs w:val="24"/>
        </w:rPr>
        <w:t xml:space="preserve"> TTSPs have four defining features: </w:t>
      </w:r>
      <w:r w:rsidR="00C66F6F">
        <w:rPr>
          <w:sz w:val="24"/>
          <w:szCs w:val="24"/>
        </w:rPr>
        <w:t>an</w:t>
      </w:r>
      <w:r w:rsidR="00E01CD7">
        <w:rPr>
          <w:sz w:val="24"/>
          <w:szCs w:val="24"/>
        </w:rPr>
        <w:t xml:space="preserve"> N-terminal </w:t>
      </w:r>
      <w:r w:rsidR="00282687">
        <w:rPr>
          <w:sz w:val="24"/>
          <w:szCs w:val="24"/>
        </w:rPr>
        <w:t>intracellular domain, transmembrane domain, “stem” domain</w:t>
      </w:r>
      <w:r w:rsidR="00E01CD7">
        <w:rPr>
          <w:sz w:val="24"/>
          <w:szCs w:val="24"/>
        </w:rPr>
        <w:t>,</w:t>
      </w:r>
      <w:r w:rsidR="00282687">
        <w:rPr>
          <w:sz w:val="24"/>
          <w:szCs w:val="24"/>
        </w:rPr>
        <w:t xml:space="preserve"> and a proteolytic domain.</w:t>
      </w:r>
      <w:r w:rsidR="00A43FBD">
        <w:rPr>
          <w:sz w:val="24"/>
          <w:szCs w:val="24"/>
        </w:rPr>
        <w:t xml:space="preserve"> </w:t>
      </w:r>
      <w:r w:rsidR="00257083">
        <w:rPr>
          <w:sz w:val="24"/>
          <w:szCs w:val="24"/>
        </w:rPr>
        <w:t xml:space="preserve"> TMPRSS2 is </w:t>
      </w:r>
      <w:r w:rsidR="00515395">
        <w:rPr>
          <w:sz w:val="24"/>
          <w:szCs w:val="24"/>
        </w:rPr>
        <w:t>synthesized</w:t>
      </w:r>
      <w:r w:rsidR="00257083">
        <w:rPr>
          <w:sz w:val="24"/>
          <w:szCs w:val="24"/>
        </w:rPr>
        <w:t xml:space="preserve"> as a zymogen</w:t>
      </w:r>
      <w:r w:rsidR="00405D88">
        <w:rPr>
          <w:sz w:val="24"/>
          <w:szCs w:val="24"/>
        </w:rPr>
        <w:t xml:space="preserve"> that requires proteolytic processing to </w:t>
      </w:r>
      <w:r w:rsidR="004C7060">
        <w:rPr>
          <w:sz w:val="24"/>
          <w:szCs w:val="24"/>
        </w:rPr>
        <w:t>activate [</w:t>
      </w:r>
      <w:r w:rsidR="00405D88">
        <w:rPr>
          <w:sz w:val="24"/>
          <w:szCs w:val="24"/>
        </w:rPr>
        <w:t>2]</w:t>
      </w:r>
      <w:r w:rsidR="00515395">
        <w:rPr>
          <w:sz w:val="24"/>
          <w:szCs w:val="24"/>
        </w:rPr>
        <w:t>.</w:t>
      </w:r>
      <w:r w:rsidR="004C7060">
        <w:rPr>
          <w:sz w:val="24"/>
          <w:szCs w:val="24"/>
        </w:rPr>
        <w:t xml:space="preserve"> This activation results from the cleavage of extracellular substrates </w:t>
      </w:r>
      <w:r w:rsidR="00485D51">
        <w:rPr>
          <w:sz w:val="24"/>
          <w:szCs w:val="24"/>
        </w:rPr>
        <w:t>initialized by</w:t>
      </w:r>
      <w:r w:rsidR="004C7060">
        <w:rPr>
          <w:sz w:val="24"/>
          <w:szCs w:val="24"/>
        </w:rPr>
        <w:t xml:space="preserve"> its Serine residue at the</w:t>
      </w:r>
      <w:r w:rsidR="00A43FBD">
        <w:rPr>
          <w:sz w:val="24"/>
          <w:szCs w:val="24"/>
        </w:rPr>
        <w:t xml:space="preserve"> ac</w:t>
      </w:r>
      <w:r w:rsidR="004C7060">
        <w:rPr>
          <w:sz w:val="24"/>
          <w:szCs w:val="24"/>
        </w:rPr>
        <w:t>tive site</w:t>
      </w:r>
      <w:r>
        <w:rPr>
          <w:sz w:val="24"/>
          <w:szCs w:val="24"/>
        </w:rPr>
        <w:t xml:space="preserve">. </w:t>
      </w:r>
      <w:r w:rsidR="004C7060">
        <w:rPr>
          <w:sz w:val="24"/>
          <w:szCs w:val="24"/>
        </w:rPr>
        <w:t xml:space="preserve">In previous studies, TMPRSS2s proteolytic domain has shown to have </w:t>
      </w:r>
      <w:r w:rsidR="00485D51">
        <w:rPr>
          <w:sz w:val="24"/>
          <w:szCs w:val="24"/>
        </w:rPr>
        <w:t>increase</w:t>
      </w:r>
      <w:r w:rsidR="004C7060">
        <w:rPr>
          <w:sz w:val="24"/>
          <w:szCs w:val="24"/>
        </w:rPr>
        <w:t xml:space="preserve"> pathogenesis by clea</w:t>
      </w:r>
      <w:r w:rsidR="00485D51">
        <w:rPr>
          <w:sz w:val="24"/>
          <w:szCs w:val="24"/>
        </w:rPr>
        <w:t>ving monobasic cleavage sites of virus transmembrane subunits within the coronavirus family [3-7]</w:t>
      </w:r>
      <w:r w:rsidR="009F4CCF">
        <w:rPr>
          <w:sz w:val="24"/>
          <w:szCs w:val="24"/>
        </w:rPr>
        <w:t xml:space="preserve">. </w:t>
      </w:r>
      <w:r w:rsidR="00983FC0">
        <w:rPr>
          <w:sz w:val="24"/>
          <w:szCs w:val="24"/>
        </w:rPr>
        <w:t>The S protein in SARS-Cov-2 has</w:t>
      </w:r>
      <w:r w:rsidR="00CD6D6C">
        <w:rPr>
          <w:sz w:val="24"/>
          <w:szCs w:val="24"/>
        </w:rPr>
        <w:t xml:space="preserve"> an</w:t>
      </w:r>
      <w:r w:rsidR="00983FC0">
        <w:rPr>
          <w:sz w:val="24"/>
          <w:szCs w:val="24"/>
        </w:rPr>
        <w:t xml:space="preserve"> multibasic S1/S2’ cleavage site containing several arginine residues</w:t>
      </w:r>
      <w:r w:rsidR="007F619E">
        <w:rPr>
          <w:sz w:val="24"/>
          <w:szCs w:val="24"/>
        </w:rPr>
        <w:t xml:space="preserve"> that</w:t>
      </w:r>
      <w:r w:rsidR="00CD6D6C">
        <w:rPr>
          <w:sz w:val="24"/>
          <w:szCs w:val="24"/>
        </w:rPr>
        <w:t xml:space="preserve"> are cleave by host cell proteases</w:t>
      </w:r>
      <w:r w:rsidR="007F619E">
        <w:rPr>
          <w:sz w:val="24"/>
          <w:szCs w:val="24"/>
        </w:rPr>
        <w:t xml:space="preserve">, which </w:t>
      </w:r>
      <w:r w:rsidR="00CD6D6C">
        <w:rPr>
          <w:sz w:val="24"/>
          <w:szCs w:val="24"/>
        </w:rPr>
        <w:t>increases the efficacy of cell-cell spread [</w:t>
      </w:r>
      <w:r w:rsidR="00515395">
        <w:rPr>
          <w:sz w:val="24"/>
          <w:szCs w:val="24"/>
        </w:rPr>
        <w:t>3</w:t>
      </w:r>
      <w:r w:rsidR="00CD6D6C">
        <w:rPr>
          <w:sz w:val="24"/>
          <w:szCs w:val="24"/>
        </w:rPr>
        <w:t xml:space="preserve">]. </w:t>
      </w:r>
      <w:r w:rsidR="004E5C84">
        <w:rPr>
          <w:sz w:val="24"/>
          <w:szCs w:val="24"/>
        </w:rPr>
        <w:t>However, in order for the virus-cell transmembrane fusion to occur, the monobasic S2’ cleavage site must be cleaved by TMPRSS2 [</w:t>
      </w:r>
      <w:r w:rsidR="00515395">
        <w:rPr>
          <w:sz w:val="24"/>
          <w:szCs w:val="24"/>
        </w:rPr>
        <w:t>3</w:t>
      </w:r>
      <w:r w:rsidR="004E5C84">
        <w:rPr>
          <w:sz w:val="24"/>
          <w:szCs w:val="24"/>
        </w:rPr>
        <w:t>-</w:t>
      </w:r>
      <w:r w:rsidR="00515395">
        <w:rPr>
          <w:sz w:val="24"/>
          <w:szCs w:val="24"/>
        </w:rPr>
        <w:t>4</w:t>
      </w:r>
      <w:r w:rsidR="004E5C84">
        <w:rPr>
          <w:sz w:val="24"/>
          <w:szCs w:val="24"/>
        </w:rPr>
        <w:t xml:space="preserve">]. TMPRSS2 proteolytic activity </w:t>
      </w:r>
      <w:r w:rsidR="000A7D46">
        <w:rPr>
          <w:sz w:val="24"/>
          <w:szCs w:val="24"/>
        </w:rPr>
        <w:t>results from its catalytic domain</w:t>
      </w:r>
      <w:r w:rsidR="00515395">
        <w:rPr>
          <w:sz w:val="24"/>
          <w:szCs w:val="24"/>
        </w:rPr>
        <w:t>, which</w:t>
      </w:r>
      <w:r w:rsidR="000A7D46">
        <w:rPr>
          <w:sz w:val="24"/>
          <w:szCs w:val="24"/>
        </w:rPr>
        <w:t xml:space="preserve"> consist of Ser-His-A</w:t>
      </w:r>
      <w:r w:rsidR="00515395">
        <w:rPr>
          <w:sz w:val="24"/>
          <w:szCs w:val="24"/>
        </w:rPr>
        <w:t>sp</w:t>
      </w:r>
      <w:r w:rsidR="000A7D46">
        <w:rPr>
          <w:sz w:val="24"/>
          <w:szCs w:val="24"/>
        </w:rPr>
        <w:t xml:space="preserve">, but </w:t>
      </w:r>
      <w:r w:rsidR="00515395">
        <w:rPr>
          <w:sz w:val="24"/>
          <w:szCs w:val="24"/>
        </w:rPr>
        <w:t xml:space="preserve">Ser initializes the peptide hydrolysis by attacking the acyl compound of </w:t>
      </w:r>
      <w:r w:rsidR="00485D51">
        <w:rPr>
          <w:sz w:val="24"/>
          <w:szCs w:val="24"/>
        </w:rPr>
        <w:t>a</w:t>
      </w:r>
      <w:r w:rsidR="00515395">
        <w:rPr>
          <w:sz w:val="24"/>
          <w:szCs w:val="24"/>
        </w:rPr>
        <w:t xml:space="preserve"> lys or Arg </w:t>
      </w:r>
      <w:r w:rsidR="00485D51">
        <w:rPr>
          <w:sz w:val="24"/>
          <w:szCs w:val="24"/>
        </w:rPr>
        <w:t>residue in the S protein</w:t>
      </w:r>
      <w:r w:rsidR="00234FCE">
        <w:rPr>
          <w:sz w:val="24"/>
          <w:szCs w:val="24"/>
        </w:rPr>
        <w:t xml:space="preserve"> [2,4].</w:t>
      </w:r>
      <w:r w:rsidR="00ED4B2D">
        <w:rPr>
          <w:sz w:val="24"/>
          <w:szCs w:val="24"/>
        </w:rPr>
        <w:t xml:space="preserve"> During this reaction two tetrahedral intermediates and one </w:t>
      </w:r>
      <w:r w:rsidR="00C66F6F">
        <w:rPr>
          <w:sz w:val="24"/>
          <w:szCs w:val="24"/>
        </w:rPr>
        <w:t>acylenzyme but</w:t>
      </w:r>
      <w:r w:rsidR="00ED4B2D">
        <w:rPr>
          <w:sz w:val="24"/>
          <w:szCs w:val="24"/>
        </w:rPr>
        <w:t xml:space="preserve"> finalizes with the protonation of an amine leaving group, </w:t>
      </w:r>
      <w:r w:rsidR="000B31D6">
        <w:rPr>
          <w:sz w:val="24"/>
          <w:szCs w:val="24"/>
        </w:rPr>
        <w:t>carboxylic acid, water, and the catalytic tr</w:t>
      </w:r>
      <w:r w:rsidR="00494ABA">
        <w:rPr>
          <w:sz w:val="24"/>
          <w:szCs w:val="24"/>
        </w:rPr>
        <w:t>ia</w:t>
      </w:r>
      <w:r w:rsidR="000B31D6">
        <w:rPr>
          <w:sz w:val="24"/>
          <w:szCs w:val="24"/>
        </w:rPr>
        <w:t>d reforms</w:t>
      </w:r>
      <w:r w:rsidR="00494ABA">
        <w:rPr>
          <w:sz w:val="24"/>
          <w:szCs w:val="24"/>
        </w:rPr>
        <w:t xml:space="preserve"> [2].</w:t>
      </w:r>
      <w:r w:rsidR="009F4CCF">
        <w:rPr>
          <w:sz w:val="24"/>
          <w:szCs w:val="24"/>
        </w:rPr>
        <w:t xml:space="preserve"> </w:t>
      </w:r>
      <w:r w:rsidR="00697CB9">
        <w:rPr>
          <w:sz w:val="24"/>
          <w:szCs w:val="24"/>
        </w:rPr>
        <w:t xml:space="preserve">Even though TMPRSS2 is a crucial part for virus-host transmembrane fusion, much of its functionality is still unclear. In previous studies, ACE2 variants have been observed in multiple species, which may have lead SARS-CoV2 high infectivity </w:t>
      </w:r>
      <w:r w:rsidR="00EB2B40">
        <w:rPr>
          <w:sz w:val="24"/>
          <w:szCs w:val="24"/>
        </w:rPr>
        <w:t xml:space="preserve">in native and foreign host [1,8]. Since there are over 9000 </w:t>
      </w:r>
      <w:r w:rsidR="00494ABA">
        <w:rPr>
          <w:sz w:val="24"/>
          <w:szCs w:val="24"/>
        </w:rPr>
        <w:t>sequences</w:t>
      </w:r>
      <w:r w:rsidR="00EB2B40">
        <w:rPr>
          <w:sz w:val="24"/>
          <w:szCs w:val="24"/>
        </w:rPr>
        <w:t xml:space="preserve"> of TMPRSS2, a comparative analysis of its amino acid sequence can predict its cleaving efficacy of SARS</w:t>
      </w:r>
      <w:r w:rsidR="00494ABA">
        <w:rPr>
          <w:sz w:val="24"/>
          <w:szCs w:val="24"/>
        </w:rPr>
        <w:t>-</w:t>
      </w:r>
      <w:r w:rsidR="00EB2B40">
        <w:rPr>
          <w:sz w:val="24"/>
          <w:szCs w:val="24"/>
        </w:rPr>
        <w:t>CoV</w:t>
      </w:r>
      <w:r w:rsidR="00494ABA">
        <w:rPr>
          <w:sz w:val="24"/>
          <w:szCs w:val="24"/>
        </w:rPr>
        <w:t>-</w:t>
      </w:r>
      <w:r w:rsidR="00EB2B40">
        <w:rPr>
          <w:sz w:val="24"/>
          <w:szCs w:val="24"/>
        </w:rPr>
        <w:t xml:space="preserve">2 with similar ACE2 receptor sequences.  This will yield valuable insight into </w:t>
      </w:r>
      <w:r w:rsidR="0097545B">
        <w:rPr>
          <w:sz w:val="24"/>
          <w:szCs w:val="24"/>
        </w:rPr>
        <w:t>SARS</w:t>
      </w:r>
      <w:r w:rsidR="00494ABA">
        <w:rPr>
          <w:sz w:val="24"/>
          <w:szCs w:val="24"/>
        </w:rPr>
        <w:t>-</w:t>
      </w:r>
      <w:r w:rsidR="0097545B">
        <w:rPr>
          <w:sz w:val="24"/>
          <w:szCs w:val="24"/>
        </w:rPr>
        <w:t>CoV</w:t>
      </w:r>
      <w:r w:rsidR="00494ABA">
        <w:rPr>
          <w:sz w:val="24"/>
          <w:szCs w:val="24"/>
        </w:rPr>
        <w:t>-</w:t>
      </w:r>
      <w:r w:rsidR="0097545B">
        <w:rPr>
          <w:sz w:val="24"/>
          <w:szCs w:val="24"/>
        </w:rPr>
        <w:t xml:space="preserve">2 zoonotic transmission potential to spill over in specie populations. </w:t>
      </w:r>
      <w:r w:rsidR="00EB2B40">
        <w:rPr>
          <w:sz w:val="24"/>
          <w:szCs w:val="24"/>
        </w:rPr>
        <w:t xml:space="preserve"> </w:t>
      </w:r>
    </w:p>
    <w:p w14:paraId="4AEC66C6" w14:textId="40F33272" w:rsidR="0056678F" w:rsidRDefault="00996F43" w:rsidP="0056678F">
      <w:pPr>
        <w:rPr>
          <w:sz w:val="24"/>
          <w:szCs w:val="24"/>
        </w:rPr>
      </w:pPr>
      <w:r>
        <w:rPr>
          <w:sz w:val="24"/>
          <w:szCs w:val="24"/>
        </w:rPr>
        <w:t>SARS-CoV-2, a zoonotic pathogen, has evolved to successfully infect a broad host range using common host cell machinery.</w:t>
      </w:r>
      <w:r w:rsidR="00644284">
        <w:rPr>
          <w:sz w:val="24"/>
          <w:szCs w:val="24"/>
        </w:rPr>
        <w:t xml:space="preserve"> With its high infectivity and unpredictive nature, SARS-CoV-2 is increasingly difficult to treat and contain.</w:t>
      </w:r>
      <w:r>
        <w:rPr>
          <w:sz w:val="24"/>
          <w:szCs w:val="24"/>
        </w:rPr>
        <w:t xml:space="preserve"> </w:t>
      </w:r>
      <w:r w:rsidR="008D36AE">
        <w:rPr>
          <w:sz w:val="24"/>
          <w:szCs w:val="24"/>
        </w:rPr>
        <w:t xml:space="preserve">In previous studies TMPRSS2 has shown to </w:t>
      </w:r>
      <w:r w:rsidR="004F23B7">
        <w:rPr>
          <w:sz w:val="24"/>
          <w:szCs w:val="24"/>
        </w:rPr>
        <w:t xml:space="preserve">cleave SARS-CoV at </w:t>
      </w:r>
      <w:r>
        <w:rPr>
          <w:sz w:val="24"/>
          <w:szCs w:val="24"/>
        </w:rPr>
        <w:t>a</w:t>
      </w:r>
      <w:r w:rsidR="004F23B7">
        <w:rPr>
          <w:sz w:val="24"/>
          <w:szCs w:val="24"/>
        </w:rPr>
        <w:t xml:space="preserve"> monobasic Arg site, causing cell-cell spread and increased severity of coronaviruses in infected lung cells of mice</w:t>
      </w:r>
      <w:r>
        <w:rPr>
          <w:sz w:val="24"/>
          <w:szCs w:val="24"/>
        </w:rPr>
        <w:t xml:space="preserve"> [20-21].</w:t>
      </w:r>
      <w:r w:rsidR="0020024C">
        <w:rPr>
          <w:sz w:val="24"/>
          <w:szCs w:val="24"/>
        </w:rPr>
        <w:t xml:space="preserve"> </w:t>
      </w:r>
      <w:r w:rsidR="00F3576D">
        <w:rPr>
          <w:sz w:val="24"/>
          <w:szCs w:val="24"/>
        </w:rPr>
        <w:t>However, TMPRSS2 variants in other species with similar ACE2 receptors (compared to human strains) could lead to unfavorable bonding conditions for SARS-CoV-2.</w:t>
      </w:r>
      <w:r w:rsidR="00F3576D">
        <w:rPr>
          <w:sz w:val="24"/>
          <w:szCs w:val="24"/>
        </w:rPr>
        <w:t xml:space="preserve"> </w:t>
      </w:r>
      <w:r w:rsidR="0020024C">
        <w:rPr>
          <w:sz w:val="24"/>
          <w:szCs w:val="24"/>
        </w:rPr>
        <w:t>Additionally, TMPRSS2’s proteolytic activation</w:t>
      </w:r>
      <w:r w:rsidR="00A96260">
        <w:rPr>
          <w:sz w:val="24"/>
          <w:szCs w:val="24"/>
        </w:rPr>
        <w:t xml:space="preserve"> takes place after SARS-CoV S protein undergoes receptor-induced conformational modifications</w:t>
      </w:r>
      <w:r w:rsidR="009F4CCF">
        <w:rPr>
          <w:sz w:val="24"/>
          <w:szCs w:val="24"/>
        </w:rPr>
        <w:t xml:space="preserve"> [21]</w:t>
      </w:r>
      <w:r w:rsidR="00A96260">
        <w:rPr>
          <w:sz w:val="24"/>
          <w:szCs w:val="24"/>
        </w:rPr>
        <w:t>.</w:t>
      </w:r>
      <w:r w:rsidR="004F23B7">
        <w:rPr>
          <w:sz w:val="24"/>
          <w:szCs w:val="24"/>
        </w:rPr>
        <w:t xml:space="preserve"> </w:t>
      </w:r>
      <w:r w:rsidR="00644284">
        <w:rPr>
          <w:sz w:val="24"/>
          <w:szCs w:val="24"/>
        </w:rPr>
        <w:t xml:space="preserve">Therefore, we hypothesis that </w:t>
      </w:r>
      <w:r w:rsidR="00F3576D">
        <w:rPr>
          <w:sz w:val="24"/>
          <w:szCs w:val="24"/>
        </w:rPr>
        <w:t xml:space="preserve">cross-species conservation of TMPRSS2 catalytic residues may play a role in alternate host spillover.  </w:t>
      </w:r>
      <w:r w:rsidR="0056678F">
        <w:rPr>
          <w:sz w:val="24"/>
          <w:szCs w:val="24"/>
        </w:rPr>
        <w:t xml:space="preserve">By comparing </w:t>
      </w:r>
      <w:r w:rsidR="00D17808">
        <w:rPr>
          <w:sz w:val="24"/>
          <w:szCs w:val="24"/>
        </w:rPr>
        <w:t>residue</w:t>
      </w:r>
      <w:r w:rsidR="0056678F">
        <w:rPr>
          <w:sz w:val="24"/>
          <w:szCs w:val="24"/>
        </w:rPr>
        <w:t xml:space="preserve"> </w:t>
      </w:r>
      <w:r w:rsidR="00D17808">
        <w:rPr>
          <w:sz w:val="24"/>
          <w:szCs w:val="24"/>
        </w:rPr>
        <w:t>alterations</w:t>
      </w:r>
      <w:r w:rsidR="0056678F">
        <w:rPr>
          <w:sz w:val="24"/>
          <w:szCs w:val="24"/>
        </w:rPr>
        <w:t xml:space="preserve"> of TMPRSS2 </w:t>
      </w:r>
      <w:r w:rsidR="00F3576D">
        <w:rPr>
          <w:sz w:val="24"/>
          <w:szCs w:val="24"/>
        </w:rPr>
        <w:t>multiple sequence alignments between</w:t>
      </w:r>
      <w:r w:rsidR="0056678F">
        <w:rPr>
          <w:sz w:val="24"/>
          <w:szCs w:val="24"/>
        </w:rPr>
        <w:t xml:space="preserve"> various species</w:t>
      </w:r>
      <w:r w:rsidR="00D17808">
        <w:rPr>
          <w:sz w:val="24"/>
          <w:szCs w:val="24"/>
        </w:rPr>
        <w:t xml:space="preserve"> and human</w:t>
      </w:r>
      <w:r w:rsidR="0056678F">
        <w:rPr>
          <w:sz w:val="24"/>
          <w:szCs w:val="24"/>
        </w:rPr>
        <w:t xml:space="preserve">, we’ll be able to score the susceptibility/severity of infection for each species, </w:t>
      </w:r>
      <w:r w:rsidR="00024458">
        <w:rPr>
          <w:sz w:val="24"/>
          <w:szCs w:val="24"/>
        </w:rPr>
        <w:t>in silica</w:t>
      </w:r>
      <w:r w:rsidR="0056678F">
        <w:rPr>
          <w:sz w:val="24"/>
          <w:szCs w:val="24"/>
        </w:rPr>
        <w:t>.</w:t>
      </w:r>
      <w:r w:rsidR="00024458">
        <w:rPr>
          <w:sz w:val="24"/>
          <w:szCs w:val="24"/>
        </w:rPr>
        <w:t xml:space="preserve"> Also, we’ll be able to categorize each substitution’s property delta, then reflect that change in Pymol</w:t>
      </w:r>
      <w:r w:rsidR="0056678F">
        <w:rPr>
          <w:sz w:val="24"/>
          <w:szCs w:val="24"/>
        </w:rPr>
        <w:t xml:space="preserve">. By determining the molecular configuration leading to cell entry, we’ll gain insight on spillover potential of SARS-CoV-2 to alternate host. Which could arbor adaptive advantages for SARS-CoV-2 immune evasion and overall infectivity within broad </w:t>
      </w:r>
      <w:r w:rsidR="00F3576D">
        <w:rPr>
          <w:sz w:val="24"/>
          <w:szCs w:val="24"/>
        </w:rPr>
        <w:t xml:space="preserve">an </w:t>
      </w:r>
      <w:r w:rsidR="0056678F">
        <w:rPr>
          <w:sz w:val="24"/>
          <w:szCs w:val="24"/>
        </w:rPr>
        <w:t xml:space="preserve">host range. </w:t>
      </w:r>
    </w:p>
    <w:p w14:paraId="6A61F477" w14:textId="77777777" w:rsidR="0056678F" w:rsidRDefault="0056678F">
      <w:pPr>
        <w:rPr>
          <w:sz w:val="24"/>
          <w:szCs w:val="24"/>
        </w:rPr>
      </w:pPr>
    </w:p>
    <w:p w14:paraId="761DB03D" w14:textId="778D6C9C" w:rsidR="008E739D" w:rsidRDefault="008E739D">
      <w:pPr>
        <w:rPr>
          <w:b/>
          <w:bCs/>
          <w:sz w:val="24"/>
          <w:szCs w:val="24"/>
        </w:rPr>
      </w:pPr>
      <w:r w:rsidRPr="009F71DD">
        <w:rPr>
          <w:b/>
          <w:bCs/>
          <w:sz w:val="24"/>
          <w:szCs w:val="24"/>
        </w:rPr>
        <w:t>Methods</w:t>
      </w:r>
    </w:p>
    <w:p w14:paraId="078C8BA5" w14:textId="0857E60A" w:rsidR="009A1D6F" w:rsidRDefault="00D17808">
      <w:pPr>
        <w:rPr>
          <w:b/>
          <w:bCs/>
          <w:sz w:val="24"/>
          <w:szCs w:val="24"/>
        </w:rPr>
      </w:pPr>
      <w:r>
        <w:rPr>
          <w:b/>
          <w:bCs/>
          <w:sz w:val="24"/>
          <w:szCs w:val="24"/>
        </w:rPr>
        <w:t>Data Collection and Curation</w:t>
      </w:r>
    </w:p>
    <w:p w14:paraId="39C5715F" w14:textId="2F20C827" w:rsidR="00707D74" w:rsidRDefault="00CE75C4">
      <w:pPr>
        <w:rPr>
          <w:sz w:val="24"/>
          <w:szCs w:val="24"/>
        </w:rPr>
      </w:pPr>
      <w:r>
        <w:rPr>
          <w:sz w:val="24"/>
          <w:szCs w:val="24"/>
        </w:rPr>
        <w:t xml:space="preserve">All </w:t>
      </w:r>
      <w:r w:rsidR="001C2897">
        <w:rPr>
          <w:sz w:val="24"/>
          <w:szCs w:val="24"/>
        </w:rPr>
        <w:t>9757 TMPRSS2 protein sequences from 120 species were retrieved from EggN</w:t>
      </w:r>
      <w:r w:rsidR="00040D1E">
        <w:rPr>
          <w:sz w:val="24"/>
          <w:szCs w:val="24"/>
        </w:rPr>
        <w:t>0</w:t>
      </w:r>
      <w:r w:rsidR="001C2897">
        <w:rPr>
          <w:sz w:val="24"/>
          <w:szCs w:val="24"/>
        </w:rPr>
        <w:t>G</w:t>
      </w:r>
      <w:r w:rsidR="00815F80">
        <w:rPr>
          <w:sz w:val="24"/>
          <w:szCs w:val="24"/>
        </w:rPr>
        <w:t xml:space="preserve">, as of June 30, 2020 [13]. </w:t>
      </w:r>
      <w:r w:rsidR="0030697B">
        <w:rPr>
          <w:sz w:val="24"/>
          <w:szCs w:val="24"/>
        </w:rPr>
        <w:t xml:space="preserve">Using Clustal Omega we generated the full set of each protein sequence alignment independently, which verified the authenticity of each alignment in the EggN0G </w:t>
      </w:r>
      <w:r w:rsidR="00EB33A2">
        <w:rPr>
          <w:sz w:val="24"/>
          <w:szCs w:val="24"/>
        </w:rPr>
        <w:t>dataset</w:t>
      </w:r>
      <w:r w:rsidR="0030697B">
        <w:rPr>
          <w:sz w:val="24"/>
          <w:szCs w:val="24"/>
        </w:rPr>
        <w:t xml:space="preserve"> [14]. </w:t>
      </w:r>
      <w:r w:rsidR="00815F80">
        <w:rPr>
          <w:sz w:val="24"/>
          <w:szCs w:val="24"/>
        </w:rPr>
        <w:t>We u</w:t>
      </w:r>
      <w:r w:rsidR="00EB33A2">
        <w:rPr>
          <w:sz w:val="24"/>
          <w:szCs w:val="24"/>
        </w:rPr>
        <w:t>tilized</w:t>
      </w:r>
      <w:r w:rsidR="00815F80">
        <w:rPr>
          <w:sz w:val="24"/>
          <w:szCs w:val="24"/>
        </w:rPr>
        <w:t xml:space="preserve"> functions in Biopython, </w:t>
      </w:r>
      <w:r w:rsidR="00B613EE">
        <w:rPr>
          <w:sz w:val="24"/>
          <w:szCs w:val="24"/>
        </w:rPr>
        <w:t>a</w:t>
      </w:r>
      <w:r w:rsidR="00815F80">
        <w:rPr>
          <w:sz w:val="24"/>
          <w:szCs w:val="24"/>
        </w:rPr>
        <w:t xml:space="preserve"> python biological computation package, to parse the lines within the alignment file </w:t>
      </w:r>
      <w:r w:rsidR="00B613EE">
        <w:rPr>
          <w:sz w:val="24"/>
          <w:szCs w:val="24"/>
        </w:rPr>
        <w:t>to convert header and sequence pairs into iterables.</w:t>
      </w:r>
      <w:r w:rsidR="0030697B">
        <w:rPr>
          <w:sz w:val="24"/>
          <w:szCs w:val="24"/>
        </w:rPr>
        <w:t xml:space="preserve"> </w:t>
      </w:r>
      <w:r w:rsidR="00EB33A2">
        <w:rPr>
          <w:sz w:val="24"/>
          <w:szCs w:val="24"/>
        </w:rPr>
        <w:t>Then</w:t>
      </w:r>
      <w:r w:rsidR="00377316">
        <w:rPr>
          <w:sz w:val="24"/>
          <w:szCs w:val="24"/>
        </w:rPr>
        <w:t xml:space="preserve"> filtered out</w:t>
      </w:r>
      <w:r w:rsidR="0030697B">
        <w:rPr>
          <w:sz w:val="24"/>
          <w:szCs w:val="24"/>
        </w:rPr>
        <w:t xml:space="preserve"> target</w:t>
      </w:r>
      <w:r w:rsidR="00377316">
        <w:rPr>
          <w:sz w:val="24"/>
          <w:szCs w:val="24"/>
        </w:rPr>
        <w:t xml:space="preserve"> </w:t>
      </w:r>
      <w:r w:rsidR="00D83798">
        <w:rPr>
          <w:sz w:val="24"/>
          <w:szCs w:val="24"/>
        </w:rPr>
        <w:t>mammalian</w:t>
      </w:r>
      <w:r w:rsidR="00EF5A92">
        <w:rPr>
          <w:sz w:val="24"/>
          <w:szCs w:val="24"/>
        </w:rPr>
        <w:t xml:space="preserve"> species (Homo sapiens, Mus musculus, Canis Lupus familiaris, Felis catus, Bos Taurus, Equus caballus, and Gallus gallus) </w:t>
      </w:r>
      <w:r w:rsidR="00CF51B7">
        <w:rPr>
          <w:sz w:val="24"/>
          <w:szCs w:val="24"/>
        </w:rPr>
        <w:t xml:space="preserve">from the </w:t>
      </w:r>
      <w:r w:rsidR="00545E24">
        <w:rPr>
          <w:sz w:val="24"/>
          <w:szCs w:val="24"/>
        </w:rPr>
        <w:t>multiple sequence</w:t>
      </w:r>
      <w:r w:rsidR="00CF51B7">
        <w:rPr>
          <w:sz w:val="24"/>
          <w:szCs w:val="24"/>
        </w:rPr>
        <w:t xml:space="preserve"> alignment of all 120 species</w:t>
      </w:r>
      <w:r w:rsidR="00545E24">
        <w:rPr>
          <w:sz w:val="24"/>
          <w:szCs w:val="24"/>
        </w:rPr>
        <w:t>, and modified it using the multiple sequence alignment function.</w:t>
      </w:r>
      <w:r w:rsidR="00D83798">
        <w:rPr>
          <w:sz w:val="24"/>
          <w:szCs w:val="24"/>
        </w:rPr>
        <w:t xml:space="preserve"> </w:t>
      </w:r>
      <w:r w:rsidR="0030697B">
        <w:rPr>
          <w:sz w:val="24"/>
          <w:szCs w:val="24"/>
        </w:rPr>
        <w:t xml:space="preserve">From the target species list we </w:t>
      </w:r>
      <w:r w:rsidR="00EB33A2">
        <w:rPr>
          <w:sz w:val="24"/>
          <w:szCs w:val="24"/>
        </w:rPr>
        <w:t>extracted the</w:t>
      </w:r>
      <w:r w:rsidR="0030697B">
        <w:rPr>
          <w:sz w:val="24"/>
          <w:szCs w:val="24"/>
        </w:rPr>
        <w:t xml:space="preserve"> </w:t>
      </w:r>
      <w:r w:rsidR="0038147B">
        <w:rPr>
          <w:sz w:val="24"/>
          <w:szCs w:val="24"/>
        </w:rPr>
        <w:t xml:space="preserve">H. sapien </w:t>
      </w:r>
      <w:r w:rsidR="004F114B">
        <w:rPr>
          <w:sz w:val="24"/>
          <w:szCs w:val="24"/>
        </w:rPr>
        <w:t>homolog</w:t>
      </w:r>
      <w:r w:rsidR="0038147B">
        <w:rPr>
          <w:sz w:val="24"/>
          <w:szCs w:val="24"/>
        </w:rPr>
        <w:t xml:space="preserve"> sequence </w:t>
      </w:r>
      <w:r w:rsidR="001D171C">
        <w:rPr>
          <w:sz w:val="24"/>
          <w:szCs w:val="24"/>
        </w:rPr>
        <w:t>based upon UniProt’s TMPRSS2 homolog [17]</w:t>
      </w:r>
      <w:r w:rsidR="0038147B">
        <w:rPr>
          <w:sz w:val="24"/>
          <w:szCs w:val="24"/>
        </w:rPr>
        <w:t xml:space="preserve">. After trimming the </w:t>
      </w:r>
      <w:r w:rsidR="00EB33A2">
        <w:rPr>
          <w:sz w:val="24"/>
          <w:szCs w:val="24"/>
        </w:rPr>
        <w:t xml:space="preserve">H. sapien </w:t>
      </w:r>
      <w:r w:rsidR="0038147B">
        <w:rPr>
          <w:sz w:val="24"/>
          <w:szCs w:val="24"/>
        </w:rPr>
        <w:t xml:space="preserve">sequence using N-terminus and C-terminus indices, we generated the </w:t>
      </w:r>
      <w:r w:rsidR="00EB33A2">
        <w:rPr>
          <w:sz w:val="24"/>
          <w:szCs w:val="24"/>
        </w:rPr>
        <w:t>consensus</w:t>
      </w:r>
      <w:r w:rsidR="0038147B">
        <w:rPr>
          <w:sz w:val="24"/>
          <w:szCs w:val="24"/>
        </w:rPr>
        <w:t xml:space="preserve"> sequence for the other target mammalian species, which were later trimmed using the same N/C-</w:t>
      </w:r>
      <w:r w:rsidR="00EB7207">
        <w:rPr>
          <w:sz w:val="24"/>
          <w:szCs w:val="24"/>
        </w:rPr>
        <w:t>terminus indices</w:t>
      </w:r>
      <w:r w:rsidR="00EB33A2">
        <w:rPr>
          <w:sz w:val="24"/>
          <w:szCs w:val="24"/>
        </w:rPr>
        <w:t xml:space="preserve"> </w:t>
      </w:r>
      <w:r w:rsidR="0038147B">
        <w:rPr>
          <w:sz w:val="24"/>
          <w:szCs w:val="24"/>
        </w:rPr>
        <w:t xml:space="preserve">as </w:t>
      </w:r>
      <w:r w:rsidR="004F114B">
        <w:rPr>
          <w:sz w:val="24"/>
          <w:szCs w:val="24"/>
        </w:rPr>
        <w:t>the H</w:t>
      </w:r>
      <w:r w:rsidR="0038147B">
        <w:rPr>
          <w:sz w:val="24"/>
          <w:szCs w:val="24"/>
        </w:rPr>
        <w:t>.</w:t>
      </w:r>
      <w:r w:rsidR="004F114B">
        <w:rPr>
          <w:sz w:val="24"/>
          <w:szCs w:val="24"/>
        </w:rPr>
        <w:t xml:space="preserve"> sapien sequence.</w:t>
      </w:r>
      <w:r w:rsidR="00EB7207">
        <w:rPr>
          <w:sz w:val="24"/>
          <w:szCs w:val="24"/>
        </w:rPr>
        <w:t xml:space="preserve"> After modification of all species, we used the multipleSeqAlignment function between the human and other species’ sequences. We also use the position specific score matrix (PSSM) attribute </w:t>
      </w:r>
      <w:r w:rsidR="009A1D6F">
        <w:rPr>
          <w:sz w:val="24"/>
          <w:szCs w:val="24"/>
        </w:rPr>
        <w:t>to find the percent probability of a particular residue at a specific location.</w:t>
      </w:r>
    </w:p>
    <w:p w14:paraId="17AB54B1" w14:textId="56D0D205" w:rsidR="00D17808" w:rsidRPr="00D17808" w:rsidRDefault="00D17808">
      <w:pPr>
        <w:rPr>
          <w:b/>
          <w:bCs/>
          <w:sz w:val="24"/>
          <w:szCs w:val="24"/>
        </w:rPr>
      </w:pPr>
      <w:r w:rsidRPr="00D17808">
        <w:rPr>
          <w:b/>
          <w:bCs/>
          <w:sz w:val="24"/>
          <w:szCs w:val="24"/>
        </w:rPr>
        <w:t>Protein Sequence Analysis</w:t>
      </w:r>
    </w:p>
    <w:p w14:paraId="19B4A92A" w14:textId="4A1478CA" w:rsidR="0038147B" w:rsidRDefault="00A349EC">
      <w:pPr>
        <w:rPr>
          <w:sz w:val="24"/>
          <w:szCs w:val="24"/>
        </w:rPr>
      </w:pPr>
      <w:r>
        <w:rPr>
          <w:sz w:val="24"/>
          <w:szCs w:val="24"/>
        </w:rPr>
        <w:t xml:space="preserve">We identified 24 TMPRSS2 amino acid residues that were previously reported to be important for proteolytic cleavage and </w:t>
      </w:r>
      <w:r w:rsidR="00E573C2">
        <w:rPr>
          <w:sz w:val="24"/>
          <w:szCs w:val="24"/>
        </w:rPr>
        <w:t>conformation [</w:t>
      </w:r>
      <w:r>
        <w:rPr>
          <w:sz w:val="24"/>
          <w:szCs w:val="24"/>
        </w:rPr>
        <w:t>2,4,15,16</w:t>
      </w:r>
      <w:r w:rsidR="001D171C">
        <w:rPr>
          <w:sz w:val="24"/>
          <w:szCs w:val="24"/>
        </w:rPr>
        <w:t>,17</w:t>
      </w:r>
      <w:r w:rsidR="008F52A0">
        <w:rPr>
          <w:sz w:val="24"/>
          <w:szCs w:val="24"/>
        </w:rPr>
        <w:t>].</w:t>
      </w:r>
      <w:r w:rsidR="00E573C2">
        <w:rPr>
          <w:sz w:val="24"/>
          <w:szCs w:val="24"/>
        </w:rPr>
        <w:t xml:space="preserve"> These residues include the assumed monobasic recognition</w:t>
      </w:r>
      <w:r w:rsidR="00152989">
        <w:rPr>
          <w:sz w:val="24"/>
          <w:szCs w:val="24"/>
        </w:rPr>
        <w:t xml:space="preserve"> site</w:t>
      </w:r>
      <w:r w:rsidR="00E573C2">
        <w:rPr>
          <w:sz w:val="24"/>
          <w:szCs w:val="24"/>
        </w:rPr>
        <w:t xml:space="preserve"> (K223</w:t>
      </w:r>
      <w:r w:rsidR="00152989">
        <w:rPr>
          <w:sz w:val="24"/>
          <w:szCs w:val="24"/>
        </w:rPr>
        <w:t xml:space="preserve"> and </w:t>
      </w:r>
      <w:r w:rsidR="00E573C2">
        <w:rPr>
          <w:sz w:val="24"/>
          <w:szCs w:val="24"/>
        </w:rPr>
        <w:t>K224</w:t>
      </w:r>
      <w:r w:rsidR="00152989">
        <w:rPr>
          <w:sz w:val="24"/>
          <w:szCs w:val="24"/>
        </w:rPr>
        <w:t xml:space="preserve">), disulfide bonds (C113, C120, C126, C133, C139, C148, C172, C185, C231, C241, C281, C297 C365, C410, C426, C437, and C465), </w:t>
      </w:r>
      <w:r w:rsidR="00750987">
        <w:rPr>
          <w:sz w:val="24"/>
          <w:szCs w:val="24"/>
        </w:rPr>
        <w:t>catalytic triad (D345, H296, and S441), and the binding site (D435).</w:t>
      </w:r>
      <w:r w:rsidR="00C37EB8">
        <w:rPr>
          <w:sz w:val="24"/>
          <w:szCs w:val="24"/>
        </w:rPr>
        <w:t xml:space="preserve"> We compared the residues of each </w:t>
      </w:r>
      <w:r w:rsidR="009A1D6F">
        <w:rPr>
          <w:sz w:val="24"/>
          <w:szCs w:val="24"/>
        </w:rPr>
        <w:t>mammalian</w:t>
      </w:r>
      <w:r w:rsidR="00C37EB8">
        <w:rPr>
          <w:sz w:val="24"/>
          <w:szCs w:val="24"/>
        </w:rPr>
        <w:t xml:space="preserve"> species to the </w:t>
      </w:r>
      <w:r w:rsidR="00FD015A">
        <w:rPr>
          <w:sz w:val="24"/>
          <w:szCs w:val="24"/>
        </w:rPr>
        <w:t>TMPRSS2 homolog</w:t>
      </w:r>
      <w:r w:rsidR="00C37EB8">
        <w:rPr>
          <w:sz w:val="24"/>
          <w:szCs w:val="24"/>
        </w:rPr>
        <w:t xml:space="preserve"> sequence in search of differences in particular residues of interest. Each substitution at a residue of interest was categorized as a mutation, which was then analyzed for its property difference based on </w:t>
      </w:r>
      <w:r w:rsidR="004F114B">
        <w:rPr>
          <w:sz w:val="24"/>
          <w:szCs w:val="24"/>
        </w:rPr>
        <w:t>data from previous studies</w:t>
      </w:r>
      <w:r w:rsidR="007E7C23">
        <w:rPr>
          <w:sz w:val="24"/>
          <w:szCs w:val="24"/>
        </w:rPr>
        <w:t xml:space="preserve"> (tryna get the reference</w:t>
      </w:r>
      <w:r w:rsidR="001D171C">
        <w:rPr>
          <w:sz w:val="24"/>
          <w:szCs w:val="24"/>
        </w:rPr>
        <w:t xml:space="preserve"> from a prof</w:t>
      </w:r>
      <w:r w:rsidR="007E7C23">
        <w:rPr>
          <w:sz w:val="24"/>
          <w:szCs w:val="24"/>
        </w:rPr>
        <w:t xml:space="preserve">). </w:t>
      </w:r>
      <w:r w:rsidR="0046693C">
        <w:rPr>
          <w:sz w:val="24"/>
          <w:szCs w:val="24"/>
        </w:rPr>
        <w:t>We retrieved the predicted structure of TMPRSS2 from SWISS-MODEL</w:t>
      </w:r>
      <w:r w:rsidR="00237EE4">
        <w:rPr>
          <w:sz w:val="24"/>
          <w:szCs w:val="24"/>
        </w:rPr>
        <w:t xml:space="preserve"> [18].</w:t>
      </w:r>
      <w:r w:rsidR="0046693C">
        <w:rPr>
          <w:sz w:val="24"/>
          <w:szCs w:val="24"/>
        </w:rPr>
        <w:t xml:space="preserve"> We modified the structure of TMPRSS2 to reflect protein </w:t>
      </w:r>
      <w:r w:rsidR="00692C56">
        <w:rPr>
          <w:sz w:val="24"/>
          <w:szCs w:val="24"/>
        </w:rPr>
        <w:t>substitutions</w:t>
      </w:r>
      <w:r w:rsidR="0046693C">
        <w:rPr>
          <w:sz w:val="24"/>
          <w:szCs w:val="24"/>
        </w:rPr>
        <w:t xml:space="preserve"> based off the </w:t>
      </w:r>
      <w:r w:rsidR="00692C56">
        <w:rPr>
          <w:sz w:val="24"/>
          <w:szCs w:val="24"/>
        </w:rPr>
        <w:t>comparisons</w:t>
      </w:r>
      <w:r w:rsidR="0046693C">
        <w:rPr>
          <w:sz w:val="24"/>
          <w:szCs w:val="24"/>
        </w:rPr>
        <w:t xml:space="preserve"> using </w:t>
      </w:r>
      <w:r w:rsidR="00692C56">
        <w:rPr>
          <w:sz w:val="24"/>
          <w:szCs w:val="24"/>
        </w:rPr>
        <w:t>P</w:t>
      </w:r>
      <w:r w:rsidR="0046693C">
        <w:rPr>
          <w:sz w:val="24"/>
          <w:szCs w:val="24"/>
        </w:rPr>
        <w:t>ymol</w:t>
      </w:r>
      <w:r w:rsidR="00692C56">
        <w:rPr>
          <w:sz w:val="24"/>
          <w:szCs w:val="24"/>
        </w:rPr>
        <w:t xml:space="preserve"> [19].</w:t>
      </w:r>
    </w:p>
    <w:p w14:paraId="0E6AC8FC" w14:textId="5970109C" w:rsidR="00846E3C" w:rsidRDefault="00846E3C" w:rsidP="00846E3C">
      <w:pPr>
        <w:jc w:val="center"/>
        <w:rPr>
          <w:sz w:val="24"/>
          <w:szCs w:val="24"/>
        </w:rPr>
      </w:pPr>
      <w:r>
        <w:rPr>
          <w:sz w:val="24"/>
          <w:szCs w:val="24"/>
        </w:rPr>
        <w:t>Work in progress</w:t>
      </w:r>
      <w:bookmarkStart w:id="0" w:name="_GoBack"/>
      <w:bookmarkEnd w:id="0"/>
    </w:p>
    <w:p w14:paraId="5CB9E3B3" w14:textId="19C5888E" w:rsidR="00846E3C" w:rsidRPr="00846E3C" w:rsidRDefault="00846E3C">
      <w:pPr>
        <w:rPr>
          <w:b/>
          <w:bCs/>
          <w:sz w:val="24"/>
          <w:szCs w:val="24"/>
        </w:rPr>
      </w:pPr>
      <w:r w:rsidRPr="00846E3C">
        <w:rPr>
          <w:b/>
          <w:bCs/>
          <w:sz w:val="24"/>
          <w:szCs w:val="24"/>
        </w:rPr>
        <w:t>Results</w:t>
      </w:r>
    </w:p>
    <w:p w14:paraId="267B39F8" w14:textId="61859534" w:rsidR="00A64342" w:rsidRDefault="00A64342">
      <w:pPr>
        <w:rPr>
          <w:b/>
          <w:bCs/>
          <w:sz w:val="24"/>
          <w:szCs w:val="24"/>
        </w:rPr>
      </w:pPr>
      <w:r w:rsidRPr="00A64342">
        <w:rPr>
          <w:b/>
          <w:bCs/>
          <w:sz w:val="24"/>
          <w:szCs w:val="24"/>
        </w:rPr>
        <w:t>References</w:t>
      </w:r>
    </w:p>
    <w:p w14:paraId="696BA429" w14:textId="77777777" w:rsidR="00846E3C" w:rsidRPr="00A64342" w:rsidRDefault="00846E3C">
      <w:pPr>
        <w:rPr>
          <w:b/>
          <w:bCs/>
          <w:sz w:val="24"/>
          <w:szCs w:val="24"/>
        </w:rPr>
      </w:pPr>
    </w:p>
    <w:p w14:paraId="4077B048" w14:textId="4AB290C6" w:rsidR="00885E7E" w:rsidRPr="00885E7E" w:rsidRDefault="00885E7E" w:rsidP="00885E7E">
      <w:pPr>
        <w:ind w:left="360"/>
        <w:rPr>
          <w:sz w:val="24"/>
          <w:szCs w:val="24"/>
        </w:rPr>
      </w:pPr>
    </w:p>
    <w:p w14:paraId="07D6134B" w14:textId="01125C47" w:rsidR="00B2121E" w:rsidRPr="00515395" w:rsidRDefault="00B2121E" w:rsidP="00B2121E">
      <w:pPr>
        <w:pStyle w:val="ListParagraph"/>
        <w:numPr>
          <w:ilvl w:val="0"/>
          <w:numId w:val="3"/>
        </w:numPr>
        <w:rPr>
          <w:rStyle w:val="Hyperlink"/>
          <w:color w:val="auto"/>
          <w:sz w:val="24"/>
          <w:szCs w:val="24"/>
          <w:u w:val="none"/>
        </w:rPr>
      </w:pPr>
      <w:r w:rsidRPr="00B2121E">
        <w:rPr>
          <w:sz w:val="24"/>
          <w:szCs w:val="24"/>
        </w:rPr>
        <w:lastRenderedPageBreak/>
        <w:t xml:space="preserve">Damas, J., Hughes, G. M., Keough, K. C., Painter, C. A., Persky, N. S., Corbo, M., Hiller, M., Koepfli, K. P., Pfenning, A. R., Zhao, H., Genereux, D. P., Swofford, R., Pollard, K. S., Ryder, O. A., Nweeia, M. T., Lindblad-Toh, K., Teeling, E. C., Karlsson, E. K., &amp; Lewin, H. A. (2020). Broad Host Range of SARS-CoV-2 Predicted by Comparative and Structural Analysis of ACE2 in Vertebrates. bioRxiv : the preprint server for biology, 2020.04.16.045302. </w:t>
      </w:r>
      <w:hyperlink r:id="rId6" w:history="1">
        <w:r w:rsidRPr="00B2121E">
          <w:rPr>
            <w:rStyle w:val="Hyperlink"/>
            <w:sz w:val="24"/>
            <w:szCs w:val="24"/>
          </w:rPr>
          <w:t>https://do</w:t>
        </w:r>
        <w:r w:rsidRPr="00B2121E">
          <w:rPr>
            <w:rStyle w:val="Hyperlink"/>
            <w:sz w:val="24"/>
            <w:szCs w:val="24"/>
          </w:rPr>
          <w:t>i</w:t>
        </w:r>
        <w:r w:rsidRPr="00B2121E">
          <w:rPr>
            <w:rStyle w:val="Hyperlink"/>
            <w:sz w:val="24"/>
            <w:szCs w:val="24"/>
          </w:rPr>
          <w:t>.org/10.1101/2020.04.16.045302</w:t>
        </w:r>
      </w:hyperlink>
    </w:p>
    <w:p w14:paraId="386ACF1C" w14:textId="685011C1" w:rsidR="00515395" w:rsidRPr="00726F2F" w:rsidRDefault="00515395" w:rsidP="00B2121E">
      <w:pPr>
        <w:pStyle w:val="ListParagraph"/>
        <w:numPr>
          <w:ilvl w:val="0"/>
          <w:numId w:val="3"/>
        </w:numPr>
        <w:rPr>
          <w:rStyle w:val="Hyperlink"/>
          <w:color w:val="auto"/>
          <w:sz w:val="24"/>
          <w:szCs w:val="24"/>
          <w:u w:val="none"/>
        </w:rPr>
      </w:pPr>
      <w:r w:rsidRPr="00515395">
        <w:rPr>
          <w:sz w:val="24"/>
          <w:szCs w:val="24"/>
        </w:rPr>
        <w:t xml:space="preserve">Hedstrom, L. (2002). Serine protease mechanism and specificity. </w:t>
      </w:r>
      <w:r w:rsidRPr="00515395">
        <w:rPr>
          <w:i/>
          <w:iCs/>
          <w:sz w:val="24"/>
          <w:szCs w:val="24"/>
        </w:rPr>
        <w:t>Chemical reviews</w:t>
      </w:r>
      <w:r w:rsidRPr="00515395">
        <w:rPr>
          <w:sz w:val="24"/>
          <w:szCs w:val="24"/>
        </w:rPr>
        <w:t xml:space="preserve">, </w:t>
      </w:r>
      <w:r w:rsidRPr="00515395">
        <w:rPr>
          <w:i/>
          <w:iCs/>
          <w:sz w:val="24"/>
          <w:szCs w:val="24"/>
        </w:rPr>
        <w:t>102</w:t>
      </w:r>
      <w:r w:rsidRPr="00515395">
        <w:rPr>
          <w:sz w:val="24"/>
          <w:szCs w:val="24"/>
        </w:rPr>
        <w:t>(12), 4501-4524.</w:t>
      </w:r>
    </w:p>
    <w:p w14:paraId="3A2DBA48" w14:textId="6FA018CB" w:rsidR="00726F2F" w:rsidRDefault="00726F2F" w:rsidP="00B2121E">
      <w:pPr>
        <w:pStyle w:val="ListParagraph"/>
        <w:numPr>
          <w:ilvl w:val="0"/>
          <w:numId w:val="3"/>
        </w:numPr>
        <w:rPr>
          <w:sz w:val="24"/>
          <w:szCs w:val="24"/>
        </w:rPr>
      </w:pPr>
      <w:r w:rsidRPr="00726F2F">
        <w:rPr>
          <w:sz w:val="24"/>
          <w:szCs w:val="24"/>
        </w:rPr>
        <w:t xml:space="preserve">Hoffmann, M., Kleine-Weber, H., &amp; Pöhlmann, S. (2020). A multibasic cleavage site in the spike protein of SARS-CoV-2 is essential for infection of human lung cells. </w:t>
      </w:r>
      <w:r w:rsidRPr="00726F2F">
        <w:rPr>
          <w:i/>
          <w:iCs/>
          <w:sz w:val="24"/>
          <w:szCs w:val="24"/>
        </w:rPr>
        <w:t>Molecular Cell</w:t>
      </w:r>
      <w:r w:rsidRPr="00726F2F">
        <w:rPr>
          <w:sz w:val="24"/>
          <w:szCs w:val="24"/>
        </w:rPr>
        <w:t>.</w:t>
      </w:r>
    </w:p>
    <w:p w14:paraId="6BE4288E" w14:textId="7C49891E" w:rsidR="004E5C84" w:rsidRPr="00B2121E" w:rsidRDefault="004E5C84" w:rsidP="00B2121E">
      <w:pPr>
        <w:pStyle w:val="ListParagraph"/>
        <w:numPr>
          <w:ilvl w:val="0"/>
          <w:numId w:val="3"/>
        </w:numPr>
        <w:rPr>
          <w:sz w:val="24"/>
          <w:szCs w:val="24"/>
        </w:rPr>
      </w:pPr>
      <w:r w:rsidRPr="004E5C84">
        <w:rPr>
          <w:sz w:val="24"/>
          <w:szCs w:val="24"/>
        </w:rPr>
        <w:t xml:space="preserve">Hoffmann, M., Hofmann-Winkler, H., &amp; Pöhlmann, S. (2018). Priming time: How cellular proteases arm coronavirus spike proteins. In </w:t>
      </w:r>
      <w:r w:rsidRPr="004E5C84">
        <w:rPr>
          <w:i/>
          <w:iCs/>
          <w:sz w:val="24"/>
          <w:szCs w:val="24"/>
        </w:rPr>
        <w:t>Activation of Viruses by Host Proteases</w:t>
      </w:r>
      <w:r w:rsidRPr="004E5C84">
        <w:rPr>
          <w:sz w:val="24"/>
          <w:szCs w:val="24"/>
        </w:rPr>
        <w:t xml:space="preserve"> (pp. 71-98). Springer, Cham.</w:t>
      </w:r>
    </w:p>
    <w:p w14:paraId="3AAEE715" w14:textId="77777777" w:rsidR="00B2121E" w:rsidRPr="00B2121E" w:rsidRDefault="00B2121E" w:rsidP="00B2121E">
      <w:pPr>
        <w:pStyle w:val="ListParagraph"/>
        <w:numPr>
          <w:ilvl w:val="0"/>
          <w:numId w:val="3"/>
        </w:numPr>
        <w:rPr>
          <w:sz w:val="24"/>
          <w:szCs w:val="24"/>
        </w:rPr>
      </w:pPr>
      <w:r w:rsidRPr="00B2121E">
        <w:rPr>
          <w:sz w:val="24"/>
          <w:szCs w:val="24"/>
        </w:rPr>
        <w:t>Hofmann, H., &amp; Pöhlmann, S. (2004). Cellular entry of the SARS coronavirus. Trends in microbiology, 12(10), 466-472.</w:t>
      </w:r>
    </w:p>
    <w:p w14:paraId="62E3EB5E" w14:textId="77777777" w:rsidR="00B2121E" w:rsidRPr="00B2121E" w:rsidRDefault="00B2121E" w:rsidP="00B2121E">
      <w:pPr>
        <w:pStyle w:val="ListParagraph"/>
        <w:numPr>
          <w:ilvl w:val="0"/>
          <w:numId w:val="3"/>
        </w:numPr>
        <w:rPr>
          <w:sz w:val="24"/>
          <w:szCs w:val="24"/>
        </w:rPr>
      </w:pPr>
      <w:r w:rsidRPr="00B2121E">
        <w:rPr>
          <w:sz w:val="24"/>
          <w:szCs w:val="24"/>
        </w:rPr>
        <w:t>Matsuyama, S., Nao, N., Shirato, K., Kawase, M., Saito, S., Takayama, I., ... &amp; Sakata, M. (2020). Enhanced isolation of SARS-CoV-2 by TMPRSS2-expressing cells. Proceedings of the National Academy of Sciences, 117(13), 7001-7003.</w:t>
      </w:r>
    </w:p>
    <w:p w14:paraId="5CC94DB6" w14:textId="77777777" w:rsidR="00B2121E" w:rsidRPr="00B2121E" w:rsidRDefault="00B2121E" w:rsidP="00B2121E">
      <w:pPr>
        <w:pStyle w:val="ListParagraph"/>
        <w:numPr>
          <w:ilvl w:val="0"/>
          <w:numId w:val="3"/>
        </w:numPr>
        <w:rPr>
          <w:sz w:val="24"/>
          <w:szCs w:val="24"/>
        </w:rPr>
      </w:pPr>
      <w:r w:rsidRPr="00B2121E">
        <w:rPr>
          <w:sz w:val="24"/>
          <w:szCs w:val="24"/>
        </w:rPr>
        <w:t>Meng, T., Cao, H., Zhang, H., Kang, Z., Xu, D., Gong, H., ... &amp; Wei, H. (2020). The insert sequence in SARS-CoV-2 enhances spike protein cleavage by TMPRSS. BioRxiv.</w:t>
      </w:r>
    </w:p>
    <w:p w14:paraId="31B733C8" w14:textId="77777777" w:rsidR="00B2121E" w:rsidRPr="00B2121E" w:rsidRDefault="00B2121E" w:rsidP="00B2121E">
      <w:pPr>
        <w:pStyle w:val="ListParagraph"/>
        <w:numPr>
          <w:ilvl w:val="0"/>
          <w:numId w:val="3"/>
        </w:numPr>
        <w:rPr>
          <w:sz w:val="24"/>
          <w:szCs w:val="24"/>
        </w:rPr>
      </w:pPr>
      <w:r w:rsidRPr="00B2121E">
        <w:rPr>
          <w:sz w:val="24"/>
          <w:szCs w:val="24"/>
        </w:rPr>
        <w:t>Paniri, A., Hosseini, M. M., &amp; Akhavan-Niaki, H. (2020). First comprehensive computational analysis of functional consequences of TMPRSS2 SNPs in susceptibility to SARS-CoV-2 among different populations. Journal of Biomolecular Structure and Dynamics, (just-accepted), 1-18.</w:t>
      </w:r>
    </w:p>
    <w:p w14:paraId="5C4A5260" w14:textId="77777777" w:rsidR="00B2121E" w:rsidRPr="00B2121E" w:rsidRDefault="00B2121E" w:rsidP="00B2121E">
      <w:pPr>
        <w:pStyle w:val="ListParagraph"/>
        <w:numPr>
          <w:ilvl w:val="0"/>
          <w:numId w:val="3"/>
        </w:numPr>
        <w:rPr>
          <w:sz w:val="24"/>
          <w:szCs w:val="24"/>
        </w:rPr>
      </w:pPr>
      <w:r w:rsidRPr="00B2121E">
        <w:rPr>
          <w:sz w:val="24"/>
          <w:szCs w:val="24"/>
        </w:rPr>
        <w:t>Shirato, K., Kawase, M., &amp; Matsuyama, S. (2018</w:t>
      </w:r>
      <w:r w:rsidRPr="00F92EFE">
        <w:rPr>
          <w:i/>
          <w:iCs/>
          <w:sz w:val="24"/>
          <w:szCs w:val="24"/>
        </w:rPr>
        <w:t>). Wild-type human coronaviruses prefer cell-surface TMPRSS2 to endosomal cathepsins for cell entry</w:t>
      </w:r>
      <w:r w:rsidRPr="00B2121E">
        <w:rPr>
          <w:sz w:val="24"/>
          <w:szCs w:val="24"/>
        </w:rPr>
        <w:t>. Virology, 517, 9-15.</w:t>
      </w:r>
    </w:p>
    <w:p w14:paraId="2A471B19" w14:textId="0D3D1F25" w:rsidR="00B2121E" w:rsidRDefault="00B2121E" w:rsidP="00B2121E">
      <w:pPr>
        <w:pStyle w:val="ListParagraph"/>
        <w:numPr>
          <w:ilvl w:val="0"/>
          <w:numId w:val="3"/>
        </w:numPr>
        <w:rPr>
          <w:sz w:val="24"/>
          <w:szCs w:val="24"/>
        </w:rPr>
      </w:pPr>
      <w:r w:rsidRPr="00B2121E">
        <w:rPr>
          <w:sz w:val="24"/>
          <w:szCs w:val="24"/>
        </w:rPr>
        <w:t xml:space="preserve">Shulla, A., Heald-Sargent, T., Subramanya, G., Zhao, J., Perlman, S., &amp; Gallagher, T. (2011). </w:t>
      </w:r>
      <w:r w:rsidRPr="00F92EFE">
        <w:rPr>
          <w:i/>
          <w:iCs/>
          <w:sz w:val="24"/>
          <w:szCs w:val="24"/>
        </w:rPr>
        <w:t>A transmembrane serine protease is linked to the severe acute respiratory syndrome coronavirus receptor and activates virus entry</w:t>
      </w:r>
      <w:r w:rsidRPr="00B2121E">
        <w:rPr>
          <w:sz w:val="24"/>
          <w:szCs w:val="24"/>
        </w:rPr>
        <w:t>. Journal of virology, 85(2), 873-882.</w:t>
      </w:r>
    </w:p>
    <w:p w14:paraId="7CE080F1" w14:textId="1B79775E" w:rsidR="00B2121E" w:rsidRDefault="00B2121E" w:rsidP="00B2121E">
      <w:pPr>
        <w:pStyle w:val="ListParagraph"/>
        <w:numPr>
          <w:ilvl w:val="0"/>
          <w:numId w:val="3"/>
        </w:numPr>
        <w:rPr>
          <w:sz w:val="24"/>
          <w:szCs w:val="24"/>
        </w:rPr>
      </w:pPr>
      <w:r w:rsidRPr="00B2121E">
        <w:rPr>
          <w:sz w:val="24"/>
          <w:szCs w:val="24"/>
        </w:rPr>
        <w:t xml:space="preserve">Walls, A. C., Park, Y. J., Tortorici, M. A., Wall, A., McGuire, A. T., &amp; Veesler, D. (2020). </w:t>
      </w:r>
      <w:r w:rsidRPr="00F92EFE">
        <w:rPr>
          <w:i/>
          <w:iCs/>
          <w:sz w:val="24"/>
          <w:szCs w:val="24"/>
        </w:rPr>
        <w:t>Structure, function, and antigenicity of the SARS-CoV-2 spike glycoprotein</w:t>
      </w:r>
      <w:r w:rsidRPr="00B2121E">
        <w:rPr>
          <w:sz w:val="24"/>
          <w:szCs w:val="24"/>
        </w:rPr>
        <w:t>. Cell.</w:t>
      </w:r>
    </w:p>
    <w:p w14:paraId="3C6FA29E" w14:textId="70FCC06A" w:rsidR="00F92EFE" w:rsidRPr="00F92EFE" w:rsidRDefault="00F92EFE" w:rsidP="00F92EFE">
      <w:pPr>
        <w:pStyle w:val="ListParagraph"/>
        <w:numPr>
          <w:ilvl w:val="0"/>
          <w:numId w:val="3"/>
        </w:numPr>
        <w:rPr>
          <w:sz w:val="24"/>
          <w:szCs w:val="24"/>
        </w:rPr>
      </w:pPr>
      <w:r>
        <w:rPr>
          <w:sz w:val="24"/>
          <w:szCs w:val="24"/>
        </w:rPr>
        <w:t xml:space="preserve">WHO, 2020 Who, </w:t>
      </w:r>
      <w:r w:rsidRPr="00F92EFE">
        <w:rPr>
          <w:i/>
          <w:iCs/>
          <w:sz w:val="24"/>
          <w:szCs w:val="24"/>
        </w:rPr>
        <w:t>Novel Coronavirus(2019-nCoV) Situation Report 182</w:t>
      </w:r>
    </w:p>
    <w:p w14:paraId="6029E451" w14:textId="5AF2E922" w:rsidR="00F92EFE" w:rsidRDefault="001C2897" w:rsidP="00F92EFE">
      <w:pPr>
        <w:pStyle w:val="ListParagraph"/>
        <w:ind w:left="1080"/>
        <w:rPr>
          <w:sz w:val="24"/>
          <w:szCs w:val="24"/>
        </w:rPr>
      </w:pPr>
      <w:hyperlink r:id="rId7" w:history="1">
        <w:r w:rsidRPr="006A2725">
          <w:rPr>
            <w:rStyle w:val="Hyperlink"/>
            <w:sz w:val="24"/>
            <w:szCs w:val="24"/>
          </w:rPr>
          <w:t>https://www.who.int/docs/default-source/coronaviruse/situation-reports/20200720-covid-19-sitrep-182.pdf?sfvrsn=60aabc5c_2</w:t>
        </w:r>
      </w:hyperlink>
    </w:p>
    <w:p w14:paraId="07176ADA" w14:textId="56EB0E0E" w:rsidR="001C2897" w:rsidRPr="00DD79CD" w:rsidRDefault="001C2897" w:rsidP="001C2897">
      <w:pPr>
        <w:pStyle w:val="ListParagraph"/>
        <w:numPr>
          <w:ilvl w:val="0"/>
          <w:numId w:val="3"/>
        </w:numPr>
        <w:rPr>
          <w:sz w:val="24"/>
          <w:szCs w:val="24"/>
        </w:rPr>
      </w:pPr>
      <w:r>
        <w:rPr>
          <w:rFonts w:ascii="&amp;quot" w:hAnsi="&amp;quot"/>
          <w:i/>
          <w:iCs/>
          <w:color w:val="58666E"/>
          <w:sz w:val="21"/>
          <w:szCs w:val="21"/>
        </w:rPr>
        <w:t>Jaime Huerta-Cepas, Damian Szklarczyk, Davide Heller, Ana Hernández-Plaza, Sofia K Forslund, Helen Cook, Daniel R Mende, Ivica Letunic, Thomas Rattei, Lars J Jensen, Christian von Mering, Peer Bork</w:t>
      </w:r>
      <w:r>
        <w:rPr>
          <w:rFonts w:ascii="&amp;quot" w:hAnsi="&amp;quot"/>
          <w:color w:val="58666E"/>
          <w:sz w:val="21"/>
          <w:szCs w:val="21"/>
        </w:rPr>
        <w:t xml:space="preserve">. </w:t>
      </w:r>
      <w:hyperlink r:id="rId8" w:tgtFrame="_blank" w:history="1">
        <w:r>
          <w:rPr>
            <w:rStyle w:val="Hyperlink"/>
            <w:rFonts w:ascii="&amp;quot" w:hAnsi="&amp;quot"/>
            <w:color w:val="363F44"/>
            <w:sz w:val="21"/>
            <w:szCs w:val="21"/>
          </w:rPr>
          <w:t xml:space="preserve">Nucleic Acids Res. 2019 Jan 8; 47(Database issue): D309–D314. doi: 10.1093/nar/gky1085 </w:t>
        </w:r>
      </w:hyperlink>
    </w:p>
    <w:p w14:paraId="12871B23" w14:textId="40EE68FB" w:rsidR="00DD79CD" w:rsidRDefault="00DD79CD" w:rsidP="001C2897">
      <w:pPr>
        <w:pStyle w:val="ListParagraph"/>
        <w:numPr>
          <w:ilvl w:val="0"/>
          <w:numId w:val="3"/>
        </w:numPr>
        <w:rPr>
          <w:sz w:val="24"/>
          <w:szCs w:val="24"/>
        </w:rPr>
      </w:pPr>
      <w:r w:rsidRPr="00DD79CD">
        <w:rPr>
          <w:sz w:val="24"/>
          <w:szCs w:val="24"/>
        </w:rPr>
        <w:lastRenderedPageBreak/>
        <w:t>Sievers F, Higgins DG (2018) Clustal Omega for making accurate alignments of many protein sciences. Protein Sci 27:135-145</w:t>
      </w:r>
    </w:p>
    <w:p w14:paraId="153E3EF3" w14:textId="201C3731" w:rsidR="00A349EC" w:rsidRDefault="00A349EC" w:rsidP="001C2897">
      <w:pPr>
        <w:pStyle w:val="ListParagraph"/>
        <w:numPr>
          <w:ilvl w:val="0"/>
          <w:numId w:val="3"/>
        </w:numPr>
        <w:rPr>
          <w:sz w:val="24"/>
          <w:szCs w:val="24"/>
        </w:rPr>
      </w:pPr>
      <w:r w:rsidRPr="00A349EC">
        <w:rPr>
          <w:sz w:val="24"/>
          <w:szCs w:val="24"/>
        </w:rPr>
        <w:t>Paoloni-Giacobino, A., Chen, H., Peitsch, M. C., Rossier, C., &amp; Antonarakis, S. E. (1997). Cloning of the TMPRSS2 gene, which encodes a novel serine protease with transmembrane, LDLRA, and SRCR domains and maps to 21q22. 3. Genomics, 44(3), 309-320.</w:t>
      </w:r>
    </w:p>
    <w:p w14:paraId="757E0E11" w14:textId="30D609E2" w:rsidR="00A349EC" w:rsidRDefault="00A349EC" w:rsidP="001C2897">
      <w:pPr>
        <w:pStyle w:val="ListParagraph"/>
        <w:numPr>
          <w:ilvl w:val="0"/>
          <w:numId w:val="3"/>
        </w:numPr>
        <w:rPr>
          <w:sz w:val="24"/>
          <w:szCs w:val="24"/>
        </w:rPr>
      </w:pPr>
      <w:r w:rsidRPr="00A349EC">
        <w:rPr>
          <w:sz w:val="24"/>
          <w:szCs w:val="24"/>
        </w:rPr>
        <w:t>Ohno, A., Maita, N., Tabata, T., Nagano, H., Arita, K., Ariyoshi, M., ... &amp; Kishimoto, K. (2020). Cystal structure of inhibitor-bound human MSPL/TMPRSS13 that can activate high pathogenic avian influenza. bioRxiv.</w:t>
      </w:r>
    </w:p>
    <w:p w14:paraId="1E46009D" w14:textId="4AAA9F8C" w:rsidR="007E7C23" w:rsidRPr="00237EE4" w:rsidRDefault="001D171C" w:rsidP="001C2897">
      <w:pPr>
        <w:pStyle w:val="ListParagraph"/>
        <w:numPr>
          <w:ilvl w:val="0"/>
          <w:numId w:val="3"/>
        </w:numPr>
        <w:rPr>
          <w:sz w:val="24"/>
          <w:szCs w:val="24"/>
        </w:rPr>
      </w:pPr>
      <w:r>
        <w:rPr>
          <w:rFonts w:ascii="Verdana" w:hAnsi="Verdana"/>
          <w:color w:val="222222"/>
          <w:shd w:val="clear" w:color="auto" w:fill="FFFFFF"/>
        </w:rPr>
        <w:t>The UniProt Consortium</w:t>
      </w:r>
      <w:r>
        <w:rPr>
          <w:rFonts w:ascii="Verdana" w:hAnsi="Verdana"/>
          <w:color w:val="222222"/>
          <w:sz w:val="20"/>
          <w:szCs w:val="20"/>
        </w:rPr>
        <w:br/>
      </w:r>
      <w:r>
        <w:rPr>
          <w:rStyle w:val="Strong"/>
          <w:rFonts w:ascii="Verdana" w:hAnsi="Verdana"/>
          <w:color w:val="222222"/>
          <w:sz w:val="20"/>
          <w:szCs w:val="20"/>
        </w:rPr>
        <w:t>UniProt: a worldwide hub of protein knowledge</w:t>
      </w:r>
      <w:r>
        <w:rPr>
          <w:rFonts w:ascii="Verdana" w:hAnsi="Verdana"/>
          <w:color w:val="222222"/>
          <w:sz w:val="20"/>
          <w:szCs w:val="20"/>
        </w:rPr>
        <w:br/>
      </w:r>
      <w:hyperlink r:id="rId9" w:history="1">
        <w:r>
          <w:rPr>
            <w:rStyle w:val="Hyperlink"/>
            <w:rFonts w:ascii="Verdana" w:hAnsi="Verdana"/>
            <w:color w:val="00709B"/>
            <w:sz w:val="20"/>
            <w:szCs w:val="20"/>
          </w:rPr>
          <w:t>Nucleic Acids Res. 47: D506-515 (2019)</w:t>
        </w:r>
      </w:hyperlink>
    </w:p>
    <w:p w14:paraId="0EB79D65" w14:textId="440C590B" w:rsidR="00237EE4" w:rsidRPr="00237EE4" w:rsidRDefault="00237EE4" w:rsidP="001C2897">
      <w:pPr>
        <w:pStyle w:val="ListParagraph"/>
        <w:numPr>
          <w:ilvl w:val="0"/>
          <w:numId w:val="3"/>
        </w:numPr>
        <w:rPr>
          <w:sz w:val="24"/>
          <w:szCs w:val="24"/>
        </w:rPr>
      </w:pPr>
      <w:r>
        <w:rPr>
          <w:rStyle w:val="cit-name-surname"/>
          <w:rFonts w:ascii="inherit" w:hAnsi="inherit"/>
          <w:color w:val="191919"/>
          <w:bdr w:val="none" w:sz="0" w:space="0" w:color="auto" w:frame="1"/>
        </w:rPr>
        <w:t>Biasini</w:t>
      </w:r>
      <w:r>
        <w:rPr>
          <w:rStyle w:val="cit-auth"/>
          <w:rFonts w:ascii="inherit" w:hAnsi="inherit"/>
          <w:color w:val="191919"/>
          <w:bdr w:val="none" w:sz="0" w:space="0" w:color="auto" w:frame="1"/>
        </w:rPr>
        <w:t xml:space="preserve">, </w:t>
      </w:r>
      <w:r>
        <w:rPr>
          <w:rStyle w:val="cit-name-given-names"/>
          <w:rFonts w:ascii="inherit" w:hAnsi="inherit"/>
          <w:color w:val="191919"/>
          <w:bdr w:val="none" w:sz="0" w:space="0" w:color="auto" w:frame="1"/>
        </w:rPr>
        <w:t>M.</w:t>
      </w:r>
      <w:r>
        <w:rPr>
          <w:rFonts w:ascii="inherit" w:hAnsi="inherit"/>
          <w:color w:val="191919"/>
          <w:shd w:val="clear" w:color="auto" w:fill="FFFFFF"/>
        </w:rPr>
        <w:t xml:space="preserve"> </w:t>
      </w:r>
      <w:r>
        <w:rPr>
          <w:rStyle w:val="cit-etal"/>
          <w:rFonts w:ascii="inherit" w:hAnsi="inherit"/>
          <w:color w:val="191919"/>
          <w:bdr w:val="none" w:sz="0" w:space="0" w:color="auto" w:frame="1"/>
        </w:rPr>
        <w:t>et al.</w:t>
      </w:r>
      <w:r>
        <w:rPr>
          <w:rFonts w:ascii="inherit" w:hAnsi="inherit"/>
          <w:color w:val="191919"/>
          <w:shd w:val="clear" w:color="auto" w:fill="FFFFFF"/>
        </w:rPr>
        <w:t xml:space="preserve"> </w:t>
      </w:r>
      <w:r>
        <w:rPr>
          <w:rStyle w:val="cit-article-title"/>
          <w:rFonts w:ascii="inherit" w:hAnsi="inherit"/>
          <w:color w:val="191919"/>
          <w:bdr w:val="none" w:sz="0" w:space="0" w:color="auto" w:frame="1"/>
        </w:rPr>
        <w:t>SWISS-MODEL: modelling protein tertiary and quaternary structure using evolutionary information</w:t>
      </w:r>
      <w:r>
        <w:rPr>
          <w:rFonts w:ascii="inherit" w:hAnsi="inherit"/>
          <w:color w:val="191919"/>
          <w:shd w:val="clear" w:color="auto" w:fill="FFFFFF"/>
        </w:rPr>
        <w:t xml:space="preserve">. </w:t>
      </w:r>
      <w:r>
        <w:t>Nucleic acids research</w:t>
      </w:r>
      <w:r>
        <w:rPr>
          <w:rFonts w:ascii="inherit" w:hAnsi="inherit"/>
          <w:color w:val="191919"/>
          <w:shd w:val="clear" w:color="auto" w:fill="FFFFFF"/>
        </w:rPr>
        <w:t xml:space="preserve"> </w:t>
      </w:r>
      <w:r>
        <w:rPr>
          <w:rStyle w:val="cit-vol"/>
          <w:rFonts w:ascii="inherit" w:hAnsi="inherit"/>
          <w:b/>
          <w:bCs/>
          <w:color w:val="191919"/>
          <w:bdr w:val="none" w:sz="0" w:space="0" w:color="auto" w:frame="1"/>
        </w:rPr>
        <w:t>42</w:t>
      </w:r>
      <w:r>
        <w:rPr>
          <w:rFonts w:ascii="inherit" w:hAnsi="inherit"/>
          <w:color w:val="191919"/>
          <w:shd w:val="clear" w:color="auto" w:fill="FFFFFF"/>
        </w:rPr>
        <w:t xml:space="preserve">, </w:t>
      </w:r>
      <w:r>
        <w:rPr>
          <w:rStyle w:val="cit-fpage"/>
          <w:rFonts w:ascii="inherit" w:hAnsi="inherit"/>
          <w:color w:val="191919"/>
          <w:bdr w:val="none" w:sz="0" w:space="0" w:color="auto" w:frame="1"/>
        </w:rPr>
        <w:t>W252</w:t>
      </w:r>
      <w:r>
        <w:rPr>
          <w:rFonts w:ascii="inherit" w:hAnsi="inherit"/>
          <w:color w:val="191919"/>
          <w:shd w:val="clear" w:color="auto" w:fill="FFFFFF"/>
        </w:rPr>
        <w:t>–</w:t>
      </w:r>
      <w:r>
        <w:rPr>
          <w:rStyle w:val="cit-lpage"/>
          <w:rFonts w:ascii="inherit" w:hAnsi="inherit"/>
          <w:color w:val="191919"/>
          <w:bdr w:val="none" w:sz="0" w:space="0" w:color="auto" w:frame="1"/>
        </w:rPr>
        <w:t>258</w:t>
      </w:r>
      <w:r>
        <w:rPr>
          <w:rStyle w:val="cit-pub-id-sep"/>
          <w:rFonts w:ascii="inherit" w:hAnsi="inherit"/>
          <w:color w:val="191919"/>
          <w:bdr w:val="none" w:sz="0" w:space="0" w:color="auto" w:frame="1"/>
        </w:rPr>
        <w:t xml:space="preserve">, </w:t>
      </w:r>
      <w:r>
        <w:rPr>
          <w:rStyle w:val="cit-pub-id-scheme"/>
          <w:rFonts w:ascii="inherit" w:hAnsi="inherit"/>
          <w:color w:val="191919"/>
          <w:bdr w:val="none" w:sz="0" w:space="0" w:color="auto" w:frame="1"/>
        </w:rPr>
        <w:t>doi:</w:t>
      </w:r>
      <w:r>
        <w:rPr>
          <w:rStyle w:val="cit-pub-id"/>
          <w:rFonts w:ascii="inherit" w:hAnsi="inherit"/>
          <w:color w:val="191919"/>
          <w:bdr w:val="none" w:sz="0" w:space="0" w:color="auto" w:frame="1"/>
        </w:rPr>
        <w:t>10.1093/nar/gku340</w:t>
      </w:r>
      <w:r>
        <w:rPr>
          <w:rFonts w:ascii="inherit" w:hAnsi="inherit"/>
          <w:color w:val="191919"/>
          <w:shd w:val="clear" w:color="auto" w:fill="FFFFFF"/>
        </w:rPr>
        <w:t xml:space="preserve"> (</w:t>
      </w:r>
      <w:r>
        <w:rPr>
          <w:rStyle w:val="cit-pub-date"/>
          <w:rFonts w:ascii="inherit" w:hAnsi="inherit"/>
          <w:color w:val="191919"/>
          <w:bdr w:val="none" w:sz="0" w:space="0" w:color="auto" w:frame="1"/>
        </w:rPr>
        <w:t>2014</w:t>
      </w:r>
      <w:r>
        <w:rPr>
          <w:rFonts w:ascii="inherit" w:hAnsi="inherit"/>
          <w:color w:val="191919"/>
          <w:shd w:val="clear" w:color="auto" w:fill="FFFFFF"/>
        </w:rPr>
        <w:t>).</w:t>
      </w:r>
    </w:p>
    <w:p w14:paraId="28C0E373" w14:textId="0598EA19" w:rsidR="00237EE4" w:rsidRDefault="00237EE4" w:rsidP="001C2897">
      <w:pPr>
        <w:pStyle w:val="ListParagraph"/>
        <w:numPr>
          <w:ilvl w:val="0"/>
          <w:numId w:val="3"/>
        </w:numPr>
        <w:rPr>
          <w:sz w:val="24"/>
          <w:szCs w:val="24"/>
        </w:rPr>
      </w:pPr>
      <w:r w:rsidRPr="00237EE4">
        <w:rPr>
          <w:sz w:val="24"/>
          <w:szCs w:val="24"/>
        </w:rPr>
        <w:t>The PyMOL Molecular Graphics System, Version 2.0 Schrödinger, LLC. https://pymol.org/2/ (2020).</w:t>
      </w:r>
    </w:p>
    <w:p w14:paraId="565983C4" w14:textId="28B14B03" w:rsidR="004F23B7" w:rsidRDefault="004F23B7" w:rsidP="001C2897">
      <w:pPr>
        <w:pStyle w:val="ListParagraph"/>
        <w:numPr>
          <w:ilvl w:val="0"/>
          <w:numId w:val="3"/>
        </w:numPr>
        <w:rPr>
          <w:sz w:val="24"/>
          <w:szCs w:val="24"/>
        </w:rPr>
      </w:pPr>
      <w:r w:rsidRPr="004F23B7">
        <w:rPr>
          <w:sz w:val="24"/>
          <w:szCs w:val="24"/>
        </w:rPr>
        <w:t>Iwata-Yoshikawa, N., Okamura, T., Shimizu, Y., Hasegawa, H., Takeda, M., &amp; Nagata, N. (2019). TMPRSS2 contributes to virus spread and immunopathology in the airways of murine models after coronavirus infection. Journal of virology, 93(6).</w:t>
      </w:r>
    </w:p>
    <w:p w14:paraId="34976ABD" w14:textId="74B04060" w:rsidR="004F23B7" w:rsidRPr="001C2897" w:rsidRDefault="004F23B7" w:rsidP="001C2897">
      <w:pPr>
        <w:pStyle w:val="ListParagraph"/>
        <w:numPr>
          <w:ilvl w:val="0"/>
          <w:numId w:val="3"/>
        </w:numPr>
        <w:rPr>
          <w:sz w:val="24"/>
          <w:szCs w:val="24"/>
        </w:rPr>
      </w:pPr>
      <w:r w:rsidRPr="004F23B7">
        <w:rPr>
          <w:sz w:val="24"/>
          <w:szCs w:val="24"/>
        </w:rPr>
        <w:t>Matsuyama, S., Nagata, N., Shirato, K., Kawase, M., Takeda, M., &amp; Taguchi, F. (2010). Efficient activation of the severe acute respiratory syndrome coronavirus spike protein by the transmembrane protease TMPRSS2. Journal of virology, 84(24), 12658-12664.</w:t>
      </w:r>
    </w:p>
    <w:p w14:paraId="0BACC410" w14:textId="77777777" w:rsidR="001C2897" w:rsidRPr="00B2121E" w:rsidRDefault="001C2897" w:rsidP="00F92EFE">
      <w:pPr>
        <w:pStyle w:val="ListParagraph"/>
        <w:ind w:left="1080"/>
        <w:rPr>
          <w:sz w:val="24"/>
          <w:szCs w:val="24"/>
        </w:rPr>
      </w:pPr>
    </w:p>
    <w:p w14:paraId="3F68D4DF" w14:textId="064C74CE" w:rsidR="00A16CC8" w:rsidRDefault="00A16CC8">
      <w:pPr>
        <w:ind w:left="360"/>
        <w:rPr>
          <w:sz w:val="24"/>
          <w:szCs w:val="24"/>
        </w:rPr>
      </w:pPr>
    </w:p>
    <w:p w14:paraId="3E29BABC" w14:textId="77777777" w:rsidR="00A16CC8" w:rsidRDefault="00A16CC8">
      <w:pPr>
        <w:rPr>
          <w:sz w:val="24"/>
          <w:szCs w:val="24"/>
        </w:rPr>
      </w:pPr>
      <w:r>
        <w:rPr>
          <w:sz w:val="24"/>
          <w:szCs w:val="24"/>
        </w:rPr>
        <w:br w:type="page"/>
      </w:r>
    </w:p>
    <w:p w14:paraId="1461C843" w14:textId="1A87FCB6" w:rsidR="00885E7E" w:rsidRDefault="00A16CC8">
      <w:pPr>
        <w:ind w:left="360"/>
        <w:rPr>
          <w:sz w:val="24"/>
          <w:szCs w:val="24"/>
        </w:rPr>
      </w:pPr>
      <w:r>
        <w:rPr>
          <w:sz w:val="24"/>
          <w:szCs w:val="24"/>
        </w:rPr>
        <w:lastRenderedPageBreak/>
        <w:t>Notes.</w:t>
      </w:r>
    </w:p>
    <w:p w14:paraId="6DF69A0C" w14:textId="6367CE17" w:rsidR="00A16CC8" w:rsidRDefault="00A16CC8">
      <w:pPr>
        <w:ind w:left="360"/>
        <w:rPr>
          <w:sz w:val="24"/>
          <w:szCs w:val="24"/>
        </w:rPr>
      </w:pPr>
      <w:r>
        <w:rPr>
          <w:sz w:val="24"/>
          <w:szCs w:val="24"/>
        </w:rPr>
        <w:t xml:space="preserve">Partial cleavage can be accomplished by using enzymes, such as trypsin and chymotrypsin, that break bonds between specific amino acids. </w:t>
      </w:r>
    </w:p>
    <w:p w14:paraId="205A37C7" w14:textId="4FA3AD81" w:rsidR="00A16CC8" w:rsidRDefault="00A16CC8" w:rsidP="00A16CC8">
      <w:pPr>
        <w:pStyle w:val="ListParagraph"/>
        <w:numPr>
          <w:ilvl w:val="0"/>
          <w:numId w:val="4"/>
        </w:numPr>
        <w:rPr>
          <w:sz w:val="24"/>
          <w:szCs w:val="24"/>
        </w:rPr>
      </w:pPr>
      <w:r>
        <w:rPr>
          <w:sz w:val="24"/>
          <w:szCs w:val="24"/>
        </w:rPr>
        <w:t>Trypsin: Cleaves the chain at the carboxyl groups of the basic amino acids lysine and arginine.</w:t>
      </w:r>
      <w:r w:rsidR="007031FF">
        <w:rPr>
          <w:sz w:val="24"/>
          <w:szCs w:val="24"/>
        </w:rPr>
        <w:t xml:space="preserve"> The cleavage takes place in such a way that the amino acid with the charged side chain ends up at the C-terminal end of one of the peptides produced by the reaction. A peptide can be automatically identified as the C-terminal end of the original chain if its C-terminal amino acid is not a site of cleavage.</w:t>
      </w:r>
    </w:p>
    <w:p w14:paraId="4C7C1448" w14:textId="1D4D8BA8" w:rsidR="00A16CC8" w:rsidRDefault="00A16CC8" w:rsidP="00A16CC8">
      <w:pPr>
        <w:pStyle w:val="ListParagraph"/>
        <w:numPr>
          <w:ilvl w:val="0"/>
          <w:numId w:val="4"/>
        </w:numPr>
        <w:rPr>
          <w:sz w:val="24"/>
          <w:szCs w:val="24"/>
        </w:rPr>
      </w:pPr>
      <w:r>
        <w:rPr>
          <w:sz w:val="24"/>
          <w:szCs w:val="24"/>
        </w:rPr>
        <w:t>Chymotryspin: Cleaves the chain at the carboxyl groups of the aromatic amino acids phenylalanine, tyrosine, and tryptophan.</w:t>
      </w:r>
    </w:p>
    <w:p w14:paraId="42F36D12" w14:textId="28EDCF10" w:rsidR="007031FF" w:rsidRDefault="007031FF" w:rsidP="00A16CC8">
      <w:pPr>
        <w:pStyle w:val="ListParagraph"/>
        <w:numPr>
          <w:ilvl w:val="0"/>
          <w:numId w:val="4"/>
        </w:numPr>
        <w:rPr>
          <w:sz w:val="24"/>
          <w:szCs w:val="24"/>
        </w:rPr>
      </w:pPr>
      <w:r>
        <w:rPr>
          <w:sz w:val="24"/>
          <w:szCs w:val="24"/>
        </w:rPr>
        <w:t>Protein domain- a conserved part of a given protein sequence and tertiary structure that can evolve, function, and exist independently of the rest of the protein chain.</w:t>
      </w:r>
    </w:p>
    <w:p w14:paraId="462D6A69" w14:textId="5AC201C7" w:rsidR="00BB6C9F" w:rsidRDefault="00BB6C9F" w:rsidP="00A16CC8">
      <w:pPr>
        <w:pStyle w:val="ListParagraph"/>
        <w:numPr>
          <w:ilvl w:val="0"/>
          <w:numId w:val="4"/>
        </w:numPr>
        <w:rPr>
          <w:sz w:val="24"/>
          <w:szCs w:val="24"/>
        </w:rPr>
      </w:pPr>
      <w:r>
        <w:rPr>
          <w:sz w:val="24"/>
          <w:szCs w:val="24"/>
        </w:rPr>
        <w:t>Quaternary structure is the final level of protein structure which is formed by two or more polypeptide chains. Each chain is termed a subunit of the structure.</w:t>
      </w:r>
    </w:p>
    <w:p w14:paraId="5C6BDCC0" w14:textId="360A962B" w:rsidR="00BB6C9F" w:rsidRDefault="00BB6C9F" w:rsidP="00BB6C9F">
      <w:pPr>
        <w:pStyle w:val="ListParagraph"/>
        <w:numPr>
          <w:ilvl w:val="1"/>
          <w:numId w:val="4"/>
        </w:numPr>
        <w:rPr>
          <w:sz w:val="24"/>
          <w:szCs w:val="24"/>
        </w:rPr>
      </w:pPr>
      <w:r>
        <w:rPr>
          <w:sz w:val="24"/>
          <w:szCs w:val="24"/>
        </w:rPr>
        <w:t xml:space="preserve">Dimers, trimers, tetramers, consist </w:t>
      </w:r>
      <w:r w:rsidR="006D05C5">
        <w:rPr>
          <w:sz w:val="24"/>
          <w:szCs w:val="24"/>
        </w:rPr>
        <w:t>of</w:t>
      </w:r>
      <w:r>
        <w:rPr>
          <w:sz w:val="24"/>
          <w:szCs w:val="24"/>
        </w:rPr>
        <w:t xml:space="preserve"> two, three, and four polypeptide chains, respectively.</w:t>
      </w:r>
    </w:p>
    <w:p w14:paraId="62ED25BF" w14:textId="7235680A" w:rsidR="00BB6C9F" w:rsidRDefault="00BB6C9F" w:rsidP="00BB6C9F">
      <w:pPr>
        <w:pStyle w:val="ListParagraph"/>
        <w:numPr>
          <w:ilvl w:val="1"/>
          <w:numId w:val="4"/>
        </w:numPr>
        <w:rPr>
          <w:sz w:val="24"/>
          <w:szCs w:val="24"/>
        </w:rPr>
      </w:pPr>
      <w:r>
        <w:rPr>
          <w:sz w:val="24"/>
          <w:szCs w:val="24"/>
        </w:rPr>
        <w:t xml:space="preserve">Oligomer- an aggregate of several smaller units (monomers); bonding </w:t>
      </w:r>
      <w:r w:rsidR="00DA2033">
        <w:rPr>
          <w:sz w:val="24"/>
          <w:szCs w:val="24"/>
        </w:rPr>
        <w:t xml:space="preserve">may be covalent or noncovalent. </w:t>
      </w:r>
    </w:p>
    <w:p w14:paraId="05E543A5" w14:textId="691D8366" w:rsidR="00DA2033" w:rsidRDefault="00DA2033" w:rsidP="00DA2033">
      <w:pPr>
        <w:pStyle w:val="ListParagraph"/>
        <w:numPr>
          <w:ilvl w:val="2"/>
          <w:numId w:val="4"/>
        </w:numPr>
        <w:rPr>
          <w:sz w:val="24"/>
          <w:szCs w:val="24"/>
        </w:rPr>
      </w:pPr>
      <w:r>
        <w:rPr>
          <w:sz w:val="24"/>
          <w:szCs w:val="24"/>
        </w:rPr>
        <w:t>Chains with noncovalent bond result in subtle changes that can alter the structure at one site of the protein molecule. This is known as allosteric hindess, which can cause conformational change in one subunit that induces a change in another subunit.</w:t>
      </w:r>
    </w:p>
    <w:p w14:paraId="2822495D" w14:textId="696FB788" w:rsidR="00DA2033" w:rsidRDefault="00C60A4A" w:rsidP="00DA2033">
      <w:pPr>
        <w:pStyle w:val="ListParagraph"/>
        <w:numPr>
          <w:ilvl w:val="0"/>
          <w:numId w:val="4"/>
        </w:numPr>
        <w:rPr>
          <w:sz w:val="24"/>
          <w:szCs w:val="24"/>
        </w:rPr>
      </w:pPr>
      <w:r>
        <w:rPr>
          <w:sz w:val="24"/>
          <w:szCs w:val="24"/>
        </w:rPr>
        <w:t xml:space="preserve">Consensus Sequences- DNA sequences to which RNA polymerase binds; they are identical in many organisms </w:t>
      </w:r>
    </w:p>
    <w:p w14:paraId="7DE0DBA2" w14:textId="3C1768D5" w:rsidR="000D1D2C" w:rsidRDefault="000D1D2C" w:rsidP="00DA2033">
      <w:pPr>
        <w:pStyle w:val="ListParagraph"/>
        <w:numPr>
          <w:ilvl w:val="0"/>
          <w:numId w:val="4"/>
        </w:numPr>
        <w:rPr>
          <w:sz w:val="24"/>
          <w:szCs w:val="24"/>
        </w:rPr>
      </w:pPr>
      <w:r>
        <w:rPr>
          <w:sz w:val="24"/>
          <w:szCs w:val="24"/>
        </w:rPr>
        <w:t xml:space="preserve">Protein kinases- a class of enzymes that modify a protein by </w:t>
      </w:r>
      <w:r w:rsidR="006D05C5">
        <w:rPr>
          <w:sz w:val="24"/>
          <w:szCs w:val="24"/>
        </w:rPr>
        <w:t>attaching</w:t>
      </w:r>
      <w:r>
        <w:rPr>
          <w:sz w:val="24"/>
          <w:szCs w:val="24"/>
        </w:rPr>
        <w:t xml:space="preserve"> a phosphate group to it</w:t>
      </w:r>
    </w:p>
    <w:p w14:paraId="0B9715E3" w14:textId="51994AB8" w:rsidR="006D05C5" w:rsidRDefault="001E659D" w:rsidP="00DA2033">
      <w:pPr>
        <w:pStyle w:val="ListParagraph"/>
        <w:numPr>
          <w:ilvl w:val="0"/>
          <w:numId w:val="4"/>
        </w:numPr>
        <w:rPr>
          <w:sz w:val="24"/>
          <w:szCs w:val="24"/>
        </w:rPr>
      </w:pPr>
      <w:r w:rsidRPr="001E659D">
        <w:rPr>
          <w:sz w:val="24"/>
          <w:szCs w:val="24"/>
        </w:rPr>
        <w:t>I hypothesis that variation in the serine domain of TMPRSS2 will have an adverse effect on cross-species transmission</w:t>
      </w:r>
      <w:r>
        <w:rPr>
          <w:sz w:val="24"/>
          <w:szCs w:val="24"/>
        </w:rPr>
        <w:t xml:space="preserve"> of COVID-19. Specifically focusing on</w:t>
      </w:r>
      <w:r w:rsidR="00E82C51">
        <w:rPr>
          <w:sz w:val="24"/>
          <w:szCs w:val="24"/>
        </w:rPr>
        <w:t xml:space="preserve"> domesticated animal’s TMPRSS2 amino acid sequence. Protein folding and bonding affinity play a critical role in determining the cleavage potential for the proteolytic domain of TMPRSS2.</w:t>
      </w:r>
    </w:p>
    <w:p w14:paraId="00D4561B" w14:textId="2394AC80" w:rsidR="0034350A" w:rsidRDefault="0034350A" w:rsidP="0034350A">
      <w:pPr>
        <w:rPr>
          <w:sz w:val="24"/>
          <w:szCs w:val="24"/>
        </w:rPr>
      </w:pPr>
      <w:r>
        <w:rPr>
          <w:sz w:val="24"/>
          <w:szCs w:val="24"/>
        </w:rPr>
        <w:t>Interpreting Data</w:t>
      </w:r>
    </w:p>
    <w:p w14:paraId="19AA750E" w14:textId="6F894632" w:rsidR="0034350A" w:rsidRDefault="0034350A" w:rsidP="0034350A">
      <w:pPr>
        <w:rPr>
          <w:sz w:val="24"/>
          <w:szCs w:val="24"/>
        </w:rPr>
      </w:pPr>
      <w:r>
        <w:rPr>
          <w:sz w:val="24"/>
          <w:szCs w:val="24"/>
        </w:rPr>
        <w:t xml:space="preserve">Hypothesis- </w:t>
      </w:r>
      <w:r w:rsidRPr="0021252F">
        <w:rPr>
          <w:sz w:val="24"/>
          <w:szCs w:val="24"/>
        </w:rPr>
        <w:t>This study aims to characterize cross-species variants of TMPRSS2 and its potential to cleave deviates of S proteins in silico. We hypothesize that TMPRSS2-like endoprotease aids in the spillover of SARS-CoV-2 to alternate host by cleav</w:t>
      </w:r>
      <w:r>
        <w:rPr>
          <w:sz w:val="24"/>
          <w:szCs w:val="24"/>
        </w:rPr>
        <w:t>ing S protein subunits</w:t>
      </w:r>
      <w:r w:rsidRPr="0021252F">
        <w:rPr>
          <w:sz w:val="24"/>
          <w:szCs w:val="24"/>
        </w:rPr>
        <w:t>.</w:t>
      </w:r>
    </w:p>
    <w:p w14:paraId="0056E64D" w14:textId="4074D454" w:rsidR="0034350A" w:rsidRDefault="0034350A" w:rsidP="0034350A">
      <w:pPr>
        <w:pStyle w:val="ListParagraph"/>
        <w:numPr>
          <w:ilvl w:val="0"/>
          <w:numId w:val="6"/>
        </w:numPr>
        <w:rPr>
          <w:sz w:val="24"/>
          <w:szCs w:val="24"/>
        </w:rPr>
      </w:pPr>
      <w:r>
        <w:rPr>
          <w:sz w:val="24"/>
          <w:szCs w:val="24"/>
        </w:rPr>
        <w:t>Compare the similarity of each animal sequence to the human strain</w:t>
      </w:r>
    </w:p>
    <w:p w14:paraId="5D0280A4" w14:textId="6D34BB49" w:rsidR="0034350A" w:rsidRDefault="0034350A" w:rsidP="0034350A">
      <w:pPr>
        <w:pStyle w:val="ListParagraph"/>
        <w:numPr>
          <w:ilvl w:val="1"/>
          <w:numId w:val="6"/>
        </w:numPr>
        <w:rPr>
          <w:sz w:val="24"/>
          <w:szCs w:val="24"/>
        </w:rPr>
      </w:pPr>
      <w:r>
        <w:rPr>
          <w:sz w:val="24"/>
          <w:szCs w:val="24"/>
        </w:rPr>
        <w:lastRenderedPageBreak/>
        <w:t xml:space="preserve">If the similarity of each sequence is high that means that TMPRSS2 has a highly conserved sequence meaning that </w:t>
      </w:r>
      <w:r w:rsidR="00EC52BE">
        <w:rPr>
          <w:sz w:val="24"/>
          <w:szCs w:val="24"/>
        </w:rPr>
        <w:t>cells supporting TMPRSS2 are susceptible to SARS-CoV-19</w:t>
      </w:r>
    </w:p>
    <w:p w14:paraId="2ABBB5C5" w14:textId="77777777" w:rsidR="0034350A" w:rsidRDefault="0034350A" w:rsidP="0034350A">
      <w:pPr>
        <w:pStyle w:val="ListParagraph"/>
        <w:numPr>
          <w:ilvl w:val="0"/>
          <w:numId w:val="6"/>
        </w:numPr>
        <w:rPr>
          <w:sz w:val="24"/>
          <w:szCs w:val="24"/>
        </w:rPr>
      </w:pPr>
      <w:r>
        <w:rPr>
          <w:sz w:val="24"/>
          <w:szCs w:val="24"/>
        </w:rPr>
        <w:t>Look at the residues of interest and count the frequency of each</w:t>
      </w:r>
    </w:p>
    <w:p w14:paraId="5DEA2807" w14:textId="05F8002F" w:rsidR="0034350A" w:rsidRDefault="00EC52BE" w:rsidP="0034350A">
      <w:pPr>
        <w:pStyle w:val="ListParagraph"/>
        <w:numPr>
          <w:ilvl w:val="1"/>
          <w:numId w:val="6"/>
        </w:numPr>
        <w:rPr>
          <w:sz w:val="24"/>
          <w:szCs w:val="24"/>
        </w:rPr>
      </w:pPr>
      <w:r>
        <w:rPr>
          <w:sz w:val="24"/>
          <w:szCs w:val="24"/>
        </w:rPr>
        <w:t>Will give an assumption of the cleavage efficiency for TMPRSS2</w:t>
      </w:r>
    </w:p>
    <w:p w14:paraId="3F763F53" w14:textId="162BBB2E" w:rsidR="0034350A" w:rsidRDefault="0034350A" w:rsidP="0034350A">
      <w:pPr>
        <w:pStyle w:val="ListParagraph"/>
        <w:numPr>
          <w:ilvl w:val="0"/>
          <w:numId w:val="6"/>
        </w:numPr>
        <w:rPr>
          <w:sz w:val="24"/>
          <w:szCs w:val="24"/>
        </w:rPr>
      </w:pPr>
      <w:r>
        <w:rPr>
          <w:sz w:val="24"/>
          <w:szCs w:val="24"/>
        </w:rPr>
        <w:t xml:space="preserve">See the mutation rate among the species of interest </w:t>
      </w:r>
    </w:p>
    <w:p w14:paraId="26B89EB7" w14:textId="74C805FD" w:rsidR="00EC52BE" w:rsidRDefault="00EC52BE" w:rsidP="00EC52BE">
      <w:pPr>
        <w:pStyle w:val="ListParagraph"/>
        <w:numPr>
          <w:ilvl w:val="1"/>
          <w:numId w:val="6"/>
        </w:numPr>
        <w:rPr>
          <w:sz w:val="24"/>
          <w:szCs w:val="24"/>
        </w:rPr>
      </w:pPr>
      <w:r>
        <w:rPr>
          <w:sz w:val="24"/>
          <w:szCs w:val="24"/>
        </w:rPr>
        <w:t xml:space="preserve">Will track the evolution of TMPRSS2 which will give an estimate for its ability to alter cleavage potential </w:t>
      </w:r>
    </w:p>
    <w:p w14:paraId="689EEAA3" w14:textId="7803AF9B" w:rsidR="0034350A" w:rsidRPr="0034350A" w:rsidRDefault="0034350A" w:rsidP="0034350A">
      <w:pPr>
        <w:pStyle w:val="ListParagraph"/>
        <w:numPr>
          <w:ilvl w:val="0"/>
          <w:numId w:val="6"/>
        </w:numPr>
        <w:rPr>
          <w:sz w:val="24"/>
          <w:szCs w:val="24"/>
        </w:rPr>
      </w:pPr>
      <w:r>
        <w:rPr>
          <w:sz w:val="24"/>
          <w:szCs w:val="24"/>
        </w:rPr>
        <w:t xml:space="preserve">If there is a change in amino acid, what kind of change is it (volume, hydrophobicity, percent buried </w:t>
      </w:r>
    </w:p>
    <w:p w14:paraId="1E66F5AD" w14:textId="18B3C0AE" w:rsidR="00F463E8" w:rsidRDefault="00F463E8" w:rsidP="00F463E8">
      <w:pPr>
        <w:rPr>
          <w:sz w:val="24"/>
          <w:szCs w:val="24"/>
        </w:rPr>
      </w:pPr>
      <w:r>
        <w:rPr>
          <w:sz w:val="24"/>
          <w:szCs w:val="24"/>
        </w:rPr>
        <w:t>Code</w:t>
      </w:r>
    </w:p>
    <w:p w14:paraId="42F390E1" w14:textId="32DE858E" w:rsidR="00F463E8" w:rsidRDefault="00F463E8" w:rsidP="00F463E8">
      <w:pPr>
        <w:pStyle w:val="ListParagraph"/>
        <w:numPr>
          <w:ilvl w:val="0"/>
          <w:numId w:val="5"/>
        </w:numPr>
        <w:rPr>
          <w:sz w:val="24"/>
          <w:szCs w:val="24"/>
        </w:rPr>
      </w:pPr>
      <w:r>
        <w:rPr>
          <w:sz w:val="24"/>
          <w:szCs w:val="24"/>
        </w:rPr>
        <w:t xml:space="preserve">I want to compare two alignment sequences to return both similarities and differences with their positions labeled </w:t>
      </w:r>
    </w:p>
    <w:p w14:paraId="1DB66BAF" w14:textId="06400B71" w:rsidR="00F463E8" w:rsidRDefault="00F463E8" w:rsidP="00F463E8">
      <w:pPr>
        <w:pStyle w:val="ListParagraph"/>
        <w:numPr>
          <w:ilvl w:val="0"/>
          <w:numId w:val="5"/>
        </w:numPr>
        <w:rPr>
          <w:sz w:val="24"/>
          <w:szCs w:val="24"/>
        </w:rPr>
      </w:pPr>
      <w:r>
        <w:rPr>
          <w:sz w:val="24"/>
          <w:szCs w:val="24"/>
        </w:rPr>
        <w:t xml:space="preserve">I want to pull a particular </w:t>
      </w:r>
      <w:r>
        <w:rPr>
          <w:i/>
          <w:iCs/>
          <w:sz w:val="24"/>
          <w:szCs w:val="24"/>
        </w:rPr>
        <w:t xml:space="preserve">species </w:t>
      </w:r>
      <w:r>
        <w:rPr>
          <w:sz w:val="24"/>
          <w:szCs w:val="24"/>
        </w:rPr>
        <w:t xml:space="preserve"> from the </w:t>
      </w:r>
      <w:r w:rsidR="003C1AA5">
        <w:rPr>
          <w:sz w:val="24"/>
          <w:szCs w:val="24"/>
        </w:rPr>
        <w:t>main list of species and place it as a variable</w:t>
      </w:r>
    </w:p>
    <w:p w14:paraId="6B17B1BE" w14:textId="248FBF0F" w:rsidR="003C1AA5" w:rsidRDefault="003C1AA5" w:rsidP="003C1AA5">
      <w:pPr>
        <w:pStyle w:val="ListParagraph"/>
        <w:numPr>
          <w:ilvl w:val="0"/>
          <w:numId w:val="5"/>
        </w:numPr>
        <w:rPr>
          <w:sz w:val="24"/>
          <w:szCs w:val="24"/>
        </w:rPr>
      </w:pPr>
      <w:r>
        <w:rPr>
          <w:sz w:val="24"/>
          <w:szCs w:val="24"/>
        </w:rPr>
        <w:t>Run a multisequence alignment on the species to find the consensus sequence in the  Desired species list (DS</w:t>
      </w:r>
      <w:r w:rsidRPr="003C1AA5">
        <w:rPr>
          <w:sz w:val="24"/>
          <w:szCs w:val="24"/>
        </w:rPr>
        <w:t>)</w:t>
      </w:r>
    </w:p>
    <w:p w14:paraId="39A175FF" w14:textId="66B8B425" w:rsidR="003C1AA5" w:rsidRDefault="006117A5" w:rsidP="003C1AA5">
      <w:pPr>
        <w:pStyle w:val="ListParagraph"/>
        <w:numPr>
          <w:ilvl w:val="0"/>
          <w:numId w:val="5"/>
        </w:numPr>
        <w:rPr>
          <w:sz w:val="24"/>
          <w:szCs w:val="24"/>
        </w:rPr>
      </w:pPr>
      <w:r>
        <w:rPr>
          <w:sz w:val="24"/>
          <w:szCs w:val="24"/>
        </w:rPr>
        <w:t xml:space="preserve">Take the position of the DS that matches with the positions of the trimmed Human sequence </w:t>
      </w:r>
    </w:p>
    <w:p w14:paraId="56E3E7DA" w14:textId="5D81BC8C" w:rsidR="006117A5" w:rsidRDefault="006117A5" w:rsidP="003C1AA5">
      <w:pPr>
        <w:pStyle w:val="ListParagraph"/>
        <w:numPr>
          <w:ilvl w:val="0"/>
          <w:numId w:val="5"/>
        </w:numPr>
        <w:rPr>
          <w:sz w:val="24"/>
          <w:szCs w:val="24"/>
        </w:rPr>
      </w:pPr>
      <w:r>
        <w:rPr>
          <w:sz w:val="24"/>
          <w:szCs w:val="24"/>
        </w:rPr>
        <w:t>Convert the DS consensus sequence to a SeqRecord to compare to the human sequence</w:t>
      </w:r>
    </w:p>
    <w:p w14:paraId="552B25DE" w14:textId="4121F779" w:rsidR="006117A5" w:rsidRDefault="006117A5" w:rsidP="003C1AA5">
      <w:pPr>
        <w:pStyle w:val="ListParagraph"/>
        <w:numPr>
          <w:ilvl w:val="0"/>
          <w:numId w:val="5"/>
        </w:numPr>
        <w:rPr>
          <w:sz w:val="24"/>
          <w:szCs w:val="24"/>
        </w:rPr>
      </w:pPr>
      <w:r>
        <w:rPr>
          <w:sz w:val="24"/>
          <w:szCs w:val="24"/>
        </w:rPr>
        <w:t>Run a multiple sequence alignment of both DS and human</w:t>
      </w:r>
    </w:p>
    <w:p w14:paraId="67328599" w14:textId="45E07EB3" w:rsidR="006117A5" w:rsidRDefault="006117A5" w:rsidP="003C1AA5">
      <w:pPr>
        <w:pStyle w:val="ListParagraph"/>
        <w:numPr>
          <w:ilvl w:val="0"/>
          <w:numId w:val="5"/>
        </w:numPr>
        <w:rPr>
          <w:sz w:val="24"/>
          <w:szCs w:val="24"/>
        </w:rPr>
      </w:pPr>
      <w:r>
        <w:rPr>
          <w:sz w:val="24"/>
          <w:szCs w:val="24"/>
        </w:rPr>
        <w:t xml:space="preserve">Find the frequency of changes at specific sequence locations compare to the human sequence </w:t>
      </w:r>
    </w:p>
    <w:p w14:paraId="506980F4" w14:textId="46F19F5E" w:rsidR="006117A5" w:rsidRDefault="006117A5" w:rsidP="006117A5">
      <w:pPr>
        <w:pStyle w:val="ListParagraph"/>
        <w:numPr>
          <w:ilvl w:val="1"/>
          <w:numId w:val="5"/>
        </w:numPr>
        <w:rPr>
          <w:sz w:val="24"/>
          <w:szCs w:val="24"/>
        </w:rPr>
      </w:pPr>
      <w:r w:rsidRPr="006117A5">
        <w:rPr>
          <w:sz w:val="24"/>
          <w:szCs w:val="24"/>
        </w:rPr>
        <w:t>Find out if these changes result in changes in amino acid properties (specifically hydrophobic to hydrophilic or basic to ac</w:t>
      </w:r>
      <w:r>
        <w:rPr>
          <w:sz w:val="24"/>
          <w:szCs w:val="24"/>
        </w:rPr>
        <w:t>id</w:t>
      </w:r>
      <w:r w:rsidR="003E2FF8">
        <w:rPr>
          <w:sz w:val="24"/>
          <w:szCs w:val="24"/>
        </w:rPr>
        <w:t>)</w:t>
      </w:r>
    </w:p>
    <w:p w14:paraId="3E7BB0E4" w14:textId="5E2AEE3B" w:rsidR="003E2FF8" w:rsidRPr="006117A5" w:rsidRDefault="003E2FF8" w:rsidP="006117A5">
      <w:pPr>
        <w:pStyle w:val="ListParagraph"/>
        <w:numPr>
          <w:ilvl w:val="1"/>
          <w:numId w:val="5"/>
        </w:numPr>
        <w:rPr>
          <w:sz w:val="24"/>
          <w:szCs w:val="24"/>
        </w:rPr>
      </w:pPr>
      <w:r>
        <w:rPr>
          <w:sz w:val="24"/>
          <w:szCs w:val="24"/>
        </w:rPr>
        <w:t xml:space="preserve">Also find other differences in the amino sequence such as changes in disulfide bonding </w:t>
      </w:r>
    </w:p>
    <w:p w14:paraId="69A5E8B9" w14:textId="709897EE" w:rsidR="006117A5" w:rsidRDefault="006117A5" w:rsidP="003C1AA5">
      <w:pPr>
        <w:pStyle w:val="ListParagraph"/>
        <w:numPr>
          <w:ilvl w:val="0"/>
          <w:numId w:val="5"/>
        </w:numPr>
        <w:rPr>
          <w:sz w:val="24"/>
          <w:szCs w:val="24"/>
        </w:rPr>
      </w:pPr>
      <w:r>
        <w:rPr>
          <w:sz w:val="24"/>
          <w:szCs w:val="24"/>
        </w:rPr>
        <w:t xml:space="preserve">Find the similarities in the two sequences and record the position of those similarities </w:t>
      </w:r>
    </w:p>
    <w:p w14:paraId="2909884A" w14:textId="27BEC589" w:rsidR="006117A5" w:rsidRPr="003C1AA5" w:rsidRDefault="006117A5" w:rsidP="006117A5">
      <w:pPr>
        <w:pStyle w:val="ListParagraph"/>
        <w:rPr>
          <w:sz w:val="24"/>
          <w:szCs w:val="24"/>
        </w:rPr>
      </w:pPr>
    </w:p>
    <w:sectPr w:rsidR="006117A5" w:rsidRPr="003C1AA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572B" w16cex:dateUtc="2020-06-26T17:14:00Z"/>
  <w16cex:commentExtensible w16cex:durableId="22A04805" w16cex:dateUtc="2020-06-26T16:10:00Z"/>
  <w16cex:commentExtensible w16cex:durableId="22A0481E" w16cex:dateUtc="2020-06-26T16:10:00Z"/>
  <w16cex:commentExtensible w16cex:durableId="22A04862" w16cex:dateUtc="2020-06-26T16:11:00Z"/>
  <w16cex:commentExtensible w16cex:durableId="22A04870" w16cex:dateUtc="2020-06-26T16: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7E7"/>
    <w:multiLevelType w:val="hybridMultilevel"/>
    <w:tmpl w:val="D012E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93431"/>
    <w:multiLevelType w:val="hybridMultilevel"/>
    <w:tmpl w:val="D384E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275"/>
    <w:multiLevelType w:val="hybridMultilevel"/>
    <w:tmpl w:val="96D4B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A545C"/>
    <w:multiLevelType w:val="hybridMultilevel"/>
    <w:tmpl w:val="3F6CA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F0012E"/>
    <w:multiLevelType w:val="hybridMultilevel"/>
    <w:tmpl w:val="95C6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6F9"/>
    <w:multiLevelType w:val="hybridMultilevel"/>
    <w:tmpl w:val="7E7C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015522"/>
    <w:rsid w:val="00024458"/>
    <w:rsid w:val="00040D1E"/>
    <w:rsid w:val="000A4B96"/>
    <w:rsid w:val="000A7D46"/>
    <w:rsid w:val="000B2ED7"/>
    <w:rsid w:val="000B31D6"/>
    <w:rsid w:val="000D1D2C"/>
    <w:rsid w:val="000D6E0E"/>
    <w:rsid w:val="000E34F9"/>
    <w:rsid w:val="001318EE"/>
    <w:rsid w:val="00152989"/>
    <w:rsid w:val="00185604"/>
    <w:rsid w:val="001C2897"/>
    <w:rsid w:val="001D171C"/>
    <w:rsid w:val="001E659D"/>
    <w:rsid w:val="0020024C"/>
    <w:rsid w:val="0021252F"/>
    <w:rsid w:val="00217193"/>
    <w:rsid w:val="00234FCE"/>
    <w:rsid w:val="00237EE4"/>
    <w:rsid w:val="00257083"/>
    <w:rsid w:val="00282687"/>
    <w:rsid w:val="002C4C1B"/>
    <w:rsid w:val="002E14F6"/>
    <w:rsid w:val="002E3BD2"/>
    <w:rsid w:val="00302A4D"/>
    <w:rsid w:val="0030697B"/>
    <w:rsid w:val="00320E86"/>
    <w:rsid w:val="003342E7"/>
    <w:rsid w:val="0034350A"/>
    <w:rsid w:val="00373BE3"/>
    <w:rsid w:val="00377316"/>
    <w:rsid w:val="0038147B"/>
    <w:rsid w:val="003819E1"/>
    <w:rsid w:val="003A43D2"/>
    <w:rsid w:val="003C1AA5"/>
    <w:rsid w:val="003D71FC"/>
    <w:rsid w:val="003E2FF8"/>
    <w:rsid w:val="00405D88"/>
    <w:rsid w:val="0043145D"/>
    <w:rsid w:val="00442DC4"/>
    <w:rsid w:val="0046693C"/>
    <w:rsid w:val="00485D51"/>
    <w:rsid w:val="00494ABA"/>
    <w:rsid w:val="004B59ED"/>
    <w:rsid w:val="004C7060"/>
    <w:rsid w:val="004E5C84"/>
    <w:rsid w:val="004E6983"/>
    <w:rsid w:val="004F114B"/>
    <w:rsid w:val="004F23B7"/>
    <w:rsid w:val="00515395"/>
    <w:rsid w:val="00540301"/>
    <w:rsid w:val="00545E24"/>
    <w:rsid w:val="00547BA9"/>
    <w:rsid w:val="00557CE5"/>
    <w:rsid w:val="0056678F"/>
    <w:rsid w:val="005E4BB1"/>
    <w:rsid w:val="006117A5"/>
    <w:rsid w:val="00644284"/>
    <w:rsid w:val="0067279F"/>
    <w:rsid w:val="00691FDD"/>
    <w:rsid w:val="00692C56"/>
    <w:rsid w:val="00697CB9"/>
    <w:rsid w:val="006D05C5"/>
    <w:rsid w:val="007031FF"/>
    <w:rsid w:val="00707D74"/>
    <w:rsid w:val="00726F2F"/>
    <w:rsid w:val="00750987"/>
    <w:rsid w:val="007E6E9B"/>
    <w:rsid w:val="007E7C23"/>
    <w:rsid w:val="007F619E"/>
    <w:rsid w:val="00815F80"/>
    <w:rsid w:val="0082048F"/>
    <w:rsid w:val="00846E3C"/>
    <w:rsid w:val="00885E7E"/>
    <w:rsid w:val="008D36AE"/>
    <w:rsid w:val="008E739D"/>
    <w:rsid w:val="008F52A0"/>
    <w:rsid w:val="0097545B"/>
    <w:rsid w:val="00983FC0"/>
    <w:rsid w:val="00996F43"/>
    <w:rsid w:val="009A1D6F"/>
    <w:rsid w:val="009A2159"/>
    <w:rsid w:val="009F4CCF"/>
    <w:rsid w:val="009F71DD"/>
    <w:rsid w:val="00A16CC8"/>
    <w:rsid w:val="00A349EC"/>
    <w:rsid w:val="00A37FCC"/>
    <w:rsid w:val="00A43FBD"/>
    <w:rsid w:val="00A64342"/>
    <w:rsid w:val="00A96260"/>
    <w:rsid w:val="00B2121E"/>
    <w:rsid w:val="00B42C88"/>
    <w:rsid w:val="00B473FF"/>
    <w:rsid w:val="00B47DC0"/>
    <w:rsid w:val="00B54481"/>
    <w:rsid w:val="00B613EE"/>
    <w:rsid w:val="00BB537E"/>
    <w:rsid w:val="00BB6C9F"/>
    <w:rsid w:val="00BC72AA"/>
    <w:rsid w:val="00C04F57"/>
    <w:rsid w:val="00C223AA"/>
    <w:rsid w:val="00C37EB8"/>
    <w:rsid w:val="00C60A4A"/>
    <w:rsid w:val="00C66F6F"/>
    <w:rsid w:val="00C944B6"/>
    <w:rsid w:val="00CD6D6C"/>
    <w:rsid w:val="00CE75C4"/>
    <w:rsid w:val="00CF51B7"/>
    <w:rsid w:val="00D17808"/>
    <w:rsid w:val="00D217E9"/>
    <w:rsid w:val="00D3570F"/>
    <w:rsid w:val="00D70A64"/>
    <w:rsid w:val="00D83798"/>
    <w:rsid w:val="00DA2033"/>
    <w:rsid w:val="00DD79CD"/>
    <w:rsid w:val="00E01CD7"/>
    <w:rsid w:val="00E11CFC"/>
    <w:rsid w:val="00E20B0F"/>
    <w:rsid w:val="00E573C2"/>
    <w:rsid w:val="00E740F4"/>
    <w:rsid w:val="00E77F7D"/>
    <w:rsid w:val="00E82C51"/>
    <w:rsid w:val="00E846DF"/>
    <w:rsid w:val="00EB2B40"/>
    <w:rsid w:val="00EB33A2"/>
    <w:rsid w:val="00EB7207"/>
    <w:rsid w:val="00EC25E8"/>
    <w:rsid w:val="00EC52BE"/>
    <w:rsid w:val="00ED4B2D"/>
    <w:rsid w:val="00EF09CC"/>
    <w:rsid w:val="00EF5A92"/>
    <w:rsid w:val="00F142FF"/>
    <w:rsid w:val="00F3576D"/>
    <w:rsid w:val="00F463E8"/>
    <w:rsid w:val="00F65649"/>
    <w:rsid w:val="00F7748C"/>
    <w:rsid w:val="00F92EFE"/>
    <w:rsid w:val="00FA2680"/>
    <w:rsid w:val="00FA39BA"/>
    <w:rsid w:val="00FC7F77"/>
    <w:rsid w:val="00FD015A"/>
    <w:rsid w:val="00FE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357"/>
  <w15:chartTrackingRefBased/>
  <w15:docId w15:val="{130A1E94-D89B-415F-89A2-6B9D5D2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42"/>
    <w:rPr>
      <w:color w:val="0563C1" w:themeColor="hyperlink"/>
      <w:u w:val="single"/>
    </w:rPr>
  </w:style>
  <w:style w:type="character" w:styleId="UnresolvedMention">
    <w:name w:val="Unresolved Mention"/>
    <w:basedOn w:val="DefaultParagraphFont"/>
    <w:uiPriority w:val="99"/>
    <w:semiHidden/>
    <w:unhideWhenUsed/>
    <w:rsid w:val="00A64342"/>
    <w:rPr>
      <w:color w:val="605E5C"/>
      <w:shd w:val="clear" w:color="auto" w:fill="E1DFDD"/>
    </w:rPr>
  </w:style>
  <w:style w:type="paragraph" w:styleId="ListParagraph">
    <w:name w:val="List Paragraph"/>
    <w:basedOn w:val="Normal"/>
    <w:uiPriority w:val="34"/>
    <w:qFormat/>
    <w:rsid w:val="00A64342"/>
    <w:pPr>
      <w:ind w:left="720"/>
      <w:contextualSpacing/>
    </w:pPr>
  </w:style>
  <w:style w:type="character" w:styleId="CommentReference">
    <w:name w:val="annotation reference"/>
    <w:basedOn w:val="DefaultParagraphFont"/>
    <w:uiPriority w:val="99"/>
    <w:semiHidden/>
    <w:unhideWhenUsed/>
    <w:rsid w:val="00302A4D"/>
    <w:rPr>
      <w:sz w:val="16"/>
      <w:szCs w:val="16"/>
    </w:rPr>
  </w:style>
  <w:style w:type="paragraph" w:styleId="CommentText">
    <w:name w:val="annotation text"/>
    <w:basedOn w:val="Normal"/>
    <w:link w:val="CommentTextChar"/>
    <w:uiPriority w:val="99"/>
    <w:semiHidden/>
    <w:unhideWhenUsed/>
    <w:rsid w:val="00302A4D"/>
    <w:pPr>
      <w:spacing w:line="240" w:lineRule="auto"/>
    </w:pPr>
    <w:rPr>
      <w:sz w:val="20"/>
      <w:szCs w:val="20"/>
    </w:rPr>
  </w:style>
  <w:style w:type="character" w:customStyle="1" w:styleId="CommentTextChar">
    <w:name w:val="Comment Text Char"/>
    <w:basedOn w:val="DefaultParagraphFont"/>
    <w:link w:val="CommentText"/>
    <w:uiPriority w:val="99"/>
    <w:semiHidden/>
    <w:rsid w:val="00302A4D"/>
    <w:rPr>
      <w:sz w:val="20"/>
      <w:szCs w:val="20"/>
    </w:rPr>
  </w:style>
  <w:style w:type="paragraph" w:styleId="CommentSubject">
    <w:name w:val="annotation subject"/>
    <w:basedOn w:val="CommentText"/>
    <w:next w:val="CommentText"/>
    <w:link w:val="CommentSubjectChar"/>
    <w:uiPriority w:val="99"/>
    <w:semiHidden/>
    <w:unhideWhenUsed/>
    <w:rsid w:val="00302A4D"/>
    <w:rPr>
      <w:b/>
      <w:bCs/>
    </w:rPr>
  </w:style>
  <w:style w:type="character" w:customStyle="1" w:styleId="CommentSubjectChar">
    <w:name w:val="Comment Subject Char"/>
    <w:basedOn w:val="CommentTextChar"/>
    <w:link w:val="CommentSubject"/>
    <w:uiPriority w:val="99"/>
    <w:semiHidden/>
    <w:rsid w:val="00302A4D"/>
    <w:rPr>
      <w:b/>
      <w:bCs/>
      <w:sz w:val="20"/>
      <w:szCs w:val="20"/>
    </w:rPr>
  </w:style>
  <w:style w:type="paragraph" w:styleId="BalloonText">
    <w:name w:val="Balloon Text"/>
    <w:basedOn w:val="Normal"/>
    <w:link w:val="BalloonTextChar"/>
    <w:uiPriority w:val="99"/>
    <w:semiHidden/>
    <w:unhideWhenUsed/>
    <w:rsid w:val="00302A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A4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77F7D"/>
    <w:rPr>
      <w:color w:val="954F72" w:themeColor="followedHyperlink"/>
      <w:u w:val="single"/>
    </w:rPr>
  </w:style>
  <w:style w:type="character" w:styleId="Strong">
    <w:name w:val="Strong"/>
    <w:basedOn w:val="DefaultParagraphFont"/>
    <w:uiPriority w:val="22"/>
    <w:qFormat/>
    <w:rsid w:val="001D171C"/>
    <w:rPr>
      <w:b/>
      <w:bCs/>
    </w:rPr>
  </w:style>
  <w:style w:type="character" w:customStyle="1" w:styleId="cit-auth">
    <w:name w:val="cit-auth"/>
    <w:basedOn w:val="DefaultParagraphFont"/>
    <w:rsid w:val="00237EE4"/>
  </w:style>
  <w:style w:type="character" w:customStyle="1" w:styleId="cit-name-surname">
    <w:name w:val="cit-name-surname"/>
    <w:basedOn w:val="DefaultParagraphFont"/>
    <w:rsid w:val="00237EE4"/>
  </w:style>
  <w:style w:type="character" w:customStyle="1" w:styleId="cit-name-given-names">
    <w:name w:val="cit-name-given-names"/>
    <w:basedOn w:val="DefaultParagraphFont"/>
    <w:rsid w:val="00237EE4"/>
  </w:style>
  <w:style w:type="character" w:customStyle="1" w:styleId="cit-etal">
    <w:name w:val="cit-etal"/>
    <w:basedOn w:val="DefaultParagraphFont"/>
    <w:rsid w:val="00237EE4"/>
  </w:style>
  <w:style w:type="character" w:customStyle="1" w:styleId="cit-article-title">
    <w:name w:val="cit-article-title"/>
    <w:basedOn w:val="DefaultParagraphFont"/>
    <w:rsid w:val="00237EE4"/>
  </w:style>
  <w:style w:type="character" w:customStyle="1" w:styleId="cit-vol">
    <w:name w:val="cit-vol"/>
    <w:basedOn w:val="DefaultParagraphFont"/>
    <w:rsid w:val="00237EE4"/>
  </w:style>
  <w:style w:type="character" w:customStyle="1" w:styleId="cit-fpage">
    <w:name w:val="cit-fpage"/>
    <w:basedOn w:val="DefaultParagraphFont"/>
    <w:rsid w:val="00237EE4"/>
  </w:style>
  <w:style w:type="character" w:customStyle="1" w:styleId="cit-lpage">
    <w:name w:val="cit-lpage"/>
    <w:basedOn w:val="DefaultParagraphFont"/>
    <w:rsid w:val="00237EE4"/>
  </w:style>
  <w:style w:type="character" w:customStyle="1" w:styleId="cit-pub-id-sep">
    <w:name w:val="cit-pub-id-sep"/>
    <w:basedOn w:val="DefaultParagraphFont"/>
    <w:rsid w:val="00237EE4"/>
  </w:style>
  <w:style w:type="character" w:customStyle="1" w:styleId="cit-pub-id-scheme">
    <w:name w:val="cit-pub-id-scheme"/>
    <w:basedOn w:val="DefaultParagraphFont"/>
    <w:rsid w:val="00237EE4"/>
  </w:style>
  <w:style w:type="character" w:customStyle="1" w:styleId="cit-pub-id">
    <w:name w:val="cit-pub-id"/>
    <w:basedOn w:val="DefaultParagraphFont"/>
    <w:rsid w:val="00237EE4"/>
  </w:style>
  <w:style w:type="character" w:customStyle="1" w:styleId="cit-pub-date">
    <w:name w:val="cit-pub-date"/>
    <w:basedOn w:val="DefaultParagraphFont"/>
    <w:rsid w:val="0023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y1085" TargetMode="External"/><Relationship Id="rId3" Type="http://schemas.openxmlformats.org/officeDocument/2006/relationships/styles" Target="styles.xml"/><Relationship Id="rId7" Type="http://schemas.openxmlformats.org/officeDocument/2006/relationships/hyperlink" Target="https://www.who.int/docs/default-source/coronaviruse/situation-reports/20200720-covid-19-sitrep-182.pdf?sfvrsn=60aabc5c_2"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0.04.16.0453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nar/gky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548487-03C9-4356-A7F1-48E8BACA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7</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ferrell</dc:creator>
  <cp:keywords/>
  <dc:description/>
  <cp:lastModifiedBy>ty ferrell</cp:lastModifiedBy>
  <cp:revision>15</cp:revision>
  <dcterms:created xsi:type="dcterms:W3CDTF">2020-06-26T19:48:00Z</dcterms:created>
  <dcterms:modified xsi:type="dcterms:W3CDTF">2020-07-30T08:19:00Z</dcterms:modified>
</cp:coreProperties>
</file>