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avance — Inteligencia turística y campaña promocional para Veracruz</w:t>
      </w:r>
    </w:p>
    <w:p>
      <w:pPr>
        <w:pStyle w:val="Subtitle"/>
      </w:pPr>
      <w:r>
        <w:t>Corte documental: 12 de octubre de 2026  |  Estado: borrador para revisión, no entrega final</w:t>
      </w:r>
    </w:p>
    <w:p>
      <w:r>
        <w:t>Proyecto integrador de Ciencia de Datos · Etapas S0–S9</w:t>
      </w:r>
    </w:p>
    <w:p>
      <w:pPr>
        <w:pStyle w:val="Heading1"/>
      </w:pPr>
      <w:r>
        <w:t>1. Síntesis ejecutiva</w:t>
      </w:r>
    </w:p>
    <w:p>
      <w:r>
        <w:t>El proyecto desarrolla un prototipo reproducible que combina fuentes turísticas públicas, caracterización de 55 destinos de Veracruz, agrupamiento por similitud, pronóstico de ocupación hotelera en tres centros con datos observados, cuantificación de incertidumbre y asignación de un presupuesto hipotético de promoción. La versión actual del sitio es estática, multilingüe (español, inglés y japonés) y presenta escenarios de optimización precalculados. S8 (mercadotecnia) comenzó con emparejamientos exploratorios entre intereses, actividades documentadas y destinos seleccionados; todavía no constituye una campaña final lista para publicarse.</w:t>
      </w:r>
    </w:p>
    <w:p>
      <w:pPr>
        <w:pStyle w:val="Heading1"/>
      </w:pPr>
      <w:r>
        <w:t>2. Problema, alcance y principios</w:t>
      </w:r>
    </w:p>
    <w:p>
      <w:r>
        <w:t>El problema es diseñar una campaña informada por datos sin confundir falta de medición con baja afluencia. Los registros de DataTur cubren centros hoteleros, no todos los municipios; INAH mide accesos a sitios arqueológicos, no turismo municipal total; los establecimientos son indicadores de estructura de servicios, no de capacidad de carga. Los montos de campaña son supuestos, no precios cotizados, y el proyecto no ha realizado anuncios ni registrado conversiones reales.</w:t>
      </w:r>
    </w:p>
    <w:p>
      <w:pPr>
        <w:pStyle w:val="Heading1"/>
      </w:pPr>
      <w:r>
        <w:t>3. Estado de las etapas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Etapa</w:t>
            </w:r>
          </w:p>
        </w:tc>
        <w:tc>
          <w:tcPr>
            <w:tcW w:type="dxa" w:w="3264"/>
          </w:tcPr>
          <w:p>
            <w:r>
              <w:t>Función</w:t>
            </w:r>
          </w:p>
        </w:tc>
        <w:tc>
          <w:tcPr>
            <w:tcW w:type="dxa" w:w="3264"/>
          </w:tcPr>
          <w:p>
            <w:r>
              <w:t>Estado</w:t>
            </w:r>
          </w:p>
        </w:tc>
      </w:tr>
      <w:tr>
        <w:tc>
          <w:tcPr>
            <w:tcW w:type="dxa" w:w="3264"/>
          </w:tcPr>
          <w:p>
            <w:r>
              <w:t>S0–S3</w:t>
            </w:r>
          </w:p>
        </w:tc>
        <w:tc>
          <w:tcPr>
            <w:tcW w:type="dxa" w:w="3264"/>
          </w:tcPr>
          <w:p>
            <w:r>
              <w:t>Fuentes, limpieza y tablas integradas</w:t>
            </w:r>
          </w:p>
        </w:tc>
        <w:tc>
          <w:tcPr>
            <w:tcW w:type="dxa" w:w="3264"/>
          </w:tcPr>
          <w:p>
            <w:r>
              <w:t>Implementado; datos congelados y pruebas específicas documentadas</w:t>
            </w:r>
          </w:p>
        </w:tc>
      </w:tr>
      <w:tr>
        <w:tc>
          <w:tcPr>
            <w:tcW w:type="dxa" w:w="3264"/>
          </w:tcPr>
          <w:p>
            <w:r>
              <w:t>S4</w:t>
            </w:r>
          </w:p>
        </w:tc>
        <w:tc>
          <w:tcPr>
            <w:tcW w:type="dxa" w:w="3264"/>
          </w:tcPr>
          <w:p>
            <w:r>
              <w:t>Minería de datos: Gower + PAM, k=12, asociaciones</w:t>
            </w:r>
          </w:p>
        </w:tc>
        <w:tc>
          <w:tcPr>
            <w:tcW w:type="dxa" w:w="3264"/>
          </w:tcPr>
          <w:p>
            <w:r>
              <w:t>55 perfiles; 12 grupos; distancias/afinidad no prueban comportamiento turístico</w:t>
            </w:r>
          </w:p>
        </w:tc>
      </w:tr>
      <w:tr>
        <w:tc>
          <w:tcPr>
            <w:tcW w:type="dxa" w:w="3264"/>
          </w:tcPr>
          <w:p>
            <w:r>
              <w:t>S5</w:t>
            </w:r>
          </w:p>
        </w:tc>
        <w:tc>
          <w:tcPr>
            <w:tcW w:type="dxa" w:w="3264"/>
          </w:tcPr>
          <w:p>
            <w:r>
              <w:t>Pronóstico mensual de ocupación hotelera</w:t>
            </w:r>
          </w:p>
        </w:tc>
        <w:tc>
          <w:tcPr>
            <w:tcW w:type="dxa" w:w="3264"/>
          </w:tcPr>
          <w:p>
            <w:r>
              <w:t>Baselines, Ridge y Random Forest; pruebas temporales y revisión 2025–2026</w:t>
            </w:r>
          </w:p>
        </w:tc>
      </w:tr>
      <w:tr>
        <w:tc>
          <w:tcPr>
            <w:tcW w:type="dxa" w:w="3264"/>
          </w:tcPr>
          <w:p>
            <w:r>
              <w:t>S6</w:t>
            </w:r>
          </w:p>
        </w:tc>
        <w:tc>
          <w:tcPr>
            <w:tcW w:type="dxa" w:w="3264"/>
          </w:tcPr>
          <w:p>
            <w:r>
              <w:t>Intervalos y calibración de incertidumbre</w:t>
            </w:r>
          </w:p>
        </w:tc>
        <w:tc>
          <w:tcPr>
            <w:tcW w:type="dxa" w:w="3264"/>
          </w:tcPr>
          <w:p>
            <w:r>
              <w:t>Comparación de ventanas fija, expansiva y móviles; muestras limitadas</w:t>
            </w:r>
          </w:p>
        </w:tc>
      </w:tr>
      <w:tr>
        <w:tc>
          <w:tcPr>
            <w:tcW w:type="dxa" w:w="3264"/>
          </w:tcPr>
          <w:p>
            <w:r>
              <w:t>S7</w:t>
            </w:r>
          </w:p>
        </w:tc>
        <w:tc>
          <w:tcPr>
            <w:tcW w:type="dxa" w:w="3264"/>
          </w:tcPr>
          <w:p>
            <w:r>
              <w:t>Asignación de destinos y temporadas</w:t>
            </w:r>
          </w:p>
        </w:tc>
        <w:tc>
          <w:tcPr>
            <w:tcW w:type="dxa" w:w="3264"/>
          </w:tcPr>
          <w:p>
            <w:r>
              <w:t>MILP reproducido; cuatro presupuestos y prueba de restauración aprobada</w:t>
            </w:r>
          </w:p>
        </w:tc>
      </w:tr>
      <w:tr>
        <w:tc>
          <w:tcPr>
            <w:tcW w:type="dxa" w:w="3264"/>
          </w:tcPr>
          <w:p>
            <w:r>
              <w:t>S8</w:t>
            </w:r>
          </w:p>
        </w:tc>
        <w:tc>
          <w:tcPr>
            <w:tcW w:type="dxa" w:w="3264"/>
          </w:tcPr>
          <w:p>
            <w:r>
              <w:t>Evidencia de audiencias y actividades</w:t>
            </w:r>
          </w:p>
        </w:tc>
        <w:tc>
          <w:tcPr>
            <w:tcW w:type="dxa" w:w="3264"/>
          </w:tcPr>
          <w:p>
            <w:r>
              <w:t>Prototipo v0.1; faltan categorías, mercados, canales y disponibilidad</w:t>
            </w:r>
          </w:p>
        </w:tc>
      </w:tr>
      <w:tr>
        <w:tc>
          <w:tcPr>
            <w:tcW w:type="dxa" w:w="3264"/>
          </w:tcPr>
          <w:p>
            <w:r>
              <w:t>S9</w:t>
            </w:r>
          </w:p>
        </w:tc>
        <w:tc>
          <w:tcPr>
            <w:tcW w:type="dxa" w:w="3264"/>
          </w:tcPr>
          <w:p>
            <w:r>
              <w:t>Integración, informe final y entrega</w:t>
            </w:r>
          </w:p>
        </w:tc>
        <w:tc>
          <w:tcPr>
            <w:tcW w:type="dxa" w:w="3264"/>
          </w:tcPr>
          <w:p>
            <w:r>
              <w:t>Pendiente: orquestación completa, reportes reconciliados, retroalimentación</w:t>
            </w:r>
          </w:p>
        </w:tc>
      </w:tr>
    </w:tbl>
    <w:p>
      <w:pPr>
        <w:pStyle w:val="Heading1"/>
      </w:pPr>
      <w:r>
        <w:t>4. Resultados técnicos destacados</w:t>
      </w:r>
    </w:p>
    <w:p>
      <w:pPr>
        <w:pStyle w:val="Heading2"/>
      </w:pPr>
      <w:r>
        <w:t>S4 — Agrupamiento y actividades</w:t>
      </w:r>
    </w:p>
    <w:p>
      <w:r>
        <w:t>Las 55 fichas se agruparon en 12 conjuntos mediante distancia de Gower y PAM/k-medoids para datos de carácter turístico; la selección reportada tiene silueta aproximada de 0.637. El indicador amplio de cultura/historia aparecía en los 55 perfiles y no discrimina para mercadotecnia. Se conservará para reproducir el S4 histórico, mientras S8 usa evidencia de atractivos específicos.</w:t>
      </w:r>
    </w:p>
    <w:p>
      <w:pPr>
        <w:pStyle w:val="Heading2"/>
      </w:pPr>
      <w:r>
        <w:t>S5 — Pronósticos</w:t>
      </w:r>
    </w:p>
    <w:p>
      <w:r>
        <w:t>La comparación original de 2023–2024 reportó MAE global ≈4.145 puntos porcentuales para Random Forest frente a ≈4.498 para el valor del mes previo. La validación ampliada enero de 2025–julio de 2026 incorpora 53 observaciones en tres centros (19 Coatzacoalcos, 19 Xalapa, 15 Veracruz–Boca del Río); cuatro meses del último centro faltan. No se extrapolan estimaciones como demanda observada para otros destinos.</w:t>
      </w:r>
    </w:p>
    <w:p>
      <w:pPr>
        <w:pStyle w:val="Heading2"/>
      </w:pPr>
      <w:r>
        <w:t>S6 — Incertidumbre</w:t>
      </w:r>
    </w:p>
    <w:p>
      <w:r>
        <w:t>Para Coatzacoalcos, la cobertura de intervalos cambió de 13/19 (68.4%) con calibración fija a 17/19 (89.5%) con ventana móvil de 12 meses. En Veracruz–Boca del Río, 14/15 (93.3%) para ambos métodos; en Xalapa la ventana móvil de 12 meses obtuvo 16/19 (84.2%) frente a 17/19 (89.5%) fija. Son diagnósticos con muestras pequeñas; no garantizan cobertura futura.</w:t>
      </w:r>
    </w:p>
    <w:p>
      <w:pPr>
        <w:pStyle w:val="Heading2"/>
      </w:pPr>
      <w:r>
        <w:t>S7 — Escenarios de asignación</w:t>
      </w:r>
    </w:p>
    <w:tbl>
      <w:tblPr>
        <w:tblStyle w:val="LightShading-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t>Presupuesto MXN</w:t>
            </w:r>
          </w:p>
        </w:tc>
        <w:tc>
          <w:tcPr>
            <w:tcW w:type="dxa" w:w="1632"/>
          </w:tcPr>
          <w:p>
            <w:r>
              <w:t>Destinos</w:t>
            </w:r>
          </w:p>
        </w:tc>
        <w:tc>
          <w:tcPr>
            <w:tcW w:type="dxa" w:w="1632"/>
          </w:tcPr>
          <w:p>
            <w:r>
              <w:t>Regiones</w:t>
            </w:r>
          </w:p>
        </w:tc>
        <w:tc>
          <w:tcPr>
            <w:tcW w:type="dxa" w:w="1632"/>
          </w:tcPr>
          <w:p>
            <w:r>
              <w:t>Región×periodo</w:t>
            </w:r>
          </w:p>
        </w:tc>
        <w:tc>
          <w:tcPr>
            <w:tcW w:type="dxa" w:w="1632"/>
          </w:tcPr>
          <w:p>
            <w:r>
              <w:t>Tema×periodo</w:t>
            </w:r>
          </w:p>
        </w:tc>
        <w:tc>
          <w:tcPr>
            <w:tcW w:type="dxa" w:w="1632"/>
          </w:tcPr>
          <w:p>
            <w:r>
              <w:t>Sin demanda comparable</w:t>
            </w:r>
          </w:p>
        </w:tc>
      </w:tr>
      <w:tr>
        <w:tc>
          <w:tcPr>
            <w:tcW w:type="dxa" w:w="1632"/>
          </w:tcPr>
          <w:p>
            <w:r>
              <w:t>30,000</w:t>
            </w:r>
          </w:p>
        </w:tc>
        <w:tc>
          <w:tcPr>
            <w:tcW w:type="dxa" w:w="1632"/>
          </w:tcPr>
          <w:p>
            <w:r>
              <w:t>6</w:t>
            </w:r>
          </w:p>
        </w:tc>
        <w:tc>
          <w:tcPr>
            <w:tcW w:type="dxa" w:w="1632"/>
          </w:tcPr>
          <w:p>
            <w:r>
              <w:t>4/7</w:t>
            </w:r>
          </w:p>
        </w:tc>
        <w:tc>
          <w:tcPr>
            <w:tcW w:type="dxa" w:w="1632"/>
          </w:tcPr>
          <w:p>
            <w:r>
              <w:t>6</w:t>
            </w:r>
          </w:p>
        </w:tc>
        <w:tc>
          <w:tcPr>
            <w:tcW w:type="dxa" w:w="1632"/>
          </w:tcPr>
          <w:p>
            <w:r>
              <w:t>24</w:t>
            </w:r>
          </w:p>
        </w:tc>
        <w:tc>
          <w:tcPr>
            <w:tcW w:type="dxa" w:w="1632"/>
          </w:tcPr>
          <w:p>
            <w:r>
              <w:t>4</w:t>
            </w:r>
          </w:p>
        </w:tc>
      </w:tr>
      <w:tr>
        <w:tc>
          <w:tcPr>
            <w:tcW w:type="dxa" w:w="1632"/>
          </w:tcPr>
          <w:p>
            <w:r>
              <w:t>60,000</w:t>
            </w:r>
          </w:p>
        </w:tc>
        <w:tc>
          <w:tcPr>
            <w:tcW w:type="dxa" w:w="1632"/>
          </w:tcPr>
          <w:p>
            <w:r>
              <w:t>12</w:t>
            </w:r>
          </w:p>
        </w:tc>
        <w:tc>
          <w:tcPr>
            <w:tcW w:type="dxa" w:w="1632"/>
          </w:tcPr>
          <w:p>
            <w:r>
              <w:t>5/7</w:t>
            </w:r>
          </w:p>
        </w:tc>
        <w:tc>
          <w:tcPr>
            <w:tcW w:type="dxa" w:w="1632"/>
          </w:tcPr>
          <w:p>
            <w:r>
              <w:t>12</w:t>
            </w:r>
          </w:p>
        </w:tc>
        <w:tc>
          <w:tcPr>
            <w:tcW w:type="dxa" w:w="1632"/>
          </w:tcPr>
          <w:p>
            <w:r>
              <w:t>29</w:t>
            </w:r>
          </w:p>
        </w:tc>
        <w:tc>
          <w:tcPr>
            <w:tcW w:type="dxa" w:w="1632"/>
          </w:tcPr>
          <w:p>
            <w:r>
              <w:t>9</w:t>
            </w:r>
          </w:p>
        </w:tc>
      </w:tr>
      <w:tr>
        <w:tc>
          <w:tcPr>
            <w:tcW w:type="dxa" w:w="1632"/>
          </w:tcPr>
          <w:p>
            <w:r>
              <w:t>100,000</w:t>
            </w:r>
          </w:p>
        </w:tc>
        <w:tc>
          <w:tcPr>
            <w:tcW w:type="dxa" w:w="1632"/>
          </w:tcPr>
          <w:p>
            <w:r>
              <w:t>20</w:t>
            </w:r>
          </w:p>
        </w:tc>
        <w:tc>
          <w:tcPr>
            <w:tcW w:type="dxa" w:w="1632"/>
          </w:tcPr>
          <w:p>
            <w:r>
              <w:t>7/7</w:t>
            </w:r>
          </w:p>
        </w:tc>
        <w:tc>
          <w:tcPr>
            <w:tcW w:type="dxa" w:w="1632"/>
          </w:tcPr>
          <w:p>
            <w:r>
              <w:t>20</w:t>
            </w:r>
          </w:p>
        </w:tc>
        <w:tc>
          <w:tcPr>
            <w:tcW w:type="dxa" w:w="1632"/>
          </w:tcPr>
          <w:p>
            <w:r>
              <w:t>29</w:t>
            </w:r>
          </w:p>
        </w:tc>
        <w:tc>
          <w:tcPr>
            <w:tcW w:type="dxa" w:w="1632"/>
          </w:tcPr>
          <w:p>
            <w:r>
              <w:t>17</w:t>
            </w:r>
          </w:p>
        </w:tc>
      </w:tr>
      <w:tr>
        <w:tc>
          <w:tcPr>
            <w:tcW w:type="dxa" w:w="1632"/>
          </w:tcPr>
          <w:p>
            <w:r>
              <w:t>200,000</w:t>
            </w:r>
          </w:p>
        </w:tc>
        <w:tc>
          <w:tcPr>
            <w:tcW w:type="dxa" w:w="1632"/>
          </w:tcPr>
          <w:p>
            <w:r>
              <w:t>40</w:t>
            </w:r>
          </w:p>
        </w:tc>
        <w:tc>
          <w:tcPr>
            <w:tcW w:type="dxa" w:w="1632"/>
          </w:tcPr>
          <w:p>
            <w:r>
              <w:t>7/7</w:t>
            </w:r>
          </w:p>
        </w:tc>
        <w:tc>
          <w:tcPr>
            <w:tcW w:type="dxa" w:w="1632"/>
          </w:tcPr>
          <w:p>
            <w:r>
              <w:t>27</w:t>
            </w:r>
          </w:p>
        </w:tc>
        <w:tc>
          <w:tcPr>
            <w:tcW w:type="dxa" w:w="1632"/>
          </w:tcPr>
          <w:p>
            <w:r>
              <w:t>29</w:t>
            </w:r>
          </w:p>
        </w:tc>
        <w:tc>
          <w:tcPr>
            <w:tcW w:type="dxa" w:w="1632"/>
          </w:tcPr>
          <w:p>
            <w:r>
              <w:t>37</w:t>
            </w:r>
          </w:p>
        </w:tc>
      </w:tr>
    </w:tbl>
    <w:p>
      <w:r>
        <w:t>La formulación es de programación entera mixta con una decisión binaria destino×temporada. Supone MX$5,000 por promoción; incluye bonificaciones elegidas por cobertura de regiones/temas y servicios, límites de calendario/región y una penalización por ocupación elevada donde hay datos comparables. Son prioridades definidas para el prototipo, no retornos estimados ni valores obtenidos empíricamente. El solver HiGHS informó soluciones óptimas para la función objetivo implementada; ello no demuestra que la función objetivo represente el mejor resultado económico.</w:t>
      </w:r>
    </w:p>
    <w:p>
      <w:pPr>
        <w:pStyle w:val="Heading2"/>
      </w:pPr>
      <w:r>
        <w:t>S8 — Prototipo de mercadotecnia</w:t>
      </w:r>
    </w:p>
    <w:p>
      <w:r>
        <w:t>Se adoptó la secuencia interés del viajero → actividad documentada → destino → selección S7/temporada. El catálogo cultural registra 55 destinos, pero sólo nueve tienen evidencia primaria reforzada de patrimonio visitable en esta ronda y uno presenta una advertencia geográfica Atzalan/Tlapacoyan. El paquete S8 v0.1 cruzó el escenario MX$100,000 con evidencias culturales y actividades de aventura: 35 emparejamientos de interés-actividad; cinco de los veinte destinos no obtuvieron emparejamiento calificado en este subconjunto. Ni las visitas a sitios ni los festivales se consideran disponibles en fechas futuras sin nueva comprobación.</w:t>
      </w:r>
    </w:p>
    <w:p>
      <w:pPr>
        <w:pStyle w:val="Heading1"/>
      </w:pPr>
      <w:r>
        <w:t>5. Sitio web y reproducibilidad</w:t>
      </w:r>
    </w:p>
    <w:p>
      <w:r>
        <w:t>El sitio GitHub Pages es estático y muestra cuatro presupuestos precalculados mediante Python; la interfaz JavaScript filtra y traduce, pero no ejecuta el optimizador. El selector de idioma está disponible por página; la persistencia entre páginas requiere una corrección menor. El script superior scripts/run_pipeline.py sólo ejecuta los pasos de datos y S4; S5, S6, S7 y S8 todavía no están incorporados al ejecutor integral.</w:t>
      </w:r>
    </w:p>
    <w:p>
      <w:pPr>
        <w:pStyle w:val="Heading1"/>
      </w:pPr>
      <w:r>
        <w:t>6. Limitaciones y pendientes antes de una entrega final</w:t>
      </w:r>
    </w:p>
    <w:p>
      <w:pPr>
        <w:pStyle w:val="ListBullet"/>
      </w:pPr>
      <w:r>
        <w:t>Reconciliar el código y los archivos actuales con un volcado nuevo del repositorio; el presente informe se basa en el digest anterior y archivos compartidos hasta el 12/oct/2026.</w:t>
      </w:r>
    </w:p>
    <w:p>
      <w:pPr>
        <w:pStyle w:val="ListBullet"/>
      </w:pPr>
      <w:r>
        <w:t>Normalizar productos turísticos, atractivos gastronómicos, costeros y naturales en actividades concretas respaldadas por fuentes; no usar banderas S4 demasiado generales como evidencia de disponibilidad.</w:t>
      </w:r>
    </w:p>
    <w:p>
      <w:pPr>
        <w:pStyle w:val="ListBullet"/>
      </w:pPr>
      <w:r>
        <w:t>Investigar mercados de origen y canales con datos de acceso/alcance y, si es posible, preferencias segmentadas; las encuestas internacionales no prueban interés en Veracruz.</w:t>
      </w:r>
    </w:p>
    <w:p>
      <w:pPr>
        <w:pStyle w:val="ListBullet"/>
      </w:pPr>
      <w:r>
        <w:t>Verificar fechas, accesibilidad, permisos, operadores, seguridad y consentimiento sobre patrimonio vivo antes de formular anuncios específicos.</w:t>
      </w:r>
    </w:p>
    <w:p>
      <w:pPr>
        <w:pStyle w:val="ListBullet"/>
      </w:pPr>
      <w:r>
        <w:t>Justificar y analizar sensibilidad de pesos, MX$5,000 por colocación, topes y penalizaciones de S7; mantener la frontera entre supuestos y datos observados.</w:t>
      </w:r>
    </w:p>
    <w:p>
      <w:pPr>
        <w:pStyle w:val="ListBullet"/>
      </w:pPr>
      <w:r>
        <w:t>Completar la propuesta de mensajes, canales, KPI, cronograma y anexos reproducibles; incorporar observaciones de cada docente.</w:t>
      </w:r>
    </w:p>
    <w:p>
      <w:pPr>
        <w:pStyle w:val="Heading1"/>
      </w:pPr>
      <w:r>
        <w:t>7. Conclusión y estado de entrega</w:t>
      </w:r>
    </w:p>
    <w:p>
      <w:r>
        <w:t>Se dispone de un avance técnico sustantivo y una base razonable para un borrador de entrega; sin embargo, no corresponde presentar S8 ni S9 como terminados. Este informe debe circular como borrador de progreso para recibir observaciones y cerrar la trazabilidad de S7–S8 antes de la entrega formal.</w:t>
      </w:r>
    </w:p>
    <w:p>
      <w:pPr>
        <w:pStyle w:val="Heading1"/>
      </w:pPr>
      <w:r>
        <w:t>8. Fuentes y documentos consultados</w:t>
      </w:r>
    </w:p>
    <w:p>
      <w:r>
        <w:t>Las siguientes entradas documentan las fuentes mencionadas y las rutas reproducibles del proyecto. Los enlaces bibliográficos no han sido sometidos a una nueva validación web en esta generación; las cifras proceden de los archivos locales indicados.</w:t>
      </w:r>
    </w:p>
    <w:p>
      <w:pPr/>
      <w:r>
        <w:rPr>
          <w:b/>
        </w:rPr>
        <w:t xml:space="preserve">DataTur / Secretaría de Turismo. </w:t>
      </w:r>
      <w:r>
        <w:t>Compendios mensuales de ocupación hotelera, 2016–2024 y enero de 2025–julio de 2026. Archivos locales y registros de origen del proyecto.</w:t>
      </w:r>
    </w:p>
    <w:p>
      <w:pPr/>
      <w:r>
        <w:rPr>
          <w:b/>
        </w:rPr>
        <w:t xml:space="preserve">INAH. </w:t>
      </w:r>
      <w:r>
        <w:t>Sistema de información de zonas arqueológicas y museos; ver páginas individuales de El Tajín, Tres Zapotes, Cempoala, Castillo de Teayo, Las Higueras y Quiahuiztlán. https://lugares.inah.gob.mx/</w:t>
      </w:r>
    </w:p>
    <w:p>
      <w:pPr/>
      <w:r>
        <w:rPr>
          <w:b/>
        </w:rPr>
        <w:t xml:space="preserve">UNESCO World Heritage Centre. </w:t>
      </w:r>
      <w:r>
        <w:t>Historic Monuments Zone of Tlacotalpan. https://whc.unesco.org/en/list/862/</w:t>
      </w:r>
    </w:p>
    <w:p>
      <w:pPr/>
      <w:r>
        <w:rPr>
          <w:b/>
        </w:rPr>
        <w:t xml:space="preserve">UNESCO Intangible Cultural Heritage. </w:t>
      </w:r>
      <w:r>
        <w:t>Ritual ceremony of the Voladores. https://ich.unesco.org/es/RL/la-ceremonia-ritual-de-los-voladores-00175</w:t>
      </w:r>
    </w:p>
    <w:p>
      <w:pPr/>
      <w:r>
        <w:rPr>
          <w:b/>
        </w:rPr>
        <w:t xml:space="preserve">Booking.com (2025). </w:t>
      </w:r>
      <w:r>
        <w:t>Travel Predictions 2025, international travel preference survey. https://www.booking.com/articles/travelpredictions2025.html</w:t>
      </w:r>
    </w:p>
    <w:p>
      <w:pPr/>
      <w:r>
        <w:rPr>
          <w:b/>
        </w:rPr>
        <w:t xml:space="preserve">Expedia Group (2025). </w:t>
      </w:r>
      <w:r>
        <w:t>Traveler Value Index, research on traveler priorities and inspiration. https://partner.expediagroup.com/en-us/resources/research-insights/2025-traveler-value-index</w:t>
      </w:r>
    </w:p>
    <w:p>
      <w:pPr/>
      <w:r>
        <w:rPr>
          <w:b/>
        </w:rPr>
        <w:t xml:space="preserve">World Food Travel Association (2026). </w:t>
      </w:r>
      <w:r>
        <w:t>Food Travel Monitor. https://www.worldfoodtravel.org/2026-food-travel-monitor</w:t>
      </w:r>
    </w:p>
    <w:p>
      <w:pPr/>
      <w:r>
        <w:rPr>
          <w:b/>
        </w:rPr>
        <w:t xml:space="preserve">Project repository (2026). </w:t>
      </w:r>
      <w:r>
        <w:t>PROJECT_CONSTITUTION.md; PIPELINE_MANIFEST.yaml; scripts/mining/, scripts/run_s5.py, scripts/run_s6.py, scripts/run_s7_framework.py; corresponding tests and CSV outputs; site/.</w:t>
      </w:r>
    </w:p>
    <w:p>
      <w:pPr/>
      <w:r>
        <w:rPr>
          <w:b/>
        </w:rPr>
        <w:t xml:space="preserve">Internal analytical outputs (12 October 2026). </w:t>
      </w:r>
      <w:r>
        <w:t>s7_scenario_comparison.csv; s5_rf_tuning_test_metrics.csv; s6_rolling_comparison_metrics.csv; S8_cultural_activity_catalog_v2.csv; S8_IMPLEMENTATION_STATUS.md.</w:t>
      </w:r>
    </w:p>
    <w:sectPr w:rsidR="00FC693F" w:rsidRPr="0006063C" w:rsidSect="00034616">
      <w:footerReference w:type="default" r:id="rId9"/>
      <w:pgSz w:w="12240" w:h="15840"/>
      <w:pgMar w:top="1094"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Borrador de avance · Veracruz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D5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D5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D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