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Avance para docente: Modelos estocásticos</w:t>
      </w:r>
    </w:p>
    <w:p>
      <w:pPr>
        <w:pStyle w:val="Subtitle"/>
      </w:pPr>
      <w:r>
        <w:t>Proyecto prototípico interdisciplinario · Veracruz · Estado al 12/10/2026 · Documento para revisión docente</w:t>
      </w:r>
    </w:p>
    <w:p>
      <w:pPr>
        <w:pStyle w:val="Heading1"/>
      </w:pPr>
      <w:r>
        <w:t>Objetivo y relación con ML</w:t>
      </w:r>
    </w:p>
    <w:p>
      <w:r>
        <w:t>S6 cuantifica la incertidumbre de predicciones de ocupación S5, ya que una estimación puntual no muestra cuánto pueden variar los valores observados. No se presenta como una predicción estocástica independiente de los modelos de S5.</w:t>
      </w:r>
    </w:p>
    <w:p>
      <w:pPr>
        <w:pStyle w:val="Heading1"/>
      </w:pPr>
      <w:r>
        <w:t>Método</w:t>
      </w:r>
    </w:p>
    <w:p>
      <w:r>
        <w:t>Se toman errores de predicciones realizadas fuera de muestra para construir márgenes o intervalos alrededor del pronóstico, con cobertura nominal de 90 %. Se contrasta calibración fija frente a variantes que actualizan la magnitud del error con observaciones más recientes, incluidas ventanas móviles de 12 y 24 meses.</w:t>
      </w:r>
    </w:p>
    <w:p>
      <w:r>
        <w:t>La cobertura empírica es la proporción de observaciones cuyo valor real cae dentro de los intervalos. También se mide su amplitud: un intervalo más ancho suele cubrir más, pero resulta menos informativo para planear.</w:t>
      </w:r>
    </w:p>
    <w:p>
      <w:pPr>
        <w:pStyle w:val="Heading1"/>
      </w:pPr>
      <w:r>
        <w:t>Resultados en 2025–julio 2026</w:t>
      </w:r>
    </w:p>
    <w:p>
      <w:r>
        <w:t>Coatzacoalcos, n=19: cobertura fija 13/19 (68.4 %); ventana móvil 12 meses 17/19 (89.5 %), con amplitud media 10.19 frente a 15.72 puntos porcentuales, respectivamente.</w:t>
      </w:r>
    </w:p>
    <w:p>
      <w:r>
        <w:t>Veracruz–Boca del Río, n=15: cobertura fija y móvil de 12 meses 14/15 (93.3 %); la ventana de 12 meses es algo más ancha (26.70 frente a 24.44 puntos).</w:t>
      </w:r>
    </w:p>
    <w:p>
      <w:r>
        <w:t>Xalapa, n=19: cobertura fija 17/19 (89.5 %); ventana 12 meses 16/19 (84.2 %) y se amplía considerablemente (45.20 frente a 21.14 puntos). La actualización móvil no mejora todos los casos.</w:t>
      </w:r>
    </w:p>
    <w:p>
      <w:pPr>
        <w:pStyle w:val="Heading1"/>
      </w:pPr>
      <w:r>
        <w:t>Limitaciones y dudas metodológicas</w:t>
      </w:r>
    </w:p>
    <w:p>
      <w:r>
        <w:t>Las evaluaciones tienen pocas observaciones (15–19 por centro), por lo que la cobertura empírica puede fluctuar considerablemente.</w:t>
      </w:r>
    </w:p>
    <w:p>
      <w:r>
        <w:t>La estabilidad temporal de los errores y el modo de calibrar intervalos ante cambios estructurales requieren discusión.</w:t>
      </w:r>
    </w:p>
    <w:p>
      <w:r>
        <w:t>Las tasas de ocupación deben mantenerse entre 0 y 100 %; habría que aclarar cómo afecta a la interpretación recortar intervalos a esos límites.</w:t>
      </w:r>
    </w:p>
    <w:p>
      <w:r>
        <w:t>S7 no debe interpretarse como si la incertidumbre de tres centros cuantificara riesgo turístico en todos los municipios.</w:t>
      </w:r>
    </w:p>
    <w:p>
      <w:pPr>
        <w:pStyle w:val="Heading1"/>
      </w:pPr>
      <w:r>
        <w:t>Preguntas concretas al profesor</w:t>
      </w:r>
    </w:p>
    <w:p>
      <w:pPr>
        <w:pStyle w:val="ListBullet"/>
      </w:pPr>
      <w:r>
        <w:t>¿Es correcto denominar a estos intervalos calibrados por errores históricos una aproximación de predicción con cobertura objetivo, y qué supuestos debemos explicitar?</w:t>
      </w:r>
    </w:p>
    <w:p>
      <w:pPr>
        <w:pStyle w:val="ListBullet"/>
      </w:pPr>
      <w:r>
        <w:t>¿Qué análisis adicional haría falta para evaluar la validez de los intervalos con muestras pequeñas y posibles cambios de régimen?</w:t>
      </w:r>
    </w:p>
    <w:p>
      <w:pPr>
        <w:pStyle w:val="ListBullet"/>
      </w:pPr>
      <w:r>
        <w:t>¿Cómo escoger una ventana móvil sin utilizar retrospectivamente el periodo final de prueba para ajustar la decisión?</w:t>
      </w:r>
    </w:p>
    <w:p>
      <w:pPr>
        <w:pStyle w:val="ListBullet"/>
      </w:pPr>
      <w:r>
        <w:t>¿Qué representación de riesgo/escenarios consideraría adecuada para comunicar estos resultados a Investigación de Operaciones sin extrapolarlos a municipios no medidos?</w:t>
      </w:r>
    </w:p>
    <w:p>
      <w:pPr>
        <w:pStyle w:val="Heading1"/>
      </w:pPr>
      <w:r>
        <w:t>Archivos de respaldo</w:t>
      </w:r>
    </w:p>
    <w:p>
      <w:r>
        <w:t>scripts/run_s6.py; scripts/compare_s6_rolling.py; docs/S6_README.md; docs/S6_ROLLING_NOTES.md; outputs/stochastic/s6_coverage_metrics.csv; outputs/stochastic/s6_rolling_comparison_metrics.csv; outputs/stochastic/s6_intervals.csv.</w:t>
      </w:r>
    </w:p>
    <w:p>
      <w:pPr>
        <w:pStyle w:val="Heading1"/>
      </w:pPr>
      <w:r>
        <w:t>Fuentes y trazabilidad</w:t>
      </w:r>
    </w:p>
    <w:p>
      <w:pPr>
        <w:pStyle w:val="ListBullet"/>
      </w:pPr>
      <w:r>
        <w:t>DataTur / Secretaría de Turismo: https://www.datatur.sectur.gob.mx/</w:t>
      </w:r>
    </w:p>
    <w:p>
      <w:pPr>
        <w:pStyle w:val="ListBullet"/>
      </w:pPr>
      <w:r>
        <w:t>INAH, estadísticas y patrimonio: https://www.inah.gob.mx/</w:t>
      </w:r>
    </w:p>
    <w:p>
      <w:pPr>
        <w:pStyle w:val="ListBullet"/>
      </w:pPr>
      <w:r>
        <w:t>INEGI, DENUE: https://www.inegi.org.mx/app/mapa/denue/</w:t>
      </w:r>
    </w:p>
    <w:p>
      <w:pPr>
        <w:pStyle w:val="ListBullet"/>
      </w:pPr>
      <w:r>
        <w:t>Turismo de Veracruz: https://www.veracruz.mx/</w:t>
      </w:r>
    </w:p>
    <w:p>
      <w:pPr>
        <w:pStyle w:val="ListBullet"/>
      </w:pPr>
      <w:r>
        <w:t>Repositorio del proyecto: Archivos y scripts de promo_Veracruz; corte del 12 de octubre de 2026</w:t>
      </w:r>
    </w:p>
    <w:p>
      <w:r>
        <w:t>Documento de avance para consulta docente; no representa una campaña ejecutada ni resultados turísticos causales.</w:t>
      </w:r>
    </w:p>
    <w:sectPr w:rsidR="00FC693F" w:rsidRPr="0006063C" w:rsidSect="00034616">
      <w:pgSz w:w="12240" w:h="15840"/>
      <w:pgMar w:top="778" w:right="1008" w:bottom="778" w:left="1008"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E5B"/>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3E5B"/>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83E5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