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para docente: Machine Learning</w:t>
      </w:r>
    </w:p>
    <w:p>
      <w:pPr>
        <w:pStyle w:val="Subtitle"/>
      </w:pPr>
      <w:r>
        <w:t>Proyecto prototípico interdisciplinario · Veracruz · Estado al 12/10/2026 · Documento para revisión docente</w:t>
      </w:r>
    </w:p>
    <w:p>
      <w:pPr>
        <w:pStyle w:val="Heading1"/>
      </w:pPr>
      <w:r>
        <w:t>Problema de predicción y alcance</w:t>
      </w:r>
    </w:p>
    <w:p>
      <w:r>
        <w:t>S5 intenta pronosticar la tasa de ocupación hotelera del mes siguiente en Coatzacoalcos, Xalapa y Veracruz–Boca del Río, que sí disponen de series comparables. No infiere afluencia para las restantes localidades de la campaña.</w:t>
      </w:r>
    </w:p>
    <w:p>
      <w:pPr>
        <w:pStyle w:val="Heading1"/>
      </w:pPr>
      <w:r>
        <w:t>Método reproducible</w:t>
      </w:r>
    </w:p>
    <w:p>
      <w:r>
        <w:t>Se contrastan cinco métodos: último mes, mismo mes del año anterior, promedio histórico del mes, Ridge y Random Forest. Se entrena respetando el orden temporal; el conjunto de evaluación original es enero de 2023 a diciembre de 2024 (24 meses por centro, 72 predicciones conjuntas por método). Los parámetros de Random Forest se estudiaron en una ventana anterior para evitar seleccionarlos a partir del periodo final de prueba.</w:t>
      </w:r>
    </w:p>
    <w:p>
      <w:r>
        <w:t>Resultados 2023–2024, MAE total (puntos porcentuales): Random Forest 4.145; último mes 4.498; Ridge 4.605; ingenuo estacional 5.584; promedio histórico del mes 11.771. En Coatzacoalcos la referencia de último mes (2.788) supera al Random Forest (3.042), lo que impide declarar a un único modelo ganador universal.</w:t>
      </w:r>
    </w:p>
    <w:p>
      <w:pPr>
        <w:pStyle w:val="Heading1"/>
      </w:pPr>
      <w:r>
        <w:t>Comprobación con datos posteriores</w:t>
      </w:r>
    </w:p>
    <w:p>
      <w:r>
        <w:t>Se recopilaron observaciones de 2025–julio de 2026: 53 observaciones disponibles entre los tres centros; hay meses faltantes para Veracruz–Boca del Río. MAE reportado en 2025–2026: bosque ajustado 5.507 sobre 53 casos; bosque original 5.647 sobre 53; último mes 6.502 sobre 52. La comparación del último mes requiere restringirse a fechas comunes para ser completamente equivalente.</w:t>
      </w:r>
    </w:p>
    <w:p>
      <w:pPr>
        <w:pStyle w:val="Heading1"/>
      </w:pPr>
      <w:r>
        <w:t>Limitaciones que necesitan discusión</w:t>
      </w:r>
    </w:p>
    <w:p>
      <w:r>
        <w:t>Variaciones bruscas, pandemia y cambios estructurales pueden degradar la precisión; la generalización a municipios sin observaciones es injustificada.</w:t>
      </w:r>
    </w:p>
    <w:p>
      <w:r>
        <w:t>Un MAE de alrededor de 4–6 puntos porcentuales puede ser importante según el uso operativo, y el error medio no describe los peores meses.</w:t>
      </w:r>
    </w:p>
    <w:p>
      <w:r>
        <w:t>El último valor observado de una serie no es una predicción actual para octubre de 2026 si la serie termina antes; diferenciar pronóstico histórico y futuro real.</w:t>
      </w:r>
    </w:p>
    <w:p>
      <w:pPr>
        <w:pStyle w:val="Heading1"/>
      </w:pPr>
      <w:r>
        <w:t>Preguntas concretas al profesor</w:t>
      </w:r>
    </w:p>
    <w:p>
      <w:pPr>
        <w:pStyle w:val="ListBullet"/>
      </w:pPr>
      <w:r>
        <w:t>¿La validación temporal expansiva y los baselines son adecuados para el temario y la muestra disponible?</w:t>
      </w:r>
    </w:p>
    <w:p>
      <w:pPr>
        <w:pStyle w:val="ListBullet"/>
      </w:pPr>
      <w:r>
        <w:t>¿Qué pruebas recomiendan para comparar Random Forest y la referencia de último mes con las mismas fechas?</w:t>
      </w:r>
    </w:p>
    <w:p>
      <w:pPr>
        <w:pStyle w:val="ListBullet"/>
      </w:pPr>
      <w:r>
        <w:t>¿Cómo describir la elección de modelos por centro y los casos en que un baseline sencillo supera un modelo complejo?</w:t>
      </w:r>
    </w:p>
    <w:p>
      <w:pPr>
        <w:pStyle w:val="ListBullet"/>
      </w:pPr>
      <w:r>
        <w:t>¿Conviene incorporar un análisis de cambios estructurales o dejarlo como limitación documentada?</w:t>
      </w:r>
    </w:p>
    <w:p>
      <w:pPr>
        <w:pStyle w:val="Heading1"/>
      </w:pPr>
      <w:r>
        <w:t>Archivos de respaldo</w:t>
      </w:r>
    </w:p>
    <w:p>
      <w:r>
        <w:t>scripts/run_s5.py; scripts/tune_s5.py; scripts/evaluate_s5_25_26_data.py; outputs/ml/s5_backtest_metrics.csv; outputs/ml/s5_rf_tuning_test_metrics.csv; outputs/ml/s5_25_26_metrics.csv; outputs/ml/s5_25_26_predictions.csv.</w:t>
      </w:r>
    </w:p>
    <w:p>
      <w:pPr>
        <w:pStyle w:val="Heading1"/>
      </w:pPr>
      <w:r>
        <w:t>Fuentes y trazabilidad</w:t>
      </w:r>
    </w:p>
    <w:p>
      <w:pPr>
        <w:pStyle w:val="ListBullet"/>
      </w:pPr>
      <w:r>
        <w:t>DataTur / Secretaría de Turismo: https://www.datatur.sectur.gob.mx/</w:t>
      </w:r>
    </w:p>
    <w:p>
      <w:pPr>
        <w:pStyle w:val="ListBullet"/>
      </w:pPr>
      <w:r>
        <w:t>INAH, estadísticas y patrimonio: https://www.inah.gob.mx/</w:t>
      </w:r>
    </w:p>
    <w:p>
      <w:pPr>
        <w:pStyle w:val="ListBullet"/>
      </w:pPr>
      <w:r>
        <w:t>INEGI, DENUE: https://www.inegi.org.mx/app/mapa/denue/</w:t>
      </w:r>
    </w:p>
    <w:p>
      <w:pPr>
        <w:pStyle w:val="ListBullet"/>
      </w:pPr>
      <w:r>
        <w:t>Turismo de Veracruz: https://www.veracruz.mx/</w:t>
      </w:r>
    </w:p>
    <w:p>
      <w:pPr>
        <w:pStyle w:val="ListBullet"/>
      </w:pPr>
      <w:r>
        <w:t>Repositorio del proyecto: Archivos y scripts de promo_Veracruz; corte del 12 de octubre de 2026</w:t>
      </w:r>
    </w:p>
    <w:p>
      <w:r>
        <w:t>Documento de avance para consulta docente; no representa una campaña ejecutada ni resultados turísticos causales.</w:t>
      </w:r>
    </w:p>
    <w:sectPr w:rsidR="00FC693F" w:rsidRPr="0006063C" w:rsidSect="00034616">
      <w:pgSz w:w="12240" w:h="15840"/>
      <w:pgMar w:top="778" w:right="1008" w:bottom="778" w:left="100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E5B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