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C3BD" w14:textId="5CFD98AB" w:rsidR="008718C3" w:rsidRDefault="00844727" w:rsidP="00BB066E">
      <w:pPr>
        <w:pStyle w:val="Heading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Reproducibility package</w:t>
      </w:r>
    </w:p>
    <w:p w14:paraId="523C7EA0" w14:textId="14AAF183" w:rsidR="00844727" w:rsidRDefault="00844727" w:rsidP="00844727">
      <w:pPr>
        <w:pStyle w:val="BodyText"/>
      </w:pPr>
      <w:r>
        <w:t>There are four scripts:</w:t>
      </w:r>
    </w:p>
    <w:p w14:paraId="2EB791C1" w14:textId="54D0B99C" w:rsidR="00844727" w:rsidRDefault="00844727" w:rsidP="00844727">
      <w:pPr>
        <w:pStyle w:val="BodyText"/>
        <w:numPr>
          <w:ilvl w:val="0"/>
          <w:numId w:val="3"/>
        </w:numPr>
      </w:pPr>
      <w:r>
        <w:t>Tidying data</w:t>
      </w:r>
    </w:p>
    <w:p w14:paraId="0E0B7565" w14:textId="7274A11F" w:rsidR="00844727" w:rsidRDefault="00844727" w:rsidP="00844727">
      <w:pPr>
        <w:pStyle w:val="BodyText"/>
        <w:numPr>
          <w:ilvl w:val="0"/>
          <w:numId w:val="3"/>
        </w:numPr>
      </w:pPr>
      <w:r>
        <w:t>Cleaning data</w:t>
      </w:r>
    </w:p>
    <w:p w14:paraId="24EB32C6" w14:textId="2E8139A5" w:rsidR="00844727" w:rsidRDefault="00844727" w:rsidP="00844727">
      <w:pPr>
        <w:pStyle w:val="BodyText"/>
        <w:numPr>
          <w:ilvl w:val="0"/>
          <w:numId w:val="3"/>
        </w:numPr>
      </w:pPr>
      <w:r>
        <w:t>Constructing indicators for analysis</w:t>
      </w:r>
    </w:p>
    <w:p w14:paraId="7A2E74DB" w14:textId="1AD4DBDC" w:rsidR="00844727" w:rsidRDefault="00844727" w:rsidP="00844727">
      <w:pPr>
        <w:pStyle w:val="BodyText"/>
        <w:numPr>
          <w:ilvl w:val="0"/>
          <w:numId w:val="3"/>
        </w:numPr>
      </w:pPr>
      <w:r>
        <w:t>Analysis</w:t>
      </w:r>
    </w:p>
    <w:p w14:paraId="57A75422" w14:textId="5F9D4651" w:rsidR="00844727" w:rsidRPr="00844727" w:rsidRDefault="00844727" w:rsidP="00844727">
      <w:pPr>
        <w:pStyle w:val="BodyText"/>
      </w:pPr>
      <w:r>
        <w:t xml:space="preserve">All these scripts can be run from the </w:t>
      </w:r>
      <w:r w:rsidRPr="00844727">
        <w:rPr>
          <w:i/>
          <w:iCs/>
        </w:rPr>
        <w:t>Master</w:t>
      </w:r>
      <w:r>
        <w:rPr>
          <w:i/>
          <w:iCs/>
        </w:rPr>
        <w:t>_</w:t>
      </w:r>
      <w:r w:rsidRPr="00844727">
        <w:rPr>
          <w:i/>
          <w:iCs/>
        </w:rPr>
        <w:t>script.R</w:t>
      </w:r>
      <w:r>
        <w:t xml:space="preserve"> withing the </w:t>
      </w:r>
      <w:r>
        <w:rPr>
          <w:i/>
          <w:iCs/>
        </w:rPr>
        <w:t xml:space="preserve">Reproducibility_package.RProj </w:t>
      </w:r>
      <w:r>
        <w:t xml:space="preserve">R project. </w:t>
      </w:r>
    </w:p>
    <w:p w14:paraId="7DC0937E" w14:textId="55205A05" w:rsidR="008718C3" w:rsidRDefault="00844727" w:rsidP="00BB066E">
      <w:pPr>
        <w:pStyle w:val="Heading2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Dependencies</w:t>
      </w:r>
    </w:p>
    <w:p w14:paraId="5289A00E" w14:textId="493A75CF" w:rsidR="00844727" w:rsidRDefault="00844727" w:rsidP="00844727">
      <w:pPr>
        <w:pStyle w:val="BodyText"/>
      </w:pPr>
      <w:r>
        <w:t>R packages required:</w:t>
      </w:r>
      <w:r>
        <w:br/>
      </w:r>
    </w:p>
    <w:p w14:paraId="04CE24E9" w14:textId="540B17E9" w:rsidR="00844727" w:rsidRDefault="00844727" w:rsidP="00844727">
      <w:pPr>
        <w:pStyle w:val="BodyText"/>
        <w:numPr>
          <w:ilvl w:val="0"/>
          <w:numId w:val="4"/>
        </w:numPr>
      </w:pPr>
      <w:r>
        <w:t xml:space="preserve">"dplyr", </w:t>
      </w:r>
    </w:p>
    <w:p w14:paraId="24E57D8F" w14:textId="19FC16AC" w:rsidR="00844727" w:rsidRDefault="00844727" w:rsidP="00844727">
      <w:pPr>
        <w:pStyle w:val="BodyText"/>
        <w:numPr>
          <w:ilvl w:val="0"/>
          <w:numId w:val="4"/>
        </w:numPr>
      </w:pPr>
      <w:r>
        <w:t>“tidyr”</w:t>
      </w:r>
    </w:p>
    <w:p w14:paraId="1CB15A01" w14:textId="6BB6B95C" w:rsidR="00844727" w:rsidRDefault="00844727" w:rsidP="00844727">
      <w:pPr>
        <w:pStyle w:val="BodyText"/>
        <w:numPr>
          <w:ilvl w:val="0"/>
          <w:numId w:val="4"/>
        </w:numPr>
      </w:pPr>
      <w:r>
        <w:t>“pacman”</w:t>
      </w:r>
    </w:p>
    <w:p w14:paraId="736AC0BA" w14:textId="48A11BE3" w:rsidR="00844727" w:rsidRDefault="00844727" w:rsidP="00844727">
      <w:pPr>
        <w:pStyle w:val="BodyText"/>
        <w:numPr>
          <w:ilvl w:val="0"/>
          <w:numId w:val="4"/>
        </w:numPr>
      </w:pPr>
      <w:r>
        <w:t xml:space="preserve">"ggplot2", </w:t>
      </w:r>
    </w:p>
    <w:p w14:paraId="6170A7B7" w14:textId="67B7AFED" w:rsidR="00844727" w:rsidRDefault="00844727" w:rsidP="00844727">
      <w:pPr>
        <w:pStyle w:val="BodyText"/>
        <w:numPr>
          <w:ilvl w:val="0"/>
          <w:numId w:val="4"/>
        </w:numPr>
      </w:pPr>
      <w:r>
        <w:t xml:space="preserve">"corrplot", </w:t>
      </w:r>
    </w:p>
    <w:p w14:paraId="39DEF2F8" w14:textId="0CE4F67C" w:rsidR="00844727" w:rsidRDefault="00844727" w:rsidP="00844727">
      <w:pPr>
        <w:pStyle w:val="BodyText"/>
        <w:numPr>
          <w:ilvl w:val="0"/>
          <w:numId w:val="4"/>
        </w:numPr>
      </w:pPr>
      <w:r>
        <w:t xml:space="preserve">"gt", </w:t>
      </w:r>
    </w:p>
    <w:p w14:paraId="391BE59E" w14:textId="46D0AF4A" w:rsidR="00844727" w:rsidRDefault="00844727" w:rsidP="00844727">
      <w:pPr>
        <w:pStyle w:val="BodyText"/>
        <w:numPr>
          <w:ilvl w:val="0"/>
          <w:numId w:val="4"/>
        </w:numPr>
      </w:pPr>
      <w:r>
        <w:t xml:space="preserve">"plm", </w:t>
      </w:r>
    </w:p>
    <w:p w14:paraId="7E44A9D9" w14:textId="4EE18538" w:rsidR="00844727" w:rsidRDefault="00844727" w:rsidP="00844727">
      <w:pPr>
        <w:pStyle w:val="BodyText"/>
        <w:numPr>
          <w:ilvl w:val="0"/>
          <w:numId w:val="4"/>
        </w:numPr>
      </w:pPr>
      <w:r>
        <w:t xml:space="preserve">"lmtest", </w:t>
      </w:r>
    </w:p>
    <w:p w14:paraId="2B34E6AA" w14:textId="3CC09F4B" w:rsidR="00844727" w:rsidRDefault="00844727" w:rsidP="00844727">
      <w:pPr>
        <w:pStyle w:val="BodyText"/>
        <w:numPr>
          <w:ilvl w:val="0"/>
          <w:numId w:val="4"/>
        </w:numPr>
      </w:pPr>
      <w:r>
        <w:t xml:space="preserve">"here", </w:t>
      </w:r>
    </w:p>
    <w:p w14:paraId="2781D2EA" w14:textId="44ABD3F1" w:rsidR="00844727" w:rsidRDefault="00844727" w:rsidP="00844727">
      <w:pPr>
        <w:pStyle w:val="BodyText"/>
        <w:numPr>
          <w:ilvl w:val="0"/>
          <w:numId w:val="4"/>
        </w:numPr>
      </w:pPr>
      <w:r>
        <w:t xml:space="preserve">"labelled", </w:t>
      </w:r>
    </w:p>
    <w:p w14:paraId="3A85159A" w14:textId="0EEE9A46" w:rsidR="00844727" w:rsidRDefault="00844727" w:rsidP="00844727">
      <w:pPr>
        <w:pStyle w:val="BodyText"/>
        <w:numPr>
          <w:ilvl w:val="0"/>
          <w:numId w:val="4"/>
        </w:numPr>
      </w:pPr>
      <w:r>
        <w:t xml:space="preserve">"stringi", </w:t>
      </w:r>
    </w:p>
    <w:p w14:paraId="1E9A906F" w14:textId="72A11B1C" w:rsidR="00844727" w:rsidRDefault="00844727" w:rsidP="00844727">
      <w:pPr>
        <w:pStyle w:val="BodyText"/>
        <w:numPr>
          <w:ilvl w:val="0"/>
          <w:numId w:val="4"/>
        </w:numPr>
      </w:pPr>
      <w:r>
        <w:t xml:space="preserve">"Hmisc", </w:t>
      </w:r>
    </w:p>
    <w:p w14:paraId="2AA3C3D9" w14:textId="2999FD68" w:rsidR="00844727" w:rsidRDefault="00844727" w:rsidP="00844727">
      <w:pPr>
        <w:pStyle w:val="BodyText"/>
        <w:numPr>
          <w:ilvl w:val="0"/>
          <w:numId w:val="4"/>
        </w:numPr>
      </w:pPr>
      <w:r>
        <w:t xml:space="preserve">"stringi", </w:t>
      </w:r>
    </w:p>
    <w:p w14:paraId="51CDA767" w14:textId="139B388E" w:rsidR="00844727" w:rsidRPr="00844727" w:rsidRDefault="00844727" w:rsidP="00844727">
      <w:pPr>
        <w:pStyle w:val="BodyText"/>
        <w:numPr>
          <w:ilvl w:val="0"/>
          <w:numId w:val="4"/>
        </w:numPr>
      </w:pPr>
      <w:r>
        <w:t>"stargazer"</w:t>
      </w:r>
    </w:p>
    <w:p w14:paraId="441BB0D8" w14:textId="77777777" w:rsidR="008718C3" w:rsidRDefault="008718C3" w:rsidP="00BB066E">
      <w:pPr>
        <w:pStyle w:val="Heading2"/>
        <w:rPr>
          <w:rFonts w:cstheme="majorHAnsi"/>
          <w:sz w:val="24"/>
          <w:szCs w:val="24"/>
        </w:rPr>
      </w:pPr>
    </w:p>
    <w:p w14:paraId="15339B02" w14:textId="5FE73651" w:rsidR="00BB066E" w:rsidRPr="003C10A5" w:rsidRDefault="00BB066E" w:rsidP="00BB066E">
      <w:pPr>
        <w:pStyle w:val="Heading2"/>
        <w:rPr>
          <w:rFonts w:cstheme="majorHAnsi"/>
          <w:sz w:val="24"/>
          <w:szCs w:val="24"/>
        </w:rPr>
      </w:pPr>
      <w:r w:rsidRPr="003C10A5">
        <w:rPr>
          <w:rFonts w:cstheme="majorHAnsi"/>
          <w:sz w:val="24"/>
          <w:szCs w:val="24"/>
        </w:rPr>
        <w:t>Data Availability Statement</w:t>
      </w:r>
    </w:p>
    <w:p w14:paraId="44CC2101" w14:textId="2F6A34B6" w:rsidR="00BB066E" w:rsidRPr="003C10A5" w:rsidRDefault="00BB066E" w:rsidP="00BB066E">
      <w:pPr>
        <w:rPr>
          <w:rFonts w:asciiTheme="majorHAnsi" w:hAnsiTheme="majorHAnsi" w:cstheme="majorHAnsi"/>
        </w:rPr>
      </w:pPr>
      <w:r w:rsidRPr="003C10A5">
        <w:rPr>
          <w:rFonts w:asciiTheme="majorHAnsi" w:hAnsiTheme="majorHAnsi" w:cstheme="majorHAnsi"/>
        </w:rPr>
        <w:t xml:space="preserve">The authors of the </w:t>
      </w:r>
      <w:r w:rsidRPr="002D2E6D">
        <w:rPr>
          <w:rFonts w:asciiTheme="majorHAnsi" w:hAnsiTheme="majorHAnsi" w:cstheme="majorHAnsi"/>
        </w:rPr>
        <w:t xml:space="preserve">manuscript certify they have legitimate access to and permission to use the data used in this manuscript. All the data is publicly available. </w:t>
      </w:r>
      <w:r w:rsidR="00593250" w:rsidRPr="002D2E6D">
        <w:rPr>
          <w:rFonts w:asciiTheme="majorHAnsi" w:hAnsiTheme="majorHAnsi" w:cstheme="majorHAnsi"/>
        </w:rPr>
        <w:t>The authors are not responsible for updates to the data made at the source after</w:t>
      </w:r>
      <w:r w:rsidR="00593250" w:rsidRPr="003C10A5">
        <w:rPr>
          <w:rFonts w:asciiTheme="majorHAnsi" w:hAnsiTheme="majorHAnsi" w:cstheme="majorHAnsi"/>
        </w:rPr>
        <w:t xml:space="preserve"> the versions used in the analysis.</w:t>
      </w:r>
    </w:p>
    <w:p w14:paraId="44E1906F" w14:textId="1C6EB9BC" w:rsidR="00C112AF" w:rsidRPr="00C112AF" w:rsidRDefault="00BB066E" w:rsidP="00C112AF">
      <w:pPr>
        <w:pStyle w:val="Heading3"/>
        <w:rPr>
          <w:rFonts w:cstheme="majorHAnsi"/>
        </w:rPr>
      </w:pPr>
      <w:bookmarkStart w:id="0" w:name="details-on-each-data-source"/>
      <w:r w:rsidRPr="003C10A5">
        <w:rPr>
          <w:rFonts w:cstheme="majorHAnsi"/>
        </w:rPr>
        <w:t>D</w:t>
      </w:r>
      <w:bookmarkEnd w:id="0"/>
      <w:r w:rsidRPr="003C10A5">
        <w:rPr>
          <w:rFonts w:cstheme="majorHAnsi"/>
        </w:rPr>
        <w:t>ata sources</w:t>
      </w:r>
    </w:p>
    <w:tbl>
      <w:tblPr>
        <w:tblStyle w:val="PlainTable2"/>
        <w:tblW w:w="4703" w:type="pct"/>
        <w:tblLayout w:type="fixed"/>
        <w:tblLook w:val="07E0" w:firstRow="1" w:lastRow="1" w:firstColumn="1" w:lastColumn="1" w:noHBand="1" w:noVBand="1"/>
      </w:tblPr>
      <w:tblGrid>
        <w:gridCol w:w="2216"/>
        <w:gridCol w:w="3029"/>
        <w:gridCol w:w="425"/>
        <w:gridCol w:w="856"/>
        <w:gridCol w:w="2278"/>
      </w:tblGrid>
      <w:tr w:rsidR="00BB066E" w:rsidRPr="003C10A5" w14:paraId="318BD458" w14:textId="77777777" w:rsidTr="00BB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00DC94C6" w14:textId="77777777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  <w:r w:rsidRPr="003C10A5">
              <w:rPr>
                <w:rFonts w:asciiTheme="majorHAnsi" w:hAnsiTheme="majorHAnsi" w:cstheme="majorHAnsi"/>
              </w:rPr>
              <w:t>Data Name</w:t>
            </w:r>
          </w:p>
        </w:tc>
        <w:tc>
          <w:tcPr>
            <w:tcW w:w="3029" w:type="dxa"/>
          </w:tcPr>
          <w:p w14:paraId="29442EDF" w14:textId="77777777" w:rsidR="00BB066E" w:rsidRPr="003C10A5" w:rsidRDefault="00BB066E" w:rsidP="000C35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10A5">
              <w:rPr>
                <w:rFonts w:asciiTheme="majorHAnsi" w:hAnsiTheme="majorHAnsi" w:cstheme="majorHAnsi"/>
              </w:rPr>
              <w:t>Data Files</w:t>
            </w:r>
          </w:p>
        </w:tc>
        <w:tc>
          <w:tcPr>
            <w:tcW w:w="1281" w:type="dxa"/>
            <w:gridSpan w:val="2"/>
          </w:tcPr>
          <w:p w14:paraId="6525764D" w14:textId="77777777" w:rsidR="00BB066E" w:rsidRPr="003C10A5" w:rsidRDefault="00BB066E" w:rsidP="000C35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C10A5">
              <w:rPr>
                <w:rFonts w:asciiTheme="majorHAnsi" w:hAnsiTheme="majorHAnsi" w:cstheme="majorHAnsi"/>
              </w:rPr>
              <w:t>Provided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</w:tcPr>
          <w:p w14:paraId="693857C3" w14:textId="77777777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  <w:r w:rsidRPr="003C10A5">
              <w:rPr>
                <w:rFonts w:asciiTheme="majorHAnsi" w:hAnsiTheme="majorHAnsi" w:cstheme="majorHAnsi"/>
              </w:rPr>
              <w:t>References</w:t>
            </w:r>
          </w:p>
        </w:tc>
      </w:tr>
      <w:tr w:rsidR="00BB066E" w:rsidRPr="003C10A5" w14:paraId="78CDAE16" w14:textId="77777777" w:rsidTr="00B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5C5DFB26" w14:textId="65C3460A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Open Street Maps</w:t>
            </w:r>
          </w:p>
        </w:tc>
        <w:tc>
          <w:tcPr>
            <w:tcW w:w="3454" w:type="dxa"/>
            <w:gridSpan w:val="2"/>
          </w:tcPr>
          <w:p w14:paraId="1C78D013" w14:textId="1C89556F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colombia_infraestructure.csv</w:t>
            </w:r>
          </w:p>
        </w:tc>
        <w:tc>
          <w:tcPr>
            <w:tcW w:w="856" w:type="dxa"/>
          </w:tcPr>
          <w:p w14:paraId="7F303627" w14:textId="1805C5DB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</w:tcPr>
          <w:p w14:paraId="779A62D0" w14:textId="77777777" w:rsidR="00BB066E" w:rsidRPr="006829B8" w:rsidRDefault="00BB066E" w:rsidP="000C3500">
            <w:pPr>
              <w:pStyle w:val="Compact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WITS (2023)</w:t>
            </w:r>
          </w:p>
        </w:tc>
      </w:tr>
      <w:tr w:rsidR="00BB066E" w:rsidRPr="003C10A5" w14:paraId="78D88D50" w14:textId="77777777" w:rsidTr="00B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bottom w:val="nil"/>
            </w:tcBorders>
          </w:tcPr>
          <w:p w14:paraId="059C6AD2" w14:textId="6F58F547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Ookla</w:t>
            </w:r>
          </w:p>
        </w:tc>
        <w:tc>
          <w:tcPr>
            <w:tcW w:w="3454" w:type="dxa"/>
            <w:gridSpan w:val="2"/>
            <w:tcBorders>
              <w:bottom w:val="nil"/>
            </w:tcBorders>
          </w:tcPr>
          <w:p w14:paraId="5CBAB242" w14:textId="6AEB4577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colombia_connectivity.csv</w:t>
            </w:r>
          </w:p>
        </w:tc>
        <w:tc>
          <w:tcPr>
            <w:tcW w:w="856" w:type="dxa"/>
            <w:tcBorders>
              <w:bottom w:val="nil"/>
            </w:tcBorders>
          </w:tcPr>
          <w:p w14:paraId="486D8134" w14:textId="498335E9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  <w:tcBorders>
              <w:bottom w:val="nil"/>
            </w:tcBorders>
          </w:tcPr>
          <w:p w14:paraId="2C028C99" w14:textId="7F28AD67" w:rsidR="00BB066E" w:rsidRPr="006829B8" w:rsidRDefault="00BB066E" w:rsidP="000C3500">
            <w:pPr>
              <w:pStyle w:val="Compact"/>
              <w:rPr>
                <w:rFonts w:asciiTheme="majorHAnsi" w:hAnsiTheme="majorHAnsi" w:cstheme="majorHAnsi"/>
                <w:b w:val="0"/>
                <w:bCs w:val="0"/>
              </w:rPr>
            </w:pPr>
            <w:r w:rsidRPr="00C112AF">
              <w:rPr>
                <w:rFonts w:asciiTheme="majorHAnsi" w:hAnsiTheme="majorHAnsi" w:cstheme="majorHAnsi"/>
                <w:b w:val="0"/>
                <w:bCs w:val="0"/>
              </w:rPr>
              <w:t>Ookla (2020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)</w:t>
            </w:r>
          </w:p>
        </w:tc>
      </w:tr>
      <w:tr w:rsidR="00BB066E" w:rsidRPr="003C10A5" w14:paraId="2696279A" w14:textId="77777777" w:rsidTr="00B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nil"/>
              <w:bottom w:val="nil"/>
            </w:tcBorders>
          </w:tcPr>
          <w:p w14:paraId="26B23E0F" w14:textId="1886A187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Humanataria Data Exchange</w:t>
            </w:r>
          </w:p>
        </w:tc>
        <w:tc>
          <w:tcPr>
            <w:tcW w:w="3454" w:type="dxa"/>
            <w:gridSpan w:val="2"/>
            <w:tcBorders>
              <w:top w:val="nil"/>
              <w:bottom w:val="nil"/>
            </w:tcBorders>
          </w:tcPr>
          <w:p w14:paraId="1F039301" w14:textId="064E2F34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data file</w:t>
            </w:r>
            <w:r w:rsidR="004536B1">
              <w:rPr>
                <w:rFonts w:asciiTheme="majorHAnsi" w:hAnsiTheme="majorHAnsi" w:cstheme="majorHAnsi"/>
              </w:rPr>
              <w:t xml:space="preserve"> in package. I</w:t>
            </w:r>
            <w:r>
              <w:rPr>
                <w:rFonts w:asciiTheme="majorHAnsi" w:hAnsiTheme="majorHAnsi" w:cstheme="majorHAnsi"/>
              </w:rPr>
              <w:t xml:space="preserve">t was merged to the </w:t>
            </w:r>
            <w:r w:rsidR="00FC63BD">
              <w:rPr>
                <w:rFonts w:asciiTheme="majorHAnsi" w:hAnsiTheme="majorHAnsi" w:cstheme="majorHAnsi"/>
              </w:rPr>
              <w:t>previous data files.</w:t>
            </w: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016069E9" w14:textId="003E4F10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bottom w:val="nil"/>
            </w:tcBorders>
          </w:tcPr>
          <w:p w14:paraId="6ACBC6CA" w14:textId="2FC7FEC2" w:rsidR="00BB066E" w:rsidRPr="006829B8" w:rsidRDefault="00BB066E" w:rsidP="000C3500">
            <w:pPr>
              <w:pStyle w:val="Compact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HDX (2023)</w:t>
            </w:r>
          </w:p>
        </w:tc>
      </w:tr>
      <w:tr w:rsidR="00BB066E" w:rsidRPr="003C10A5" w14:paraId="38485BAE" w14:textId="77777777" w:rsidTr="00BB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nil"/>
              <w:bottom w:val="single" w:sz="4" w:space="0" w:color="auto"/>
            </w:tcBorders>
          </w:tcPr>
          <w:p w14:paraId="6979F378" w14:textId="15F35272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454" w:type="dxa"/>
            <w:gridSpan w:val="2"/>
            <w:tcBorders>
              <w:top w:val="nil"/>
              <w:bottom w:val="single" w:sz="4" w:space="0" w:color="auto"/>
            </w:tcBorders>
          </w:tcPr>
          <w:p w14:paraId="067E2919" w14:textId="4AFAE36B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6" w:type="dxa"/>
            <w:tcBorders>
              <w:top w:val="nil"/>
              <w:bottom w:val="single" w:sz="4" w:space="0" w:color="auto"/>
            </w:tcBorders>
          </w:tcPr>
          <w:p w14:paraId="3823BA8D" w14:textId="7169278D" w:rsidR="00BB066E" w:rsidRPr="003C10A5" w:rsidRDefault="00BB066E" w:rsidP="000C35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bottom w:val="single" w:sz="4" w:space="0" w:color="auto"/>
            </w:tcBorders>
          </w:tcPr>
          <w:p w14:paraId="4DB87409" w14:textId="607E8961" w:rsidR="00BB066E" w:rsidRPr="006829B8" w:rsidRDefault="00BB066E" w:rsidP="000C3500">
            <w:pPr>
              <w:pStyle w:val="Compac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  <w:tr w:rsidR="00BB066E" w:rsidRPr="003C10A5" w14:paraId="57281367" w14:textId="77777777" w:rsidTr="00BB066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nil"/>
              <w:bottom w:val="nil"/>
            </w:tcBorders>
          </w:tcPr>
          <w:p w14:paraId="4AF1F6F4" w14:textId="267F3072" w:rsidR="00BB066E" w:rsidRPr="003C10A5" w:rsidRDefault="00BB066E" w:rsidP="000C3500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454" w:type="dxa"/>
            <w:gridSpan w:val="2"/>
            <w:tcBorders>
              <w:top w:val="nil"/>
              <w:bottom w:val="nil"/>
            </w:tcBorders>
          </w:tcPr>
          <w:p w14:paraId="3F9BD930" w14:textId="13E72B92" w:rsidR="00BB066E" w:rsidRPr="003C10A5" w:rsidRDefault="00BB066E" w:rsidP="000C3500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856" w:type="dxa"/>
            <w:tcBorders>
              <w:top w:val="nil"/>
              <w:bottom w:val="nil"/>
            </w:tcBorders>
          </w:tcPr>
          <w:p w14:paraId="54430211" w14:textId="6F3D3B60" w:rsidR="00BB066E" w:rsidRPr="003C10A5" w:rsidRDefault="00BB066E" w:rsidP="000C3500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78" w:type="dxa"/>
            <w:tcBorders>
              <w:top w:val="nil"/>
              <w:bottom w:val="nil"/>
            </w:tcBorders>
          </w:tcPr>
          <w:p w14:paraId="29B31B39" w14:textId="32AE9956" w:rsidR="00BB066E" w:rsidRPr="006829B8" w:rsidRDefault="00BB066E" w:rsidP="000C3500">
            <w:pPr>
              <w:pStyle w:val="Compact"/>
              <w:rPr>
                <w:rFonts w:asciiTheme="majorHAnsi" w:hAnsiTheme="majorHAnsi" w:cstheme="majorHAnsi"/>
                <w:b w:val="0"/>
                <w:bCs w:val="0"/>
              </w:rPr>
            </w:pPr>
          </w:p>
        </w:tc>
      </w:tr>
    </w:tbl>
    <w:p w14:paraId="4B696708" w14:textId="1A06C3FD" w:rsidR="00BB066E" w:rsidRPr="003C10A5" w:rsidRDefault="00BB066E" w:rsidP="00BB066E">
      <w:pPr>
        <w:pStyle w:val="BlockText"/>
        <w:ind w:left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Open Street Maps</w:t>
      </w:r>
    </w:p>
    <w:p w14:paraId="22328C7D" w14:textId="437E6C2A" w:rsidR="00FC63BD" w:rsidRPr="00FC63BD" w:rsidRDefault="00BB066E" w:rsidP="00FC63BD">
      <w:pPr>
        <w:pStyle w:val="BodyTex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FC63BD">
        <w:rPr>
          <w:rFonts w:asciiTheme="majorHAnsi" w:hAnsiTheme="majorHAnsi" w:cstheme="majorHAnsi"/>
        </w:rPr>
        <w:t>The package uses data from</w:t>
      </w:r>
      <w:r w:rsidR="00FC63BD" w:rsidRPr="00FC63BD">
        <w:rPr>
          <w:rFonts w:asciiTheme="majorHAnsi" w:hAnsiTheme="majorHAnsi" w:cstheme="majorHAnsi"/>
        </w:rPr>
        <w:t xml:space="preserve"> Open Street Maps using </w:t>
      </w:r>
      <w:r w:rsidR="00FC63BD">
        <w:rPr>
          <w:rFonts w:asciiTheme="majorHAnsi" w:hAnsiTheme="majorHAnsi" w:cstheme="majorHAnsi"/>
        </w:rPr>
        <w:t xml:space="preserve">the Python </w:t>
      </w:r>
      <w:r w:rsidR="00FC63BD" w:rsidRPr="00FC63BD">
        <w:rPr>
          <w:rFonts w:asciiTheme="majorHAnsi" w:hAnsiTheme="majorHAnsi" w:cstheme="majorHAnsi"/>
        </w:rPr>
        <w:t>Overpass API</w:t>
      </w:r>
      <w:r w:rsidR="00FC63BD">
        <w:rPr>
          <w:rFonts w:asciiTheme="majorHAnsi" w:hAnsiTheme="majorHAnsi" w:cstheme="majorHAnsi"/>
          <w:b/>
          <w:bCs/>
        </w:rPr>
        <w:t xml:space="preserve">. </w:t>
      </w:r>
      <w:r w:rsidR="00FC63BD">
        <w:rPr>
          <w:rFonts w:asciiTheme="majorHAnsi" w:hAnsiTheme="majorHAnsi" w:cstheme="majorHAnsi"/>
        </w:rPr>
        <w:t xml:space="preserve">The package already provides the data, so you don’t need to consult the API, but if you need here is </w:t>
      </w:r>
      <w:hyperlink r:id="rId7" w:history="1">
        <w:r w:rsidR="00FC63BD" w:rsidRPr="00FC63BD">
          <w:rPr>
            <w:rStyle w:val="Hyperlink"/>
            <w:rFonts w:asciiTheme="majorHAnsi" w:hAnsiTheme="majorHAnsi" w:cstheme="majorHAnsi"/>
          </w:rPr>
          <w:t>how to do it.</w:t>
        </w:r>
      </w:hyperlink>
      <w:r w:rsidR="00FC63BD">
        <w:rPr>
          <w:rFonts w:asciiTheme="majorHAnsi" w:hAnsiTheme="majorHAnsi" w:cstheme="majorHAnsi"/>
        </w:rPr>
        <w:t xml:space="preserve"> </w:t>
      </w:r>
    </w:p>
    <w:p w14:paraId="6576C4F2" w14:textId="7D43842C" w:rsidR="00BB066E" w:rsidRPr="00FC63BD" w:rsidRDefault="00FC63BD" w:rsidP="00FC63BD">
      <w:pPr>
        <w:pStyle w:val="BodyText"/>
        <w:rPr>
          <w:rFonts w:asciiTheme="majorHAnsi" w:hAnsiTheme="majorHAnsi" w:cstheme="majorHAnsi"/>
          <w:b/>
          <w:bCs/>
        </w:rPr>
      </w:pPr>
      <w:r w:rsidRPr="00FC63BD">
        <w:rPr>
          <w:rFonts w:asciiTheme="majorHAnsi" w:hAnsiTheme="majorHAnsi" w:cstheme="majorHAnsi"/>
          <w:b/>
          <w:bCs/>
        </w:rPr>
        <w:t>Ookla</w:t>
      </w:r>
    </w:p>
    <w:p w14:paraId="21A132FF" w14:textId="583C6920" w:rsidR="00FC63BD" w:rsidRPr="00FC63BD" w:rsidRDefault="00FC63BD" w:rsidP="00FC63BD">
      <w:pPr>
        <w:pStyle w:val="BodyTex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FC63BD">
        <w:rPr>
          <w:rFonts w:asciiTheme="majorHAnsi" w:hAnsiTheme="majorHAnsi" w:cstheme="majorHAnsi"/>
        </w:rPr>
        <w:t xml:space="preserve">The package uses </w:t>
      </w:r>
      <w:r>
        <w:rPr>
          <w:rFonts w:asciiTheme="majorHAnsi" w:hAnsiTheme="majorHAnsi" w:cstheme="majorHAnsi"/>
        </w:rPr>
        <w:t xml:space="preserve">connectivity </w:t>
      </w:r>
      <w:r w:rsidRPr="00FC63BD">
        <w:rPr>
          <w:rFonts w:asciiTheme="majorHAnsi" w:hAnsiTheme="majorHAnsi" w:cstheme="majorHAnsi"/>
        </w:rPr>
        <w:t>data from O</w:t>
      </w:r>
      <w:r>
        <w:rPr>
          <w:rFonts w:asciiTheme="majorHAnsi" w:hAnsiTheme="majorHAnsi" w:cstheme="majorHAnsi"/>
        </w:rPr>
        <w:t xml:space="preserve">okla from the first and fourth quarter of 2020. </w:t>
      </w:r>
      <w:r w:rsidR="00C112AF">
        <w:rPr>
          <w:rFonts w:asciiTheme="majorHAnsi" w:hAnsiTheme="majorHAnsi" w:cstheme="majorHAnsi"/>
        </w:rPr>
        <w:t xml:space="preserve">The package already contains the data, but if you need to download it you can do it from </w:t>
      </w:r>
      <w:hyperlink r:id="rId8" w:history="1">
        <w:r w:rsidR="00C112AF" w:rsidRPr="00C112AF">
          <w:rPr>
            <w:rStyle w:val="Hyperlink"/>
            <w:rFonts w:asciiTheme="majorHAnsi" w:hAnsiTheme="majorHAnsi" w:cstheme="majorHAnsi"/>
          </w:rPr>
          <w:t>here</w:t>
        </w:r>
      </w:hyperlink>
      <w:r w:rsidR="00C112AF">
        <w:rPr>
          <w:rFonts w:asciiTheme="majorHAnsi" w:hAnsiTheme="majorHAnsi" w:cstheme="majorHAnsi"/>
        </w:rPr>
        <w:t xml:space="preserve">. </w:t>
      </w:r>
    </w:p>
    <w:p w14:paraId="54F0E9F5" w14:textId="2099DAF3" w:rsidR="00FC63BD" w:rsidRDefault="00FC63BD" w:rsidP="00FC63BD">
      <w:pPr>
        <w:pStyle w:val="BodyText"/>
        <w:rPr>
          <w:rFonts w:asciiTheme="majorHAnsi" w:hAnsiTheme="majorHAnsi" w:cstheme="majorHAnsi"/>
          <w:b/>
          <w:bCs/>
        </w:rPr>
      </w:pPr>
      <w:r w:rsidRPr="00FC63BD">
        <w:rPr>
          <w:rFonts w:asciiTheme="majorHAnsi" w:hAnsiTheme="majorHAnsi" w:cstheme="majorHAnsi"/>
          <w:b/>
          <w:bCs/>
        </w:rPr>
        <w:t>Humanataria Data Exchange</w:t>
      </w:r>
    </w:p>
    <w:p w14:paraId="49716C73" w14:textId="7459732A" w:rsidR="00C112AF" w:rsidRDefault="00C112AF" w:rsidP="00C112AF">
      <w:pPr>
        <w:pStyle w:val="BodyTex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Both datasets are combined with Colombia Admin level data. The package does not need it, but it is available </w:t>
      </w:r>
      <w:hyperlink r:id="rId9" w:history="1">
        <w:r w:rsidRPr="00C112AF">
          <w:rPr>
            <w:rStyle w:val="Hyperlink"/>
            <w:rFonts w:asciiTheme="majorHAnsi" w:hAnsiTheme="majorHAnsi" w:cstheme="majorHAnsi"/>
          </w:rPr>
          <w:t>here.</w:t>
        </w:r>
      </w:hyperlink>
      <w:r>
        <w:rPr>
          <w:rFonts w:asciiTheme="majorHAnsi" w:hAnsiTheme="majorHAnsi" w:cstheme="majorHAnsi"/>
        </w:rPr>
        <w:t xml:space="preserve"> </w:t>
      </w:r>
    </w:p>
    <w:p w14:paraId="5A7172F3" w14:textId="77777777" w:rsidR="00FC63BD" w:rsidRPr="00FC63BD" w:rsidRDefault="00FC63BD" w:rsidP="00FC63BD">
      <w:pPr>
        <w:pStyle w:val="BodyText"/>
        <w:rPr>
          <w:rFonts w:asciiTheme="majorHAnsi" w:hAnsiTheme="majorHAnsi" w:cstheme="majorHAnsi"/>
          <w:b/>
          <w:bCs/>
        </w:rPr>
      </w:pPr>
    </w:p>
    <w:p w14:paraId="6E4DB687" w14:textId="77777777" w:rsidR="00EF201E" w:rsidRDefault="00EF201E"/>
    <w:sectPr w:rsidR="00EF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9DF5E" w14:textId="77777777" w:rsidR="00B90DDC" w:rsidRDefault="00B90DDC" w:rsidP="00C112AF">
      <w:pPr>
        <w:spacing w:after="0"/>
      </w:pPr>
      <w:r>
        <w:separator/>
      </w:r>
    </w:p>
  </w:endnote>
  <w:endnote w:type="continuationSeparator" w:id="0">
    <w:p w14:paraId="2E462723" w14:textId="77777777" w:rsidR="00B90DDC" w:rsidRDefault="00B90DDC" w:rsidP="00C11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ED7A" w14:textId="77777777" w:rsidR="00B90DDC" w:rsidRDefault="00B90DDC" w:rsidP="00C112AF">
      <w:pPr>
        <w:spacing w:after="0"/>
      </w:pPr>
      <w:r>
        <w:separator/>
      </w:r>
    </w:p>
  </w:footnote>
  <w:footnote w:type="continuationSeparator" w:id="0">
    <w:p w14:paraId="01D585D0" w14:textId="77777777" w:rsidR="00B90DDC" w:rsidRDefault="00B90DDC" w:rsidP="00C11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03EA"/>
    <w:multiLevelType w:val="hybridMultilevel"/>
    <w:tmpl w:val="58F8A1B8"/>
    <w:lvl w:ilvl="0" w:tplc="10C81E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D69E4"/>
    <w:multiLevelType w:val="hybridMultilevel"/>
    <w:tmpl w:val="523C2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47EB9"/>
    <w:multiLevelType w:val="hybridMultilevel"/>
    <w:tmpl w:val="BC1AB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1443E"/>
    <w:multiLevelType w:val="hybridMultilevel"/>
    <w:tmpl w:val="6D1C3EFE"/>
    <w:lvl w:ilvl="0" w:tplc="3028C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96862">
    <w:abstractNumId w:val="0"/>
  </w:num>
  <w:num w:numId="2" w16cid:durableId="1370958947">
    <w:abstractNumId w:val="3"/>
  </w:num>
  <w:num w:numId="3" w16cid:durableId="891186554">
    <w:abstractNumId w:val="1"/>
  </w:num>
  <w:num w:numId="4" w16cid:durableId="126861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E"/>
    <w:rsid w:val="000B3539"/>
    <w:rsid w:val="001E4E93"/>
    <w:rsid w:val="002A3DEC"/>
    <w:rsid w:val="002D2E6D"/>
    <w:rsid w:val="004536B1"/>
    <w:rsid w:val="00593250"/>
    <w:rsid w:val="00722460"/>
    <w:rsid w:val="00844727"/>
    <w:rsid w:val="008718C3"/>
    <w:rsid w:val="00B90DDC"/>
    <w:rsid w:val="00BB066E"/>
    <w:rsid w:val="00C112AF"/>
    <w:rsid w:val="00EF201E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AA61F"/>
  <w15:chartTrackingRefBased/>
  <w15:docId w15:val="{51E04735-F53C-4E08-948E-B0421A0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6E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B06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B06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66E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B066E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BB066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B066E"/>
    <w:rPr>
      <w:sz w:val="24"/>
      <w:szCs w:val="24"/>
    </w:rPr>
  </w:style>
  <w:style w:type="paragraph" w:customStyle="1" w:styleId="Compact">
    <w:name w:val="Compact"/>
    <w:basedOn w:val="BodyText"/>
    <w:qFormat/>
    <w:rsid w:val="00BB066E"/>
    <w:pPr>
      <w:spacing w:before="36" w:after="36"/>
    </w:pPr>
  </w:style>
  <w:style w:type="paragraph" w:styleId="BlockText">
    <w:name w:val="Block Text"/>
    <w:basedOn w:val="BodyText"/>
    <w:next w:val="BodyText"/>
    <w:uiPriority w:val="9"/>
    <w:unhideWhenUsed/>
    <w:qFormat/>
    <w:rsid w:val="00BB066E"/>
    <w:pPr>
      <w:spacing w:before="100" w:after="100"/>
      <w:ind w:left="480" w:right="480"/>
    </w:pPr>
  </w:style>
  <w:style w:type="character" w:styleId="Hyperlink">
    <w:name w:val="Hyperlink"/>
    <w:basedOn w:val="DefaultParagraphFont"/>
    <w:rsid w:val="00BB066E"/>
    <w:rPr>
      <w:color w:val="4472C4" w:themeColor="accent1"/>
    </w:rPr>
  </w:style>
  <w:style w:type="table" w:styleId="PlainTable2">
    <w:name w:val="Plain Table 2"/>
    <w:basedOn w:val="TableNormal"/>
    <w:rsid w:val="00BB066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066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6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22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ookla/ookla-open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loading-data-from-openstreetmap-with-python-and-the-overpass-api-513882a27f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hum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Reyes Retana Torre</dc:creator>
  <cp:keywords/>
  <dc:description/>
  <cp:lastModifiedBy>Edwin Hugh GIBB</cp:lastModifiedBy>
  <cp:revision>3</cp:revision>
  <dcterms:created xsi:type="dcterms:W3CDTF">2023-09-29T13:40:00Z</dcterms:created>
  <dcterms:modified xsi:type="dcterms:W3CDTF">2023-09-29T13:57:00Z</dcterms:modified>
</cp:coreProperties>
</file>