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89E83" w14:textId="77777777" w:rsidR="00DE79B4" w:rsidRDefault="00000000">
      <w:pPr>
        <w:spacing w:after="0" w:line="240" w:lineRule="auto"/>
        <w:rPr>
          <w:rFonts w:eastAsia="Times New Roman" w:cs="Calibri"/>
          <w:i/>
          <w:iCs/>
          <w:sz w:val="28"/>
          <w:szCs w:val="28"/>
          <w:lang w:eastAsia="fr-FR"/>
        </w:rPr>
      </w:pPr>
      <w:r>
        <w:rPr>
          <w:rFonts w:eastAsia="Times New Roman" w:cs="Calibri"/>
          <w:i/>
          <w:iCs/>
          <w:sz w:val="28"/>
          <w:szCs w:val="28"/>
          <w:lang w:eastAsia="fr-FR"/>
        </w:rPr>
        <w:t>Clé de la sécurité nationale lors d'une catastrophe décapitant l'administration, le plan COGCON permet à la démocratie de survivre. Le plus souvent, l'armée, l'administration et la défense du pays est au cœur des préoccupations et débloque des plans de sureté nationale : gouvernement fantôme, sécurité de la démocratie, plan COOP, survivant désigné...</w:t>
      </w:r>
    </w:p>
    <w:p w14:paraId="79F5BA3D" w14:textId="77777777" w:rsidR="00DE79B4" w:rsidRDefault="00DE79B4">
      <w:pPr>
        <w:spacing w:after="0" w:line="240" w:lineRule="auto"/>
        <w:rPr>
          <w:rFonts w:eastAsia="Times New Roman" w:cs="Calibri"/>
          <w:i/>
          <w:iCs/>
          <w:sz w:val="28"/>
          <w:szCs w:val="28"/>
          <w:lang w:eastAsia="fr-FR"/>
        </w:rPr>
      </w:pPr>
    </w:p>
    <w:p w14:paraId="62F6AE45" w14:textId="77777777" w:rsidR="00DE79B4" w:rsidRDefault="00000000">
      <w:pPr>
        <w:pStyle w:val="NormalWeb"/>
        <w:spacing w:before="0" w:after="0"/>
      </w:pPr>
      <w:r>
        <w:rPr>
          <w:rFonts w:ascii="Calibri" w:hAnsi="Calibri" w:cs="Calibri"/>
          <w:b/>
          <w:bCs/>
          <w:sz w:val="56"/>
          <w:szCs w:val="56"/>
        </w:rPr>
        <w:t>COGCON</w:t>
      </w:r>
    </w:p>
    <w:p w14:paraId="2C886D80" w14:textId="77777777" w:rsidR="00DE79B4" w:rsidRDefault="00DE79B4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</w:p>
    <w:p w14:paraId="08DD9893" w14:textId="77777777" w:rsidR="00DE79B4" w:rsidRDefault="00000000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330769" w14:textId="77777777" w:rsidR="00DE79B4" w:rsidRDefault="00000000">
      <w:pPr>
        <w:pStyle w:val="NormalWeb"/>
        <w:spacing w:before="0" w:after="0"/>
      </w:pPr>
      <w:r>
        <w:rPr>
          <w:rFonts w:ascii="Calibri" w:hAnsi="Calibri" w:cs="Calibri"/>
          <w:sz w:val="28"/>
          <w:szCs w:val="28"/>
        </w:rPr>
        <w:t xml:space="preserve">Le </w:t>
      </w:r>
      <w:r>
        <w:rPr>
          <w:rFonts w:ascii="Calibri" w:hAnsi="Calibri" w:cs="Calibri"/>
          <w:b/>
          <w:bCs/>
          <w:sz w:val="28"/>
          <w:szCs w:val="28"/>
        </w:rPr>
        <w:t>COGCON</w:t>
      </w:r>
      <w:r>
        <w:rPr>
          <w:rFonts w:ascii="Calibri" w:hAnsi="Calibri" w:cs="Calibri"/>
          <w:sz w:val="28"/>
          <w:szCs w:val="28"/>
        </w:rPr>
        <w:t xml:space="preserve"> est l'abréviation de </w:t>
      </w:r>
      <w:proofErr w:type="spellStart"/>
      <w:r>
        <w:rPr>
          <w:rFonts w:ascii="Calibri" w:hAnsi="Calibri" w:cs="Calibri"/>
          <w:b/>
          <w:bCs/>
          <w:i/>
          <w:iCs/>
          <w:sz w:val="28"/>
          <w:szCs w:val="28"/>
        </w:rPr>
        <w:t>Continuity</w:t>
      </w:r>
      <w:proofErr w:type="spellEnd"/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 of </w:t>
      </w:r>
      <w:proofErr w:type="spellStart"/>
      <w:r>
        <w:rPr>
          <w:rFonts w:ascii="Calibri" w:hAnsi="Calibri" w:cs="Calibri"/>
          <w:b/>
          <w:bCs/>
          <w:i/>
          <w:iCs/>
          <w:sz w:val="28"/>
          <w:szCs w:val="28"/>
        </w:rPr>
        <w:t>Governement</w:t>
      </w:r>
      <w:proofErr w:type="spellEnd"/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i/>
          <w:iCs/>
          <w:sz w:val="28"/>
          <w:szCs w:val="28"/>
        </w:rPr>
        <w:t>readiness</w:t>
      </w:r>
      <w:proofErr w:type="spellEnd"/>
      <w:r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b/>
          <w:bCs/>
          <w:i/>
          <w:iCs/>
          <w:sz w:val="28"/>
          <w:szCs w:val="28"/>
        </w:rPr>
        <w:t>CONdition</w:t>
      </w:r>
      <w:proofErr w:type="spellEnd"/>
      <w:r>
        <w:rPr>
          <w:rFonts w:ascii="Calibri" w:hAnsi="Calibri" w:cs="Calibri"/>
          <w:sz w:val="28"/>
          <w:szCs w:val="28"/>
        </w:rPr>
        <w:t xml:space="preserve"> ou en français "Continuité de l'état de préparation du gouvernement". Au même titre que le système d'état d'alerte DEFCON (</w:t>
      </w:r>
      <w:proofErr w:type="spellStart"/>
      <w:r>
        <w:rPr>
          <w:rFonts w:ascii="Calibri" w:hAnsi="Calibri" w:cs="Calibri"/>
          <w:sz w:val="28"/>
          <w:szCs w:val="28"/>
        </w:rPr>
        <w:t>cf</w:t>
      </w:r>
      <w:proofErr w:type="spellEnd"/>
      <w:r>
        <w:rPr>
          <w:rFonts w:ascii="Calibri" w:hAnsi="Calibri" w:cs="Calibri"/>
          <w:sz w:val="28"/>
          <w:szCs w:val="28"/>
        </w:rPr>
        <w:t xml:space="preserve"> article DEFCON), COGCON est un </w:t>
      </w:r>
      <w:r>
        <w:rPr>
          <w:rFonts w:ascii="Calibri" w:hAnsi="Calibri" w:cs="Calibri"/>
          <w:b/>
          <w:bCs/>
          <w:sz w:val="28"/>
          <w:szCs w:val="28"/>
        </w:rPr>
        <w:t xml:space="preserve">niveau de préparation </w:t>
      </w:r>
      <w:r>
        <w:rPr>
          <w:rFonts w:ascii="Calibri" w:hAnsi="Calibri" w:cs="Calibri"/>
          <w:sz w:val="28"/>
          <w:szCs w:val="28"/>
        </w:rPr>
        <w:t xml:space="preserve">de la branche exécutive du </w:t>
      </w:r>
      <w:r>
        <w:rPr>
          <w:rFonts w:ascii="Calibri" w:hAnsi="Calibri" w:cs="Calibri"/>
          <w:b/>
          <w:bCs/>
          <w:sz w:val="28"/>
          <w:szCs w:val="28"/>
        </w:rPr>
        <w:t>gouvernement fédéral des États-Unis</w:t>
      </w:r>
      <w:r>
        <w:rPr>
          <w:rFonts w:ascii="Calibri" w:hAnsi="Calibri" w:cs="Calibri"/>
          <w:sz w:val="28"/>
          <w:szCs w:val="28"/>
        </w:rPr>
        <w:t xml:space="preserve"> en fonction des menaces possibles pour la région de la capitale nationale.</w:t>
      </w:r>
    </w:p>
    <w:p w14:paraId="18B00FFA" w14:textId="77777777" w:rsidR="00DE79B4" w:rsidRDefault="00000000">
      <w:pPr>
        <w:pStyle w:val="NormalWeb"/>
        <w:spacing w:before="0"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561B294" w14:textId="77777777" w:rsidR="00DE79B4" w:rsidRDefault="00000000">
      <w:pPr>
        <w:pStyle w:val="NormalWeb"/>
        <w:spacing w:before="0" w:after="0"/>
      </w:pPr>
      <w:r>
        <w:rPr>
          <w:rFonts w:ascii="Calibri" w:hAnsi="Calibri" w:cs="Calibri"/>
          <w:sz w:val="28"/>
          <w:szCs w:val="28"/>
        </w:rPr>
        <w:t>Depuis l'époque de la</w:t>
      </w:r>
      <w:r>
        <w:rPr>
          <w:rFonts w:ascii="Calibri" w:hAnsi="Calibri" w:cs="Calibri"/>
          <w:b/>
          <w:bCs/>
          <w:sz w:val="28"/>
          <w:szCs w:val="28"/>
        </w:rPr>
        <w:t xml:space="preserve"> guerre froide</w:t>
      </w:r>
      <w:r>
        <w:rPr>
          <w:rFonts w:ascii="Calibri" w:hAnsi="Calibri" w:cs="Calibri"/>
          <w:sz w:val="28"/>
          <w:szCs w:val="28"/>
        </w:rPr>
        <w:t xml:space="preserve">, les États-Unis ont mis en place un </w:t>
      </w:r>
      <w:r>
        <w:rPr>
          <w:rFonts w:ascii="Calibri" w:hAnsi="Calibri" w:cs="Calibri"/>
          <w:b/>
          <w:bCs/>
          <w:sz w:val="28"/>
          <w:szCs w:val="28"/>
        </w:rPr>
        <w:t xml:space="preserve">plan pour poursuivre le fonctionnement du gouvernement </w:t>
      </w:r>
      <w:r>
        <w:rPr>
          <w:rFonts w:ascii="Calibri" w:hAnsi="Calibri" w:cs="Calibri"/>
          <w:sz w:val="28"/>
          <w:szCs w:val="28"/>
        </w:rPr>
        <w:t xml:space="preserve">à la suite d'une </w:t>
      </w:r>
      <w:r>
        <w:rPr>
          <w:rFonts w:ascii="Calibri" w:hAnsi="Calibri" w:cs="Calibri"/>
          <w:b/>
          <w:bCs/>
          <w:sz w:val="28"/>
          <w:szCs w:val="28"/>
        </w:rPr>
        <w:t xml:space="preserve">attaque catastrophique contre la capitale nationale. </w:t>
      </w:r>
      <w:r>
        <w:rPr>
          <w:rFonts w:ascii="Calibri" w:hAnsi="Calibri" w:cs="Calibri"/>
          <w:sz w:val="28"/>
          <w:szCs w:val="28"/>
        </w:rPr>
        <w:t xml:space="preserve">Le système a été introduit dans la </w:t>
      </w:r>
      <w:proofErr w:type="spellStart"/>
      <w:r>
        <w:rPr>
          <w:rFonts w:ascii="Calibri" w:hAnsi="Calibri" w:cs="Calibri"/>
          <w:b/>
          <w:bCs/>
          <w:sz w:val="28"/>
          <w:szCs w:val="28"/>
        </w:rPr>
        <w:t>Presidential</w:t>
      </w:r>
      <w:proofErr w:type="spellEnd"/>
      <w:r>
        <w:rPr>
          <w:rFonts w:ascii="Calibri" w:hAnsi="Calibri" w:cs="Calibri"/>
          <w:b/>
          <w:bCs/>
          <w:sz w:val="28"/>
          <w:szCs w:val="28"/>
        </w:rPr>
        <w:t xml:space="preserve"> directive 51</w:t>
      </w:r>
      <w:r>
        <w:rPr>
          <w:rFonts w:ascii="Calibri" w:hAnsi="Calibri" w:cs="Calibri"/>
          <w:sz w:val="28"/>
          <w:szCs w:val="28"/>
        </w:rPr>
        <w:t xml:space="preserve"> de la </w:t>
      </w:r>
      <w:r>
        <w:rPr>
          <w:rFonts w:ascii="Calibri" w:hAnsi="Calibri" w:cs="Calibri"/>
          <w:b/>
          <w:bCs/>
          <w:sz w:val="28"/>
          <w:szCs w:val="28"/>
        </w:rPr>
        <w:t>sécurité nationale</w:t>
      </w:r>
      <w:r>
        <w:rPr>
          <w:rFonts w:ascii="Calibri" w:hAnsi="Calibri" w:cs="Calibri"/>
          <w:sz w:val="28"/>
          <w:szCs w:val="28"/>
        </w:rPr>
        <w:t xml:space="preserve">, signée par George W. Bush le 4 mai 2007 dans le cadre du plan de continuité des opérations </w:t>
      </w:r>
      <w:r>
        <w:rPr>
          <w:rFonts w:ascii="Calibri" w:hAnsi="Calibri" w:cs="Calibri"/>
          <w:b/>
          <w:bCs/>
          <w:sz w:val="28"/>
          <w:szCs w:val="28"/>
        </w:rPr>
        <w:t>(plan COOP)</w:t>
      </w:r>
      <w:r>
        <w:rPr>
          <w:rFonts w:ascii="Calibri" w:hAnsi="Calibri" w:cs="Calibri"/>
          <w:sz w:val="28"/>
          <w:szCs w:val="28"/>
        </w:rPr>
        <w:t xml:space="preserve">. </w:t>
      </w:r>
    </w:p>
    <w:p w14:paraId="000C998F" w14:textId="77777777" w:rsidR="00DE79B4" w:rsidRDefault="00000000">
      <w:pPr>
        <w:pStyle w:val="NormalWeb"/>
        <w:spacing w:before="0"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E6BA27E" w14:textId="77777777" w:rsidR="00DE79B4" w:rsidRDefault="00000000">
      <w:pPr>
        <w:pStyle w:val="NormalWeb"/>
        <w:spacing w:before="0" w:after="0"/>
      </w:pPr>
      <w:r>
        <w:rPr>
          <w:rFonts w:ascii="Calibri" w:hAnsi="Calibri" w:cs="Calibri"/>
          <w:i/>
          <w:iCs/>
          <w:sz w:val="28"/>
          <w:szCs w:val="28"/>
        </w:rPr>
        <w:t>NB : Chaque ministère et structure gouvernementale américaine possède un plan COOP.</w:t>
      </w:r>
    </w:p>
    <w:p w14:paraId="0245A7AD" w14:textId="77777777" w:rsidR="00DE79B4" w:rsidRDefault="00000000">
      <w:pPr>
        <w:pStyle w:val="NormalWeb"/>
        <w:spacing w:before="0" w:after="0"/>
      </w:pPr>
      <w:r>
        <w:rPr>
          <w:rFonts w:ascii="Calibri" w:hAnsi="Calibri" w:cs="Calibri"/>
          <w:sz w:val="40"/>
          <w:szCs w:val="40"/>
        </w:rPr>
        <w:t> </w:t>
      </w:r>
    </w:p>
    <w:p w14:paraId="453E4854" w14:textId="77777777" w:rsidR="00DE79B4" w:rsidRDefault="00000000">
      <w:pPr>
        <w:pStyle w:val="NormalWeb"/>
        <w:spacing w:before="0" w:after="0"/>
      </w:pPr>
      <w:r>
        <w:rPr>
          <w:rFonts w:ascii="Calibri" w:hAnsi="Calibri" w:cs="Calibri"/>
          <w:sz w:val="28"/>
          <w:szCs w:val="28"/>
        </w:rPr>
        <w:t xml:space="preserve">Cette directive </w:t>
      </w:r>
      <w:r>
        <w:rPr>
          <w:rFonts w:ascii="Calibri" w:hAnsi="Calibri" w:cs="Calibri"/>
          <w:b/>
          <w:bCs/>
          <w:sz w:val="28"/>
          <w:szCs w:val="28"/>
        </w:rPr>
        <w:t>dirige la dispersion géographique des dirigeants, du personnel et des infrastructures</w:t>
      </w:r>
      <w:r>
        <w:rPr>
          <w:rFonts w:ascii="Calibri" w:hAnsi="Calibri" w:cs="Calibri"/>
          <w:sz w:val="28"/>
          <w:szCs w:val="28"/>
        </w:rPr>
        <w:t xml:space="preserve"> afin de maintenir les fonctions du gouvernement des États-Unis au cas où </w:t>
      </w:r>
      <w:r>
        <w:rPr>
          <w:rFonts w:ascii="Calibri" w:hAnsi="Calibri" w:cs="Calibri"/>
          <w:b/>
          <w:bCs/>
          <w:sz w:val="28"/>
          <w:szCs w:val="28"/>
        </w:rPr>
        <w:t>la capitale nationale</w:t>
      </w:r>
      <w:r>
        <w:rPr>
          <w:rFonts w:ascii="Calibri" w:hAnsi="Calibri" w:cs="Calibri"/>
          <w:sz w:val="28"/>
          <w:szCs w:val="28"/>
        </w:rPr>
        <w:t xml:space="preserve"> serait « décapitée » par une </w:t>
      </w:r>
      <w:r>
        <w:rPr>
          <w:rFonts w:ascii="Calibri" w:hAnsi="Calibri" w:cs="Calibri"/>
          <w:b/>
          <w:bCs/>
          <w:sz w:val="28"/>
          <w:szCs w:val="28"/>
        </w:rPr>
        <w:t>attaque terroriste.</w:t>
      </w:r>
    </w:p>
    <w:p w14:paraId="01698601" w14:textId="77777777" w:rsidR="00DE79B4" w:rsidRDefault="00000000">
      <w:pPr>
        <w:pStyle w:val="NormalWeb"/>
        <w:spacing w:before="0" w:after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 vertu de la présidence, seul le Président en fonction détermine et délivre le Niveau COGCON.</w:t>
      </w:r>
    </w:p>
    <w:p w14:paraId="4846836B" w14:textId="77777777" w:rsidR="00DE79B4" w:rsidRDefault="00DE79B4">
      <w:pPr>
        <w:pStyle w:val="NormalWeb"/>
        <w:spacing w:before="0" w:after="0"/>
        <w:rPr>
          <w:rFonts w:ascii="Calibri" w:hAnsi="Calibri" w:cs="Calibri"/>
          <w:sz w:val="28"/>
          <w:szCs w:val="28"/>
        </w:rPr>
      </w:pPr>
    </w:p>
    <w:p w14:paraId="542C7C68" w14:textId="77777777" w:rsidR="00DE79B4" w:rsidRDefault="00000000">
      <w:pPr>
        <w:pStyle w:val="NormalWeb"/>
        <w:spacing w:before="0" w:after="0"/>
        <w:jc w:val="center"/>
      </w:pPr>
      <w:r>
        <w:rPr>
          <w:rFonts w:ascii="Calibri" w:hAnsi="Calibri" w:cs="Calibri"/>
          <w:i/>
          <w:iCs/>
          <w:noProof/>
          <w:sz w:val="28"/>
          <w:szCs w:val="28"/>
        </w:rPr>
        <w:drawing>
          <wp:inline distT="0" distB="0" distL="0" distR="0" wp14:anchorId="71331AD0" wp14:editId="509895F9">
            <wp:extent cx="1600200" cy="1600200"/>
            <wp:effectExtent l="0" t="0" r="0" b="0"/>
            <wp:docPr id="2" name="Image 6" descr="Une image contenant texte, sign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i/>
          <w:iCs/>
          <w:noProof/>
          <w:sz w:val="28"/>
          <w:szCs w:val="28"/>
        </w:rPr>
        <w:drawing>
          <wp:inline distT="0" distB="0" distL="0" distR="0" wp14:anchorId="08BE4767" wp14:editId="06C5FB03">
            <wp:extent cx="1625602" cy="1625602"/>
            <wp:effectExtent l="0" t="0" r="0" b="0"/>
            <wp:docPr id="3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2" cy="16256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AD9399" w14:textId="77777777" w:rsidR="00DE79B4" w:rsidRDefault="00000000">
      <w:pPr>
        <w:spacing w:after="0" w:line="240" w:lineRule="auto"/>
      </w:pPr>
      <w:r>
        <w:rPr>
          <w:rFonts w:eastAsia="Times New Roman" w:cs="Calibri"/>
          <w:b/>
          <w:bCs/>
          <w:sz w:val="56"/>
          <w:szCs w:val="56"/>
          <w:lang w:eastAsia="fr-FR"/>
        </w:rPr>
        <w:lastRenderedPageBreak/>
        <w:t>Les niveaux</w:t>
      </w:r>
    </w:p>
    <w:p w14:paraId="23042B0D" w14:textId="77777777" w:rsidR="00DE79B4" w:rsidRDefault="00DE79B4">
      <w:pPr>
        <w:spacing w:after="0" w:line="240" w:lineRule="auto"/>
        <w:rPr>
          <w:rFonts w:eastAsia="Times New Roman" w:cs="Calibri"/>
          <w:sz w:val="28"/>
          <w:szCs w:val="28"/>
          <w:lang w:eastAsia="fr-FR"/>
        </w:rPr>
      </w:pPr>
    </w:p>
    <w:p w14:paraId="71F45CB9" w14:textId="77777777" w:rsidR="00DE79B4" w:rsidRDefault="00000000">
      <w:pPr>
        <w:spacing w:after="0" w:line="240" w:lineRule="auto"/>
      </w:pPr>
      <w:r>
        <w:rPr>
          <w:rFonts w:eastAsia="Times New Roman" w:cs="Calibri"/>
          <w:sz w:val="28"/>
          <w:szCs w:val="28"/>
          <w:lang w:eastAsia="fr-FR"/>
        </w:rPr>
        <w:t>Contrairement à DEFCON qui possède 5 niveaux, COGCON n'en possède que 4 mais représente la partie la plus importante du pouvoir et de l'Administration Américaine. Les voici :</w:t>
      </w:r>
      <w:r>
        <w:t xml:space="preserve"> </w:t>
      </w:r>
      <w:r>
        <w:rPr>
          <w:noProof/>
        </w:rPr>
        <w:drawing>
          <wp:inline distT="0" distB="0" distL="0" distR="0" wp14:anchorId="743B453A" wp14:editId="20DBC98B">
            <wp:extent cx="5330686" cy="3767090"/>
            <wp:effectExtent l="0" t="0" r="3314" b="4810"/>
            <wp:docPr id="4" name="Image 4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686" cy="37670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F9C8F" wp14:editId="79B5E33A">
            <wp:extent cx="5323600" cy="3540264"/>
            <wp:effectExtent l="0" t="0" r="0" b="3036"/>
            <wp:docPr id="5" name="Image 3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600" cy="35402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961E97" w14:textId="77777777" w:rsidR="00DE79B4" w:rsidRDefault="00000000">
      <w:pPr>
        <w:spacing w:after="0" w:line="240" w:lineRule="auto"/>
      </w:pPr>
      <w:r>
        <w:rPr>
          <w:noProof/>
        </w:rPr>
        <w:drawing>
          <wp:inline distT="0" distB="0" distL="0" distR="0" wp14:anchorId="51DB1AA3" wp14:editId="5D99AEB6">
            <wp:extent cx="5760720" cy="2954654"/>
            <wp:effectExtent l="0" t="0" r="0" b="0"/>
            <wp:docPr id="6" name="Image 2" descr="Une image contenant tabl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Calibri"/>
          <w:lang w:eastAsia="fr-FR"/>
        </w:rPr>
        <w:br/>
      </w:r>
      <w:r>
        <w:rPr>
          <w:rFonts w:eastAsia="Times New Roman" w:cs="Calibri"/>
          <w:lang w:eastAsia="fr-FR"/>
        </w:rPr>
        <w:br/>
      </w:r>
    </w:p>
    <w:p w14:paraId="08206A97" w14:textId="77777777" w:rsidR="00DE79B4" w:rsidRDefault="00000000">
      <w:pPr>
        <w:spacing w:after="0" w:line="240" w:lineRule="auto"/>
      </w:pPr>
      <w:r>
        <w:rPr>
          <w:rFonts w:eastAsia="Times New Roman" w:cs="Calibri"/>
          <w:b/>
          <w:bCs/>
          <w:sz w:val="28"/>
          <w:szCs w:val="28"/>
          <w:lang w:eastAsia="fr-FR"/>
        </w:rPr>
        <w:t>Le 11 septembre 2001, Richard Clarke a activé le plan de continuité du gouvernement (COG) et a dit au Pentagone : "Nous lançons le COG. Veuillez activer vos centres de commandement alternatifs et y déplacer immédiatement du personnel".</w:t>
      </w:r>
    </w:p>
    <w:tbl>
      <w:tblPr>
        <w:tblW w:w="17669" w:type="dxa"/>
        <w:tblInd w:w="52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"/>
        <w:gridCol w:w="12157"/>
        <w:gridCol w:w="2515"/>
        <w:gridCol w:w="2982"/>
      </w:tblGrid>
      <w:tr w:rsidR="00DE79B4" w14:paraId="6A0EB171" w14:textId="77777777">
        <w:tblPrEx>
          <w:tblCellMar>
            <w:top w:w="0" w:type="dxa"/>
            <w:bottom w:w="0" w:type="dxa"/>
          </w:tblCellMar>
        </w:tblPrEx>
        <w:trPr>
          <w:trHeight w:val="15"/>
        </w:trPr>
        <w:tc>
          <w:tcPr>
            <w:tcW w:w="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A5CD43" w14:textId="77777777" w:rsidR="00DE79B4" w:rsidRDefault="00DE79B4">
            <w:pPr>
              <w:spacing w:before="100" w:after="100" w:line="240" w:lineRule="auto"/>
              <w:rPr>
                <w:rFonts w:ascii="Times New Roman" w:eastAsia="Times New Roman" w:hAnsi="Times New Roman"/>
                <w:sz w:val="2"/>
                <w:szCs w:val="2"/>
                <w:lang w:eastAsia="fr-FR"/>
              </w:rPr>
            </w:pPr>
          </w:p>
        </w:tc>
        <w:tc>
          <w:tcPr>
            <w:tcW w:w="1215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C07C34" w14:textId="77777777" w:rsidR="00DE79B4" w:rsidRDefault="00DE79B4">
            <w:pPr>
              <w:spacing w:after="0" w:line="240" w:lineRule="auto"/>
              <w:rPr>
                <w:rFonts w:ascii="Times New Roman" w:eastAsia="Times New Roman" w:hAnsi="Times New Roman"/>
                <w:sz w:val="2"/>
                <w:szCs w:val="2"/>
                <w:lang w:eastAsia="fr-FR"/>
              </w:rPr>
            </w:pPr>
          </w:p>
        </w:tc>
        <w:tc>
          <w:tcPr>
            <w:tcW w:w="2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6989D8" w14:textId="77777777" w:rsidR="00DE79B4" w:rsidRDefault="00DE79B4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2982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D9EABA" w14:textId="77777777" w:rsidR="00DE79B4" w:rsidRDefault="00DE79B4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</w:tbl>
    <w:p w14:paraId="50BA2E04" w14:textId="77777777" w:rsidR="00DE79B4" w:rsidRDefault="00DE79B4"/>
    <w:p w14:paraId="118433DC" w14:textId="77777777" w:rsidR="00DE79B4" w:rsidRDefault="00000000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Sources</w:t>
      </w:r>
    </w:p>
    <w:p w14:paraId="17C641B0" w14:textId="77777777" w:rsidR="00DE79B4" w:rsidRDefault="00DE79B4">
      <w:pPr>
        <w:rPr>
          <w:sz w:val="28"/>
          <w:szCs w:val="28"/>
        </w:rPr>
      </w:pPr>
    </w:p>
    <w:p w14:paraId="2BD2AA58" w14:textId="77777777" w:rsidR="00DE79B4" w:rsidRDefault="00000000">
      <w:pPr>
        <w:rPr>
          <w:sz w:val="28"/>
          <w:szCs w:val="28"/>
        </w:rPr>
      </w:pPr>
      <w:r>
        <w:rPr>
          <w:sz w:val="28"/>
          <w:szCs w:val="28"/>
        </w:rPr>
        <w:t>https://whitehouse.gov1.info/continuity-plan/</w:t>
      </w:r>
    </w:p>
    <w:p w14:paraId="4BDDCEA8" w14:textId="77777777" w:rsidR="00DE79B4" w:rsidRDefault="00000000">
      <w:pPr>
        <w:rPr>
          <w:sz w:val="28"/>
          <w:szCs w:val="28"/>
        </w:rPr>
      </w:pPr>
      <w:r>
        <w:rPr>
          <w:sz w:val="28"/>
          <w:szCs w:val="28"/>
        </w:rPr>
        <w:t>https://twitter.com/davetroy/status/1351230259878834176</w:t>
      </w:r>
    </w:p>
    <w:p w14:paraId="174DD0F6" w14:textId="77777777" w:rsidR="00DE79B4" w:rsidRDefault="00000000">
      <w:pPr>
        <w:rPr>
          <w:sz w:val="28"/>
          <w:szCs w:val="28"/>
        </w:rPr>
      </w:pPr>
      <w:r>
        <w:rPr>
          <w:sz w:val="28"/>
          <w:szCs w:val="28"/>
        </w:rPr>
        <w:t>https://whitehouse.gov1.info/continuity-plan/detailed-cogcon-matrix.jpg</w:t>
      </w:r>
    </w:p>
    <w:p w14:paraId="1F561D40" w14:textId="77777777" w:rsidR="00DE79B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file:///C:/Users/phyle/Desktop/NCPIP_August_2007_508_Compliant.pdf</w:t>
      </w:r>
    </w:p>
    <w:p w14:paraId="45ACD659" w14:textId="77777777" w:rsidR="00DE79B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https://en.wikipedia.org/wiki/COGCON</w:t>
      </w:r>
    </w:p>
    <w:p w14:paraId="12A7F3B8" w14:textId="77777777" w:rsidR="00DE79B4" w:rsidRDefault="00000000">
      <w:pPr>
        <w:rPr>
          <w:sz w:val="28"/>
          <w:szCs w:val="28"/>
        </w:rPr>
      </w:pPr>
      <w:r>
        <w:rPr>
          <w:sz w:val="28"/>
          <w:szCs w:val="28"/>
        </w:rPr>
        <w:t>Connaissances personnelles !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03D9616" w14:textId="77777777" w:rsidR="00DE79B4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</w:p>
    <w:p w14:paraId="65B3A554" w14:textId="77777777" w:rsidR="00DE79B4" w:rsidRDefault="00DE79B4"/>
    <w:p w14:paraId="37DA7177" w14:textId="77777777" w:rsidR="00DE79B4" w:rsidRDefault="00000000">
      <w:r>
        <w:tab/>
      </w:r>
      <w:r>
        <w:tab/>
      </w:r>
      <w:r>
        <w:tab/>
      </w:r>
    </w:p>
    <w:p w14:paraId="523FB5ED" w14:textId="77777777" w:rsidR="00DE79B4" w:rsidRDefault="00DE79B4"/>
    <w:sectPr w:rsidR="00DE79B4">
      <w:footerReference w:type="default" r:id="rId11"/>
      <w:pgSz w:w="11906" w:h="16838"/>
      <w:pgMar w:top="1417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21F12" w14:textId="77777777" w:rsidR="00B06919" w:rsidRDefault="00B06919">
      <w:pPr>
        <w:spacing w:after="0" w:line="240" w:lineRule="auto"/>
      </w:pPr>
      <w:r>
        <w:separator/>
      </w:r>
    </w:p>
  </w:endnote>
  <w:endnote w:type="continuationSeparator" w:id="0">
    <w:p w14:paraId="77919B6A" w14:textId="77777777" w:rsidR="00B06919" w:rsidRDefault="00B06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08710" w14:textId="77777777" w:rsidR="00312514" w:rsidRDefault="00000000">
    <w:pPr>
      <w:pStyle w:val="Pieddepage"/>
    </w:pPr>
    <w:r>
      <w:rPr>
        <w:rFonts w:ascii="Calibri Light" w:eastAsia="Times New Roman" w:hAnsi="Calibri Light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2D614E" wp14:editId="52FAEA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512448" cy="441326"/>
              <wp:effectExtent l="0" t="0" r="0" b="0"/>
              <wp:wrapNone/>
              <wp:docPr id="1" name="Organigramme : Alternativ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2448" cy="441326"/>
                      </a:xfrm>
                      <a:custGeom>
                        <a:avLst/>
                        <a:gdLst>
                          <a:gd name="f0" fmla="val 10800000"/>
                          <a:gd name="f1" fmla="val 5400000"/>
                          <a:gd name="f2" fmla="val 16200000"/>
                          <a:gd name="f3" fmla="val w"/>
                          <a:gd name="f4" fmla="val h"/>
                          <a:gd name="f5" fmla="val ss"/>
                          <a:gd name="f6" fmla="val 0"/>
                          <a:gd name="f7" fmla="abs f3"/>
                          <a:gd name="f8" fmla="abs f4"/>
                          <a:gd name="f9" fmla="abs f5"/>
                          <a:gd name="f10" fmla="val f6"/>
                          <a:gd name="f11" fmla="?: f7 f3 1"/>
                          <a:gd name="f12" fmla="?: f8 f4 1"/>
                          <a:gd name="f13" fmla="?: f9 f5 1"/>
                          <a:gd name="f14" fmla="*/ f11 1 21600"/>
                          <a:gd name="f15" fmla="*/ f12 1 21600"/>
                          <a:gd name="f16" fmla="*/ 21600 f11 1"/>
                          <a:gd name="f17" fmla="*/ 21600 f12 1"/>
                          <a:gd name="f18" fmla="min f15 f14"/>
                          <a:gd name="f19" fmla="*/ f16 1 f13"/>
                          <a:gd name="f20" fmla="*/ f17 1 f13"/>
                          <a:gd name="f21" fmla="val f19"/>
                          <a:gd name="f22" fmla="val f20"/>
                          <a:gd name="f23" fmla="*/ f10 f18 1"/>
                          <a:gd name="f24" fmla="+- f22 0 f10"/>
                          <a:gd name="f25" fmla="+- f21 0 f10"/>
                          <a:gd name="f26" fmla="*/ f21 f18 1"/>
                          <a:gd name="f27" fmla="*/ f22 f18 1"/>
                          <a:gd name="f28" fmla="min f25 f24"/>
                          <a:gd name="f29" fmla="*/ f28 1 6"/>
                          <a:gd name="f30" fmla="+- f21 0 f29"/>
                          <a:gd name="f31" fmla="+- f22 0 f29"/>
                          <a:gd name="f32" fmla="*/ f29 29289 1"/>
                          <a:gd name="f33" fmla="*/ f29 f18 1"/>
                          <a:gd name="f34" fmla="*/ f32 1 100000"/>
                          <a:gd name="f35" fmla="*/ f30 f18 1"/>
                          <a:gd name="f36" fmla="*/ f31 f18 1"/>
                          <a:gd name="f37" fmla="+- f21 0 f34"/>
                          <a:gd name="f38" fmla="+- f22 0 f34"/>
                          <a:gd name="f39" fmla="*/ f34 f18 1"/>
                          <a:gd name="f40" fmla="*/ f37 f18 1"/>
                          <a:gd name="f41" fmla="*/ f38 f18 1"/>
                        </a:gdLst>
                        <a:ahLst/>
                        <a:cxnLst>
                          <a:cxn ang="3cd4">
                            <a:pos x="hc" y="t"/>
                          </a:cxn>
                          <a:cxn ang="0">
                            <a:pos x="r" y="vc"/>
                          </a:cxn>
                          <a:cxn ang="cd4">
                            <a:pos x="hc" y="b"/>
                          </a:cxn>
                          <a:cxn ang="cd2">
                            <a:pos x="l" y="vc"/>
                          </a:cxn>
                        </a:cxnLst>
                        <a:rect l="f39" t="f39" r="f40" b="f41"/>
                        <a:pathLst>
                          <a:path>
                            <a:moveTo>
                              <a:pt x="f23" y="f33"/>
                            </a:moveTo>
                            <a:arcTo wR="f33" hR="f33" stAng="f0" swAng="f1"/>
                            <a:lnTo>
                              <a:pt x="f35" y="f23"/>
                            </a:lnTo>
                            <a:arcTo wR="f33" hR="f33" stAng="f2" swAng="f1"/>
                            <a:lnTo>
                              <a:pt x="f26" y="f36"/>
                            </a:lnTo>
                            <a:arcTo wR="f33" hR="f33" stAng="f6" swAng="f1"/>
                            <a:lnTo>
                              <a:pt x="f33" y="f27"/>
                            </a:lnTo>
                            <a:arcTo wR="f33" hR="f33" stAng="f1" swAng="f1"/>
                            <a:close/>
                          </a:path>
                        </a:pathLst>
                      </a:cu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EFEDE3C" w14:textId="77777777" w:rsidR="00312514" w:rsidRDefault="00000000">
                          <w:pPr>
                            <w:pStyle w:val="Pieddepage"/>
                            <w:pBdr>
                              <w:top w:val="single" w:sz="12" w:space="1" w:color="A5A5A5"/>
                              <w:bottom w:val="single" w:sz="48" w:space="1" w:color="A5A5A5"/>
                            </w:pBdr>
                            <w:jc w:val="center"/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2D614E" id="Organigramme : Alternative 8" o:spid="_x0000_s1026" style="position:absolute;margin-left:0;margin-top:0;width:40.35pt;height:34.7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12448,44132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" adj="-11796480,,5400" path="m,73554wa,,147108,147108,,73554,73554,l438894,wa365340,,512448,147108,438894,,512448,73554l512448,367772wa365340,294218,512448,441326,512448,367772,438894,441326l73554,441326wa,294218,147108,441326,73554,441326,,367772l,73554xe" filled="f" stroked="f">
              <v:stroke joinstyle="miter"/>
              <v:formulas/>
              <v:path arrowok="t" o:connecttype="custom" o:connectlocs="256224,0;512448,220663;256224,441326;0,220663" o:connectangles="270,0,90,180" textboxrect="21543,21543,490905,419783"/>
              <v:textbox>
                <w:txbxContent>
                  <w:p w14:paraId="7EFEDE3C" w14:textId="77777777" w:rsidR="00312514" w:rsidRDefault="00000000">
                    <w:pPr>
                      <w:pStyle w:val="Pieddepage"/>
                      <w:pBdr>
                        <w:top w:val="single" w:sz="12" w:space="1" w:color="A5A5A5"/>
                        <w:bottom w:val="single" w:sz="48" w:space="1" w:color="A5A5A5"/>
                      </w:pBdr>
                      <w:jc w:val="center"/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sz w:val="28"/>
                        <w:szCs w:val="28"/>
                      </w:rPr>
                      <w:t>2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61132" w14:textId="77777777" w:rsidR="00B06919" w:rsidRDefault="00B06919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B26DD45" w14:textId="77777777" w:rsidR="00B06919" w:rsidRDefault="00B069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attachedTemplate r:id="rId1"/>
  <w:defaultTabStop w:val="708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E79B4"/>
    <w:rsid w:val="008C4265"/>
    <w:rsid w:val="00B06919"/>
    <w:rsid w:val="00DE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6A596"/>
  <w15:docId w15:val="{121610E8-2C77-49CD-B5CB-18027CACE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styleId="Lienhypertexte">
    <w:name w:val="Hyperlink"/>
    <w:basedOn w:val="Policepardfaut"/>
    <w:rPr>
      <w:color w:val="0000FF"/>
      <w:u w:val="single"/>
    </w:rPr>
  </w:style>
  <w:style w:type="paragraph" w:styleId="En-tte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</w:style>
  <w:style w:type="paragraph" w:styleId="Pieddepage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361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EHRET Louis</dc:creator>
  <dc:description/>
  <cp:lastModifiedBy>EHRET Louis</cp:lastModifiedBy>
  <cp:revision>2</cp:revision>
  <dcterms:created xsi:type="dcterms:W3CDTF">2022-10-19T13:34:00Z</dcterms:created>
  <dcterms:modified xsi:type="dcterms:W3CDTF">2022-10-19T13:34:00Z</dcterms:modified>
</cp:coreProperties>
</file>