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AC8" w:rsidRPr="005E5D9E" w:rsidRDefault="00821AC8" w:rsidP="007C7B68">
      <w:pPr>
        <w:pStyle w:val="Nagwek1"/>
        <w:rPr>
          <w:rFonts w:asciiTheme="majorHAnsi" w:hAnsiTheme="majorHAnsi" w:cstheme="minorHAnsi"/>
          <w:sz w:val="36"/>
          <w:szCs w:val="36"/>
        </w:rPr>
      </w:pPr>
      <w:r w:rsidRPr="005E5D9E">
        <w:rPr>
          <w:rFonts w:asciiTheme="majorHAnsi" w:hAnsiTheme="majorHAnsi" w:cstheme="minorHAnsi"/>
          <w:sz w:val="36"/>
          <w:szCs w:val="36"/>
        </w:rPr>
        <w:t xml:space="preserve">37. Modele i technologie transakcji w środowisku usług webowych </w:t>
      </w:r>
    </w:p>
    <w:p w:rsidR="00624877" w:rsidRPr="00202993" w:rsidRDefault="00356E9B" w:rsidP="00624877">
      <w:pPr>
        <w:jc w:val="both"/>
        <w:rPr>
          <w:rFonts w:cstheme="minorHAnsi"/>
        </w:rPr>
      </w:pPr>
      <w:r w:rsidRPr="00202993">
        <w:rPr>
          <w:rFonts w:cstheme="minorHAnsi"/>
        </w:rPr>
        <w:t xml:space="preserve">Rozproszony charakter architektury zorientowanej na usługi oraz preferowane luźne powiązania pomiędzy elementami składowymi architektury sprawiają że zapewnienie niezawodności oraz dostarczenie mechanizmów umożliwiających transakcyjne wykonywanie pewnych zadań staje się nietrywialnie. </w:t>
      </w:r>
      <w:r w:rsidR="00711DA7" w:rsidRPr="00202993">
        <w:rPr>
          <w:rFonts w:cstheme="minorHAnsi"/>
        </w:rPr>
        <w:t xml:space="preserve">Trudność tego zadania jest spowodowana głównie tym, że każdy z elementów infrastruktury usługowej może ulec awarii niezależnie, może to być związane zarówno z awarią sprzętu, takiego jak </w:t>
      </w:r>
      <w:r w:rsidR="006A37E8">
        <w:rPr>
          <w:rFonts w:cstheme="minorHAnsi"/>
        </w:rPr>
        <w:t xml:space="preserve">np. serwerów </w:t>
      </w:r>
      <w:proofErr w:type="spellStart"/>
      <w:r w:rsidR="006A37E8">
        <w:rPr>
          <w:rFonts w:cstheme="minorHAnsi"/>
        </w:rPr>
        <w:t>hostujących</w:t>
      </w:r>
      <w:proofErr w:type="spellEnd"/>
      <w:r w:rsidR="006A37E8">
        <w:rPr>
          <w:rFonts w:cstheme="minorHAnsi"/>
        </w:rPr>
        <w:t xml:space="preserve"> usługi lub</w:t>
      </w:r>
      <w:r w:rsidR="00711DA7" w:rsidRPr="00202993">
        <w:rPr>
          <w:rFonts w:cstheme="minorHAnsi"/>
        </w:rPr>
        <w:t xml:space="preserve"> routerów i </w:t>
      </w:r>
      <w:proofErr w:type="spellStart"/>
      <w:r w:rsidR="00711DA7" w:rsidRPr="00202993">
        <w:rPr>
          <w:rFonts w:cstheme="minorHAnsi"/>
        </w:rPr>
        <w:t>switchy</w:t>
      </w:r>
      <w:proofErr w:type="spellEnd"/>
      <w:r w:rsidR="00711DA7" w:rsidRPr="00202993">
        <w:rPr>
          <w:rFonts w:cstheme="minorHAnsi"/>
        </w:rPr>
        <w:t xml:space="preserve"> działających w warstwie sieciowej, jak i z awarią oprogramowania działającego w ramach serwerów lub samych usług. Rozwiązanie to ma swoje plusy, ponieważ awaria jednego elementu w infrastrukturze nie powoduje awarii całego systemu. </w:t>
      </w:r>
      <w:r w:rsidR="00486244" w:rsidRPr="00202993">
        <w:rPr>
          <w:rFonts w:cstheme="minorHAnsi"/>
        </w:rPr>
        <w:t xml:space="preserve">Niestety, wiąże się to również z tym, że problemy związane z </w:t>
      </w:r>
      <w:r w:rsidR="006A37E8">
        <w:rPr>
          <w:rFonts w:cstheme="minorHAnsi"/>
        </w:rPr>
        <w:t>usługami webowymi</w:t>
      </w:r>
      <w:r w:rsidR="00486244" w:rsidRPr="00202993">
        <w:rPr>
          <w:rFonts w:cstheme="minorHAnsi"/>
        </w:rPr>
        <w:t xml:space="preserve"> możemy wykryć dopiero w momencie </w:t>
      </w:r>
      <w:r w:rsidR="00B86B8C" w:rsidRPr="00202993">
        <w:rPr>
          <w:rFonts w:cstheme="minorHAnsi"/>
        </w:rPr>
        <w:t xml:space="preserve">próby wywołania jednej z </w:t>
      </w:r>
      <w:r w:rsidR="006A37E8">
        <w:rPr>
          <w:rFonts w:cstheme="minorHAnsi"/>
        </w:rPr>
        <w:t xml:space="preserve">ich </w:t>
      </w:r>
      <w:r w:rsidR="00B86B8C" w:rsidRPr="00202993">
        <w:rPr>
          <w:rFonts w:cstheme="minorHAnsi"/>
        </w:rPr>
        <w:t>operacji</w:t>
      </w:r>
      <w:r w:rsidR="00486244" w:rsidRPr="00202993">
        <w:rPr>
          <w:rFonts w:cstheme="minorHAnsi"/>
        </w:rPr>
        <w:t>.</w:t>
      </w:r>
      <w:r w:rsidR="00624877" w:rsidRPr="00202993">
        <w:rPr>
          <w:rFonts w:cstheme="minorHAnsi"/>
        </w:rPr>
        <w:t xml:space="preserve"> Problem ten staje się wyjątkowo dotkliwy, gdy wymagana przez użytkownika funkcjonalność jest realizowana poprzez usługę złożoną opisaną w postaci procesu składającego się z szeregu usług atomowych. W tej sytuacji dużym ryzykiem jest sytuacja, w której część procesu zostanie wykonana, podczas gdy część w ogóle nie zostanie uruchomiona ze względu na awarię jednej z usług atomowych.</w:t>
      </w:r>
    </w:p>
    <w:p w:rsidR="00D637A6" w:rsidRPr="00202993" w:rsidRDefault="00624877" w:rsidP="00624877">
      <w:pPr>
        <w:jc w:val="both"/>
        <w:rPr>
          <w:rFonts w:cstheme="minorHAnsi"/>
        </w:rPr>
      </w:pPr>
      <w:r w:rsidRPr="00202993">
        <w:rPr>
          <w:rFonts w:cstheme="minorHAnsi"/>
        </w:rPr>
        <w:t xml:space="preserve">Świadomi tego ryzyka przedstawiciele IBM, BEA Systems, Microsoft, </w:t>
      </w:r>
      <w:proofErr w:type="spellStart"/>
      <w:r w:rsidRPr="00202993">
        <w:rPr>
          <w:rFonts w:cstheme="minorHAnsi"/>
        </w:rPr>
        <w:t>Arjuna</w:t>
      </w:r>
      <w:proofErr w:type="spellEnd"/>
      <w:r w:rsidRPr="00202993">
        <w:rPr>
          <w:rFonts w:cstheme="minorHAnsi"/>
        </w:rPr>
        <w:t xml:space="preserve">, Hitachi oraz IONA postanowili opracować model pozwalający na zapewnienie transakcyjnego wykonywania usług, dzięki czemu możliwa byłaby kompensacja zmian wprowadzonych przez </w:t>
      </w:r>
      <w:r w:rsidR="000E230C" w:rsidRPr="00202993">
        <w:rPr>
          <w:rFonts w:cstheme="minorHAnsi"/>
        </w:rPr>
        <w:t>działające usługi w przypadku krytycznego</w:t>
      </w:r>
      <w:r w:rsidRPr="00202993">
        <w:rPr>
          <w:rFonts w:cstheme="minorHAnsi"/>
        </w:rPr>
        <w:t xml:space="preserve"> przerwania wykonywanego procesu w postaci usługi złożonej</w:t>
      </w:r>
      <w:r w:rsidR="000E230C" w:rsidRPr="00202993">
        <w:rPr>
          <w:rFonts w:cstheme="minorHAnsi"/>
        </w:rPr>
        <w:t>.</w:t>
      </w:r>
    </w:p>
    <w:p w:rsidR="000E230C" w:rsidRPr="00202993" w:rsidRDefault="005B7BF0" w:rsidP="00624877">
      <w:pPr>
        <w:jc w:val="both"/>
        <w:rPr>
          <w:rFonts w:cstheme="minorHAnsi"/>
        </w:rPr>
      </w:pPr>
      <w:r w:rsidRPr="00202993">
        <w:rPr>
          <w:rFonts w:cstheme="minorHAnsi"/>
        </w:rPr>
        <w:t>Przed przejściem do analizy zaproponowanego modelu transakcyjnego, warto zwrócić uwagę jak transakcje są realizowane w tradycyjnych systemach informatycznych. Modele transakcyjne powszechnie wykorzystywane w systemach informatycznych charakteryzują się cechami opisanymi poprzez akronim ACID, który można rozpisać na następujące cechy:</w:t>
      </w:r>
    </w:p>
    <w:p w:rsidR="005B7BF0" w:rsidRPr="00202993" w:rsidRDefault="005B7BF0" w:rsidP="004671DA">
      <w:pPr>
        <w:pStyle w:val="Akapitzlist"/>
        <w:numPr>
          <w:ilvl w:val="0"/>
          <w:numId w:val="3"/>
        </w:numPr>
        <w:jc w:val="both"/>
        <w:rPr>
          <w:lang w:eastAsia="pl-PL"/>
        </w:rPr>
      </w:pPr>
      <w:proofErr w:type="spellStart"/>
      <w:r w:rsidRPr="006A37E8">
        <w:rPr>
          <w:b/>
          <w:i/>
          <w:lang w:eastAsia="pl-PL"/>
        </w:rPr>
        <w:t>Atomicity</w:t>
      </w:r>
      <w:proofErr w:type="spellEnd"/>
      <w:r w:rsidRPr="006A37E8">
        <w:rPr>
          <w:b/>
          <w:i/>
          <w:lang w:eastAsia="pl-PL"/>
        </w:rPr>
        <w:t xml:space="preserve"> (atomowość)</w:t>
      </w:r>
      <w:r w:rsidRPr="006A37E8">
        <w:rPr>
          <w:i/>
          <w:lang w:eastAsia="pl-PL"/>
        </w:rPr>
        <w:t xml:space="preserve"> </w:t>
      </w:r>
      <w:r w:rsidR="00D12227" w:rsidRPr="00202993">
        <w:rPr>
          <w:lang w:eastAsia="pl-PL"/>
        </w:rPr>
        <w:t xml:space="preserve">– cecha ta oznacza, że transakcja zostanie wykonana pomyślnie w całości lub w przypadku </w:t>
      </w:r>
      <w:r w:rsidR="002C0427" w:rsidRPr="00202993">
        <w:rPr>
          <w:lang w:eastAsia="pl-PL"/>
        </w:rPr>
        <w:t>wystąpienia</w:t>
      </w:r>
      <w:r w:rsidR="00D12227" w:rsidRPr="00202993">
        <w:rPr>
          <w:lang w:eastAsia="pl-PL"/>
        </w:rPr>
        <w:t xml:space="preserve"> awarii wszystkie wprowadzone w ramach niej zmiany zostaną cofnięte.</w:t>
      </w:r>
      <w:r w:rsidRPr="00202993">
        <w:rPr>
          <w:lang w:eastAsia="pl-PL"/>
        </w:rPr>
        <w:t xml:space="preserve"> </w:t>
      </w:r>
    </w:p>
    <w:p w:rsidR="00D12227" w:rsidRPr="00202993" w:rsidRDefault="005B7BF0" w:rsidP="004671DA">
      <w:pPr>
        <w:pStyle w:val="Akapitzlist"/>
        <w:numPr>
          <w:ilvl w:val="0"/>
          <w:numId w:val="3"/>
        </w:numPr>
        <w:jc w:val="both"/>
      </w:pPr>
      <w:proofErr w:type="spellStart"/>
      <w:r w:rsidRPr="006A37E8">
        <w:rPr>
          <w:b/>
          <w:i/>
          <w:lang w:eastAsia="pl-PL"/>
        </w:rPr>
        <w:t>Consistenc</w:t>
      </w:r>
      <w:r w:rsidR="00D12227" w:rsidRPr="006A37E8">
        <w:rPr>
          <w:b/>
          <w:i/>
          <w:lang w:eastAsia="pl-PL"/>
        </w:rPr>
        <w:t>y</w:t>
      </w:r>
      <w:proofErr w:type="spellEnd"/>
      <w:r w:rsidR="00D12227" w:rsidRPr="006A37E8">
        <w:rPr>
          <w:b/>
          <w:i/>
          <w:lang w:eastAsia="pl-PL"/>
        </w:rPr>
        <w:t xml:space="preserve"> (spójność) </w:t>
      </w:r>
      <w:r w:rsidR="00D12227" w:rsidRPr="006A37E8">
        <w:rPr>
          <w:i/>
          <w:lang w:eastAsia="pl-PL"/>
        </w:rPr>
        <w:t xml:space="preserve">– </w:t>
      </w:r>
      <w:r w:rsidR="00D12227" w:rsidRPr="002C0427">
        <w:rPr>
          <w:lang w:eastAsia="pl-PL"/>
        </w:rPr>
        <w:t xml:space="preserve">cecha ta </w:t>
      </w:r>
      <w:r w:rsidR="00D12227" w:rsidRPr="00202993">
        <w:t>oznacza, że po wykonaniu transakcji system będzie spójny, czyli nie zostaną naruszone żadne zasady integralności.</w:t>
      </w:r>
    </w:p>
    <w:p w:rsidR="005B7BF0" w:rsidRPr="00202993" w:rsidRDefault="005B7BF0" w:rsidP="004671DA">
      <w:pPr>
        <w:pStyle w:val="Akapitzlist"/>
        <w:numPr>
          <w:ilvl w:val="0"/>
          <w:numId w:val="3"/>
        </w:numPr>
        <w:jc w:val="both"/>
        <w:rPr>
          <w:lang w:eastAsia="pl-PL"/>
        </w:rPr>
      </w:pPr>
      <w:proofErr w:type="spellStart"/>
      <w:r w:rsidRPr="006A37E8">
        <w:rPr>
          <w:b/>
          <w:i/>
          <w:lang w:eastAsia="pl-PL"/>
        </w:rPr>
        <w:t>Isolation</w:t>
      </w:r>
      <w:proofErr w:type="spellEnd"/>
      <w:r w:rsidR="00D12227" w:rsidRPr="006A37E8">
        <w:rPr>
          <w:b/>
          <w:i/>
          <w:lang w:eastAsia="pl-PL"/>
        </w:rPr>
        <w:t xml:space="preserve"> (izolacja) </w:t>
      </w:r>
      <w:r w:rsidR="00D12227" w:rsidRPr="006A37E8">
        <w:rPr>
          <w:i/>
          <w:lang w:eastAsia="pl-PL"/>
        </w:rPr>
        <w:t xml:space="preserve">– </w:t>
      </w:r>
      <w:r w:rsidR="00D12227" w:rsidRPr="002C0427">
        <w:rPr>
          <w:lang w:eastAsia="pl-PL"/>
        </w:rPr>
        <w:t xml:space="preserve">cecha ta oznacza, </w:t>
      </w:r>
      <w:r w:rsidR="00D12227" w:rsidRPr="00202993">
        <w:t>że jeżeli dwie lub więcej transakcji wykonuje się współbieżnie, to zmiany wprowadzane każdą z nich nie są widoczne dla pozostałych. Co więcej transakcje w takiej sytuacji wyglądają jakby były realizowane sekwencyjnie, nawet jeżeli były realizowane współbieżnie. Jest to uzyskiwane zazwyczaj poprzez blokowanie zasobów</w:t>
      </w:r>
      <w:r w:rsidR="00202993" w:rsidRPr="00202993">
        <w:t>, dzięki czemu nie dochodzi do sytuacji konfliktowych.</w:t>
      </w:r>
      <w:r w:rsidRPr="00202993">
        <w:rPr>
          <w:lang w:eastAsia="pl-PL"/>
        </w:rPr>
        <w:t xml:space="preserve"> </w:t>
      </w:r>
    </w:p>
    <w:p w:rsidR="005B7BF0" w:rsidRDefault="005B7BF0" w:rsidP="004671DA">
      <w:pPr>
        <w:pStyle w:val="Akapitzlist"/>
        <w:numPr>
          <w:ilvl w:val="0"/>
          <w:numId w:val="3"/>
        </w:numPr>
        <w:jc w:val="both"/>
        <w:rPr>
          <w:lang w:eastAsia="pl-PL"/>
        </w:rPr>
      </w:pPr>
      <w:proofErr w:type="spellStart"/>
      <w:r w:rsidRPr="006A37E8">
        <w:rPr>
          <w:b/>
          <w:i/>
          <w:lang w:eastAsia="pl-PL"/>
        </w:rPr>
        <w:t>Durability</w:t>
      </w:r>
      <w:proofErr w:type="spellEnd"/>
      <w:r w:rsidR="00202993" w:rsidRPr="006A37E8">
        <w:rPr>
          <w:b/>
          <w:i/>
          <w:lang w:eastAsia="pl-PL"/>
        </w:rPr>
        <w:t xml:space="preserve"> (trwałość) - </w:t>
      </w:r>
      <w:r w:rsidR="00202993" w:rsidRPr="00202993">
        <w:rPr>
          <w:lang w:eastAsia="pl-PL"/>
        </w:rPr>
        <w:t xml:space="preserve"> cecha ta </w:t>
      </w:r>
      <w:r w:rsidR="00202993">
        <w:rPr>
          <w:lang w:eastAsia="pl-PL"/>
        </w:rPr>
        <w:t>o</w:t>
      </w:r>
      <w:r w:rsidR="00202993" w:rsidRPr="00202993">
        <w:t>znacza, że system potrafi uruchomić się i udostępnić spójne, nienaruszone i aktualne dane zapisane w ramach zatwierdzonych transakcji, na przykład po nagłej awarii zasilania</w:t>
      </w:r>
    </w:p>
    <w:p w:rsidR="0053167A" w:rsidRDefault="00816CB9" w:rsidP="004671DA">
      <w:pPr>
        <w:jc w:val="both"/>
        <w:rPr>
          <w:lang w:eastAsia="pl-PL"/>
        </w:rPr>
      </w:pPr>
      <w:r>
        <w:rPr>
          <w:lang w:eastAsia="pl-PL"/>
        </w:rPr>
        <w:t>Bezpośrednie zastosowanie takiego podejścia w ramach systemów usługowych nie jest najlepszym rozwiązaniem. W typowych systemach informatycznych pewne złożone funkcjonalności mogą być w łatwy sposób przedstawione w ramach transakcji. Tradycyjne transakcje bardzo dobrze sprawdzają się do wykonywania krótkotrwałych zadań, które w stabilny sposób zmieniają stan systemu. Nie nadają się one jednak do wykorzystania w strukturalizowanych</w:t>
      </w:r>
      <w:r w:rsidR="006A37E8">
        <w:rPr>
          <w:lang w:eastAsia="pl-PL"/>
        </w:rPr>
        <w:t>,</w:t>
      </w:r>
      <w:r>
        <w:rPr>
          <w:lang w:eastAsia="pl-PL"/>
        </w:rPr>
        <w:t xml:space="preserve"> dług</w:t>
      </w:r>
      <w:r w:rsidR="006A37E8">
        <w:rPr>
          <w:lang w:eastAsia="pl-PL"/>
        </w:rPr>
        <w:t xml:space="preserve">o działających </w:t>
      </w:r>
      <w:proofErr w:type="spellStart"/>
      <w:r w:rsidR="006A37E8">
        <w:rPr>
          <w:lang w:eastAsia="pl-PL"/>
        </w:rPr>
        <w:lastRenderedPageBreak/>
        <w:t>funkcj</w:t>
      </w:r>
      <w:r w:rsidR="006A37E8">
        <w:t>onalnościach</w:t>
      </w:r>
      <w:proofErr w:type="spellEnd"/>
      <w:r>
        <w:rPr>
          <w:lang w:eastAsia="pl-PL"/>
        </w:rPr>
        <w:t xml:space="preserve">, które mogą trwać minuty, godziny, a czasami nawet dni. W takiej sytuacji tradycyjne transakcje mogą uniemożliwić zapewnienie jakiejkolwiek współbieżności w systemie ze względu na długotrwałe blokady </w:t>
      </w:r>
      <w:r w:rsidR="0053167A">
        <w:rPr>
          <w:lang w:eastAsia="pl-PL"/>
        </w:rPr>
        <w:t>zasobów</w:t>
      </w:r>
      <w:r>
        <w:rPr>
          <w:lang w:eastAsia="pl-PL"/>
        </w:rPr>
        <w:t>.</w:t>
      </w:r>
      <w:r w:rsidR="00E14471">
        <w:rPr>
          <w:lang w:eastAsia="pl-PL"/>
        </w:rPr>
        <w:t xml:space="preserve"> Poza tym, wystąpienie awarii w trakcie wykonywanie takiej transakcji wiąże się z dużymi kosztami spowodowanymi bezcelowym przetwarzaniem i wykorzystywaniem zasobów oraz uniemożliwieniem wykorzystania tej funkcjonalności przez kogoś innego.</w:t>
      </w:r>
    </w:p>
    <w:p w:rsidR="00816CB9" w:rsidRDefault="002C0427" w:rsidP="004671DA">
      <w:pPr>
        <w:jc w:val="both"/>
        <w:rPr>
          <w:lang w:eastAsia="pl-PL"/>
        </w:rPr>
      </w:pPr>
      <w:r w:rsidRPr="002C0427">
        <w:rPr>
          <w:lang w:eastAsia="pl-PL"/>
        </w:rPr>
        <w:t>Biorąc pod uwagę to, że przemysł informatyczny zmierza cora</w:t>
      </w:r>
      <w:r>
        <w:rPr>
          <w:lang w:eastAsia="pl-PL"/>
        </w:rPr>
        <w:t>z</w:t>
      </w:r>
      <w:r w:rsidRPr="002C0427">
        <w:rPr>
          <w:lang w:eastAsia="pl-PL"/>
        </w:rPr>
        <w:t xml:space="preserve"> bardziej w kierunku luźnych, gruboziarnistych </w:t>
      </w:r>
      <w:r>
        <w:rPr>
          <w:lang w:eastAsia="pl-PL"/>
        </w:rPr>
        <w:t>powiązań B2B (business to business) realizowanych poprzez usługi webowe, staje się jasne, że tradycyjna forma transakcji ACID nie pasuje w pełni do oprogramowania</w:t>
      </w:r>
      <w:r w:rsidR="004671DA">
        <w:rPr>
          <w:lang w:eastAsia="pl-PL"/>
        </w:rPr>
        <w:t xml:space="preserve"> działającego w architekturze SO</w:t>
      </w:r>
      <w:r>
        <w:rPr>
          <w:lang w:eastAsia="pl-PL"/>
        </w:rPr>
        <w:t>A.</w:t>
      </w:r>
      <w:r w:rsidR="004671DA">
        <w:rPr>
          <w:lang w:eastAsia="pl-PL"/>
        </w:rPr>
        <w:t xml:space="preserve"> Wynika to przede wszystkim z tego, że transakcje oparte na usługach trwają zazwyczaj dłużej, wymagaj ą </w:t>
      </w:r>
      <w:r>
        <w:rPr>
          <w:lang w:eastAsia="pl-PL"/>
        </w:rPr>
        <w:t xml:space="preserve"> </w:t>
      </w:r>
      <w:r w:rsidR="004671DA">
        <w:rPr>
          <w:lang w:eastAsia="pl-PL"/>
        </w:rPr>
        <w:t>aby sposób potwierdzenia realizacji transakcji był negocjowany w trakcie wykonania oraz żeby izolacja w ramach wykonywanych transakcji była luźniejsza.</w:t>
      </w:r>
    </w:p>
    <w:p w:rsidR="004671DA" w:rsidRDefault="004671DA" w:rsidP="00C22FD8">
      <w:pPr>
        <w:jc w:val="both"/>
        <w:rPr>
          <w:lang w:eastAsia="pl-PL"/>
        </w:rPr>
      </w:pPr>
      <w:r>
        <w:rPr>
          <w:lang w:eastAsia="pl-PL"/>
        </w:rPr>
        <w:t>Ze względu na to wspomniane powyżej firmy wraz z grupą OASIS zaproponowały specyfikacje modeli transakcyjnych</w:t>
      </w:r>
      <w:r w:rsidR="00915FA6">
        <w:rPr>
          <w:lang w:eastAsia="pl-PL"/>
        </w:rPr>
        <w:t xml:space="preserve">, </w:t>
      </w:r>
      <w:proofErr w:type="spellStart"/>
      <w:r w:rsidR="00915FA6">
        <w:rPr>
          <w:lang w:eastAsia="pl-PL"/>
        </w:rPr>
        <w:t>WS-Transaction</w:t>
      </w:r>
      <w:proofErr w:type="spellEnd"/>
      <w:r>
        <w:rPr>
          <w:lang w:eastAsia="pl-PL"/>
        </w:rPr>
        <w:t>, które mogłyby zostać wykorzystane w architekturze usługowej i które adresują wspomniane powyżej problemy.</w:t>
      </w:r>
      <w:r w:rsidR="00915FA6">
        <w:rPr>
          <w:lang w:eastAsia="pl-PL"/>
        </w:rPr>
        <w:t xml:space="preserve"> </w:t>
      </w:r>
      <w:proofErr w:type="spellStart"/>
      <w:r w:rsidR="00915FA6" w:rsidRPr="001C3DB7">
        <w:rPr>
          <w:lang w:eastAsia="pl-PL"/>
        </w:rPr>
        <w:t>WS-Transaction</w:t>
      </w:r>
      <w:proofErr w:type="spellEnd"/>
      <w:r w:rsidR="00915FA6" w:rsidRPr="001C3DB7">
        <w:rPr>
          <w:lang w:eastAsia="pl-PL"/>
        </w:rPr>
        <w:t xml:space="preserve"> składa się z trzech głównych elementów: </w:t>
      </w:r>
      <w:proofErr w:type="spellStart"/>
      <w:r w:rsidR="00915FA6" w:rsidRPr="001C3DB7">
        <w:rPr>
          <w:i/>
          <w:lang w:eastAsia="pl-PL"/>
        </w:rPr>
        <w:t>WS-Coordination</w:t>
      </w:r>
      <w:proofErr w:type="spellEnd"/>
      <w:r w:rsidR="00915FA6" w:rsidRPr="001C3DB7">
        <w:rPr>
          <w:lang w:eastAsia="pl-PL"/>
        </w:rPr>
        <w:t xml:space="preserve">, </w:t>
      </w:r>
      <w:proofErr w:type="spellStart"/>
      <w:r w:rsidR="00915FA6" w:rsidRPr="001C3DB7">
        <w:rPr>
          <w:i/>
          <w:lang w:eastAsia="pl-PL"/>
        </w:rPr>
        <w:t>WS-AtomicTransaction</w:t>
      </w:r>
      <w:proofErr w:type="spellEnd"/>
      <w:r w:rsidR="00915FA6" w:rsidRPr="001C3DB7">
        <w:rPr>
          <w:lang w:eastAsia="pl-PL"/>
        </w:rPr>
        <w:t xml:space="preserve"> oraz </w:t>
      </w:r>
      <w:proofErr w:type="spellStart"/>
      <w:r w:rsidR="00915FA6" w:rsidRPr="001C3DB7">
        <w:rPr>
          <w:i/>
          <w:lang w:eastAsia="pl-PL"/>
        </w:rPr>
        <w:t>Ws-BusinessActivity</w:t>
      </w:r>
      <w:proofErr w:type="spellEnd"/>
      <w:r w:rsidR="00915FA6" w:rsidRPr="001C3DB7">
        <w:rPr>
          <w:lang w:eastAsia="pl-PL"/>
        </w:rPr>
        <w:t>.</w:t>
      </w:r>
      <w:r w:rsidR="00C22FD8" w:rsidRPr="001C3DB7">
        <w:rPr>
          <w:lang w:eastAsia="pl-PL"/>
        </w:rPr>
        <w:t xml:space="preserve"> </w:t>
      </w:r>
      <w:proofErr w:type="spellStart"/>
      <w:r w:rsidR="00C22FD8" w:rsidRPr="00C22FD8">
        <w:rPr>
          <w:i/>
          <w:lang w:eastAsia="pl-PL"/>
        </w:rPr>
        <w:t>WS-Coordination</w:t>
      </w:r>
      <w:proofErr w:type="spellEnd"/>
      <w:r w:rsidR="00C22FD8" w:rsidRPr="00C22FD8">
        <w:rPr>
          <w:lang w:eastAsia="pl-PL"/>
        </w:rPr>
        <w:t xml:space="preserve"> opisuje sposób koordynacji pracy usług wykonywanych w ramach transakcji. </w:t>
      </w:r>
      <w:r w:rsidR="00C22FD8">
        <w:rPr>
          <w:lang w:eastAsia="pl-PL"/>
        </w:rPr>
        <w:t>Pozostałe dwa elementy definiują sposób realizacji koordynacji:</w:t>
      </w:r>
    </w:p>
    <w:p w:rsidR="00C22FD8" w:rsidRPr="00C22FD8" w:rsidRDefault="00C22FD8" w:rsidP="00C22FD8">
      <w:pPr>
        <w:pStyle w:val="Akapitzlist"/>
        <w:numPr>
          <w:ilvl w:val="0"/>
          <w:numId w:val="6"/>
        </w:numPr>
        <w:jc w:val="both"/>
        <w:rPr>
          <w:lang w:eastAsia="pl-PL"/>
        </w:rPr>
      </w:pPr>
      <w:proofErr w:type="spellStart"/>
      <w:r w:rsidRPr="00C22FD8">
        <w:rPr>
          <w:i/>
          <w:lang w:eastAsia="pl-PL"/>
        </w:rPr>
        <w:t>WS-AtomicTransaction</w:t>
      </w:r>
      <w:proofErr w:type="spellEnd"/>
      <w:r w:rsidRPr="00C22FD8">
        <w:rPr>
          <w:lang w:eastAsia="pl-PL"/>
        </w:rPr>
        <w:t xml:space="preserve"> - opisuje standardowe transakcje realizowane zgodnie z cechami ACID</w:t>
      </w:r>
    </w:p>
    <w:p w:rsidR="00C22FD8" w:rsidRPr="00C22FD8" w:rsidRDefault="00C22FD8" w:rsidP="00C22FD8">
      <w:pPr>
        <w:pStyle w:val="Akapitzlist"/>
        <w:numPr>
          <w:ilvl w:val="0"/>
          <w:numId w:val="6"/>
        </w:numPr>
        <w:jc w:val="both"/>
        <w:rPr>
          <w:lang w:eastAsia="pl-PL"/>
        </w:rPr>
      </w:pPr>
      <w:proofErr w:type="spellStart"/>
      <w:r w:rsidRPr="00C22FD8">
        <w:rPr>
          <w:i/>
          <w:lang w:eastAsia="pl-PL"/>
        </w:rPr>
        <w:t>WS-BussinessActiviety</w:t>
      </w:r>
      <w:proofErr w:type="spellEnd"/>
      <w:r w:rsidRPr="00C22FD8">
        <w:rPr>
          <w:lang w:eastAsia="pl-PL"/>
        </w:rPr>
        <w:t>- opisuje transakcje biznesowe adresujące problem długo działających usług wymagających luźniejszej izolacji</w:t>
      </w:r>
    </w:p>
    <w:p w:rsidR="00624877" w:rsidRDefault="00624877" w:rsidP="00C22FD8">
      <w:pPr>
        <w:jc w:val="both"/>
      </w:pPr>
      <w:r w:rsidRPr="00C22FD8">
        <w:t xml:space="preserve"> </w:t>
      </w:r>
      <w:r w:rsidR="00C22FD8">
        <w:t>Specyfikacje te zostały bardziej szczegółowo opisane poniżej.</w:t>
      </w:r>
      <w:r w:rsidR="001C3DB7">
        <w:t xml:space="preserve"> Wykorzystywane w opracowaniu pojęcie aktywności może definiować zarówno pojedynczą usługę webową jak i grupę usług realizującą pewną funkcjonalność. W ramach tego opracowania pojęcie aktywności będzie wykorzystywane </w:t>
      </w:r>
      <w:r w:rsidR="00336363">
        <w:t>jako określenie</w:t>
      </w:r>
      <w:r w:rsidR="001C3DB7">
        <w:t xml:space="preserve"> grup usług realizowanych w ramach transakcji, natomiast pojedyncze usługi będą opisywane po prostu poprzez pojęcie usługi.</w:t>
      </w:r>
    </w:p>
    <w:p w:rsidR="00C22FD8" w:rsidRPr="001C3DB7" w:rsidRDefault="00C22FD8" w:rsidP="00C22FD8">
      <w:pPr>
        <w:pStyle w:val="Nagwek2"/>
        <w:rPr>
          <w:color w:val="auto"/>
        </w:rPr>
      </w:pPr>
      <w:proofErr w:type="spellStart"/>
      <w:r w:rsidRPr="001C3DB7">
        <w:rPr>
          <w:color w:val="auto"/>
        </w:rPr>
        <w:t>WS-Coordination</w:t>
      </w:r>
      <w:proofErr w:type="spellEnd"/>
    </w:p>
    <w:p w:rsidR="00C22FD8" w:rsidRDefault="00C22FD8" w:rsidP="008979CA">
      <w:pPr>
        <w:jc w:val="both"/>
      </w:pPr>
      <w:r w:rsidRPr="00C22FD8">
        <w:t>W sytuacji gdy grupa usług webowych współpracuje ze sobą w celu wykonania pewnej funkcjonalności bardzo często muszą one współdzielić pomiędzy sobą wspólny kontekst w</w:t>
      </w:r>
      <w:r>
        <w:t xml:space="preserve"> celu jej poprawnej realizacji. W celu zapewnienia </w:t>
      </w:r>
      <w:r w:rsidR="00726B6E">
        <w:t>tego wspólnego kontekstu zadania wysyłane do usług webowych otrzymują wspólny identyfikator, który pozwala identyfikować to w ramach jakiego kontekstu jest wykonywane dane zadanie. Tak zdefiniowany kontekst nie tylko definiuje istnienie pewnego środowiska w ramach, którego jest wykonywana dana funkcjonalność. Umożliwia on również wprowadzenie pewnego poziomu kontroli nad tym w jaki sposób złożone zadanie jest przetwarzane.</w:t>
      </w:r>
    </w:p>
    <w:p w:rsidR="00726B6E" w:rsidRDefault="00726B6E" w:rsidP="008979CA">
      <w:pPr>
        <w:jc w:val="both"/>
      </w:pPr>
      <w:r>
        <w:t xml:space="preserve">Każda aktywność wykonywana w ramach takiego środowiska wykonawczego wprowadza pewne informacje w ramach kontekstu. Coś co się dzieje lub jest wykonywane ma pewne znaczenie w trakcie okresu życia transakcji, w związku z czym opis znaczenia danej akcji może być klasyfikowany jako informacja kontekstowa. Wynika z tego prosta zależność, że im bardziej złożona jest aktywność, tym więcej informacji kontekstowych będzie ona przynosić. </w:t>
      </w:r>
    </w:p>
    <w:p w:rsidR="00B47D62" w:rsidRDefault="00B47D62" w:rsidP="00C22FD8">
      <w:r>
        <w:t>Głównymi czynnikami mającymi wpływ na złożoność aktywności są:</w:t>
      </w:r>
    </w:p>
    <w:p w:rsidR="00B47D62" w:rsidRDefault="00B47D62" w:rsidP="00B47D62">
      <w:pPr>
        <w:pStyle w:val="Akapitzlist"/>
        <w:numPr>
          <w:ilvl w:val="0"/>
          <w:numId w:val="7"/>
        </w:numPr>
      </w:pPr>
      <w:r>
        <w:lastRenderedPageBreak/>
        <w:t>Liczba usług biorących udział w aktywności</w:t>
      </w:r>
    </w:p>
    <w:p w:rsidR="00B47D62" w:rsidRDefault="00B47D62" w:rsidP="00B47D62">
      <w:pPr>
        <w:pStyle w:val="Akapitzlist"/>
        <w:numPr>
          <w:ilvl w:val="0"/>
          <w:numId w:val="7"/>
        </w:numPr>
      </w:pPr>
      <w:r>
        <w:t>Czas trwania aktywności</w:t>
      </w:r>
    </w:p>
    <w:p w:rsidR="00B47D62" w:rsidRDefault="00B47D62" w:rsidP="00B47D62">
      <w:pPr>
        <w:pStyle w:val="Akapitzlist"/>
        <w:numPr>
          <w:ilvl w:val="0"/>
          <w:numId w:val="7"/>
        </w:numPr>
      </w:pPr>
      <w:r>
        <w:t>Częstotliwość z jaką może zmieniać się charakter i sposób wykonania aktywności</w:t>
      </w:r>
    </w:p>
    <w:p w:rsidR="00B47D62" w:rsidRDefault="00B47D62" w:rsidP="00B47D62">
      <w:pPr>
        <w:pStyle w:val="Akapitzlist"/>
        <w:numPr>
          <w:ilvl w:val="0"/>
          <w:numId w:val="7"/>
        </w:numPr>
      </w:pPr>
      <w:r>
        <w:t>Możliwość istnienia wielu instancji aktywności, które są wykonywane współbieżnie</w:t>
      </w:r>
    </w:p>
    <w:p w:rsidR="00B47D62" w:rsidRDefault="00B47D62" w:rsidP="008979CA">
      <w:pPr>
        <w:jc w:val="both"/>
      </w:pPr>
      <w:proofErr w:type="spellStart"/>
      <w:r w:rsidRPr="00403472">
        <w:rPr>
          <w:i/>
        </w:rPr>
        <w:t>WS-Coordination</w:t>
      </w:r>
      <w:proofErr w:type="spellEnd"/>
      <w:r>
        <w:t xml:space="preserve"> tworzy rozszerzalny Framework, który wprowadza pewne </w:t>
      </w:r>
      <w:proofErr w:type="spellStart"/>
      <w:r>
        <w:t>generyczne</w:t>
      </w:r>
      <w:proofErr w:type="spellEnd"/>
      <w:r>
        <w:t xml:space="preserve"> usługi opierające się na modelu koordynatora usług. Framework ten kontroluje trzy usługi odgrywające istotną rolę w zarządzaniu danymi kontekstowymi.  Te trzy usługi to:</w:t>
      </w:r>
    </w:p>
    <w:p w:rsidR="00B47D62" w:rsidRDefault="00B47D62" w:rsidP="00403472">
      <w:pPr>
        <w:pStyle w:val="Akapitzlist"/>
        <w:numPr>
          <w:ilvl w:val="0"/>
          <w:numId w:val="8"/>
        </w:numPr>
      </w:pPr>
      <w:r w:rsidRPr="008979CA">
        <w:rPr>
          <w:b/>
        </w:rPr>
        <w:t>Usługa aktywacji</w:t>
      </w:r>
      <w:r>
        <w:t xml:space="preserve"> – usługa odpowiedzialna za tworzenie nowego kontekstu oraz powiązanie go z konkretn</w:t>
      </w:r>
      <w:r w:rsidR="00F17039">
        <w:t>ą aktywnością</w:t>
      </w:r>
      <w:r w:rsidR="00403472">
        <w:t>.</w:t>
      </w:r>
    </w:p>
    <w:p w:rsidR="00B47D62" w:rsidRDefault="00B47D62" w:rsidP="00403472">
      <w:pPr>
        <w:pStyle w:val="Akapitzlist"/>
        <w:numPr>
          <w:ilvl w:val="0"/>
          <w:numId w:val="8"/>
        </w:numPr>
      </w:pPr>
      <w:r w:rsidRPr="008979CA">
        <w:rPr>
          <w:b/>
        </w:rPr>
        <w:t>Usługa rejestracji</w:t>
      </w:r>
      <w:r>
        <w:t xml:space="preserve"> – usługa umożliwiająca usługą biorącym udział w aktywności </w:t>
      </w:r>
      <w:r w:rsidR="00403472">
        <w:t>rejestrację w ramach stworzonego kontekstu oraz w ramach jednego ze wspieranych protokołów.</w:t>
      </w:r>
      <w:r>
        <w:t xml:space="preserve"> </w:t>
      </w:r>
    </w:p>
    <w:p w:rsidR="00B47D62" w:rsidRDefault="00B47D62" w:rsidP="00403472">
      <w:pPr>
        <w:pStyle w:val="Akapitzlist"/>
        <w:numPr>
          <w:ilvl w:val="0"/>
          <w:numId w:val="8"/>
        </w:numPr>
      </w:pPr>
      <w:r w:rsidRPr="008979CA">
        <w:rPr>
          <w:b/>
        </w:rPr>
        <w:t>Usługa koordynacji</w:t>
      </w:r>
      <w:r>
        <w:t xml:space="preserve"> </w:t>
      </w:r>
      <w:r w:rsidR="00F17039">
        <w:t xml:space="preserve"> - usługa kontrolująca i weryfikująca proces wykonania transakcji</w:t>
      </w:r>
    </w:p>
    <w:p w:rsidR="00403472" w:rsidRDefault="00403472" w:rsidP="00403472">
      <w:pPr>
        <w:jc w:val="center"/>
      </w:pPr>
      <w:r>
        <w:t>Stworzone w ten sposób środowisko można zobrazować w następujący sposób:</w:t>
      </w:r>
      <w:r>
        <w:rPr>
          <w:noProof/>
          <w:lang w:eastAsia="pl-PL"/>
        </w:rPr>
        <w:drawing>
          <wp:inline distT="0" distB="0" distL="0" distR="0">
            <wp:extent cx="3057525" cy="2209800"/>
            <wp:effectExtent l="19050" t="0" r="9525" b="0"/>
            <wp:docPr id="1" name="Obraz 0" descr="coordinatio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tion2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72" w:rsidRDefault="003D202A" w:rsidP="008979CA">
      <w:pPr>
        <w:jc w:val="both"/>
      </w:pPr>
      <w:r>
        <w:t xml:space="preserve">Każda usługa koordynacji bazuje na jakimś typie koordynacji, które specyfikuje sposób realizacji oraz logikę obsługi danej aktywności. Typy koordynacji są opisane w osobnych specyfikacjach.  </w:t>
      </w:r>
      <w:proofErr w:type="spellStart"/>
      <w:r>
        <w:rPr>
          <w:i/>
        </w:rPr>
        <w:t>WS-Coordination</w:t>
      </w:r>
      <w:proofErr w:type="spellEnd"/>
      <w:r>
        <w:t xml:space="preserve"> jest rozszerzalne i pozwala na wykorzystywanie różnych typów koordynacji w zależności od specyficznych potrzeb. Jednakże w tym momencie wyspecyfikowane są dwa główne typy koordynacji, czyli wspomniane </w:t>
      </w:r>
      <w:proofErr w:type="spellStart"/>
      <w:r w:rsidRPr="003D202A">
        <w:rPr>
          <w:i/>
        </w:rPr>
        <w:t>WS-AtomicTransaction</w:t>
      </w:r>
      <w:proofErr w:type="spellEnd"/>
      <w:r>
        <w:t xml:space="preserve"> i </w:t>
      </w:r>
      <w:proofErr w:type="spellStart"/>
      <w:r w:rsidRPr="003D202A">
        <w:rPr>
          <w:i/>
        </w:rPr>
        <w:t>WS-BusinessActivity</w:t>
      </w:r>
      <w:proofErr w:type="spellEnd"/>
      <w:r>
        <w:t xml:space="preserve">. </w:t>
      </w:r>
    </w:p>
    <w:p w:rsidR="003D202A" w:rsidRDefault="003D202A" w:rsidP="003D202A">
      <w:r>
        <w:t>Poszczególne typy koordynacji zapewniają zbiór protokołów do koordynacji, które zawierają zbiór specyficznych zachowań i reguł, które powinny być realizowane w ramach danego typu koordynacji. Z tej perspektywy protokół jest zbiorem reguł nałożonych na aktywności, do których muszą się stosować wszyscy ich uczestnicy.</w:t>
      </w:r>
    </w:p>
    <w:p w:rsidR="00FB1769" w:rsidRDefault="005E3772" w:rsidP="003D202A">
      <w:r>
        <w:t>Inicjacja wykonania transakcyjnego</w:t>
      </w:r>
      <w:r w:rsidR="00FB1769">
        <w:t xml:space="preserve"> realizowana w tym modelu przebiega następująco:</w:t>
      </w:r>
    </w:p>
    <w:p w:rsidR="00FB1769" w:rsidRDefault="00FB1769" w:rsidP="00FB1769">
      <w:pPr>
        <w:pStyle w:val="Akapitzlist"/>
        <w:numPr>
          <w:ilvl w:val="0"/>
          <w:numId w:val="9"/>
        </w:numPr>
      </w:pPr>
      <w:r>
        <w:t xml:space="preserve">Usługa koordynacji jest tworzona gdy usługa aplikacji </w:t>
      </w:r>
      <w:r w:rsidR="005E3772">
        <w:t>wykonująca transakcję zażąda stworzenia ko</w:t>
      </w:r>
      <w:r w:rsidR="008979CA">
        <w:t>ntekstu przez usługę aktywacji</w:t>
      </w:r>
      <w:r w:rsidR="005E3772">
        <w:t>.</w:t>
      </w:r>
    </w:p>
    <w:p w:rsidR="005E3772" w:rsidRDefault="005E3772" w:rsidP="00FB1769">
      <w:pPr>
        <w:pStyle w:val="Akapitzlist"/>
        <w:numPr>
          <w:ilvl w:val="0"/>
          <w:numId w:val="9"/>
        </w:numPr>
      </w:pPr>
      <w:r>
        <w:t>Po otrzymaniu tych danych aplikacja może zaprosić inne usługi do uczestnictwa w procesie koordynacji zapewniającym transakcyjne wykonanie aktywności. W celu zaproszenia usług aplikacja przesyła informacje o kontekście otrzymane od usługi aktywacyjnej.</w:t>
      </w:r>
    </w:p>
    <w:p w:rsidR="005E3772" w:rsidRDefault="005E3772" w:rsidP="00FB1769">
      <w:pPr>
        <w:pStyle w:val="Akapitzlist"/>
        <w:numPr>
          <w:ilvl w:val="0"/>
          <w:numId w:val="9"/>
        </w:numPr>
      </w:pPr>
      <w:r>
        <w:t>Każda usługa webowa posiadająca en kontekst może zarejestrować się w ramach wykonywanej aktywności poprzez wysłanie żądania rejestracji do usługi rejestrującej.</w:t>
      </w:r>
    </w:p>
    <w:p w:rsidR="005E3772" w:rsidRDefault="005E3772" w:rsidP="00FB1769">
      <w:pPr>
        <w:pStyle w:val="Akapitzlist"/>
        <w:numPr>
          <w:ilvl w:val="0"/>
          <w:numId w:val="9"/>
        </w:numPr>
      </w:pPr>
      <w:r>
        <w:lastRenderedPageBreak/>
        <w:t>Usługa rejestrująca przekazuje nowo zarejestrowanej usłudze informacje o koordynatorze aktywności oraz przesyła temu koordynatorowi adres nowo dodanego użytkownika aktywności.</w:t>
      </w:r>
    </w:p>
    <w:p w:rsidR="005E3772" w:rsidRDefault="005E3772" w:rsidP="00FB1769">
      <w:pPr>
        <w:pStyle w:val="Akapitzlist"/>
        <w:numPr>
          <w:ilvl w:val="0"/>
          <w:numId w:val="9"/>
        </w:numPr>
      </w:pPr>
      <w:r>
        <w:t>Po za zarejestrowaniu usługa staje się uczestnikiem wykonywanej aktywności i działa w ramach określonego typu aktywności określonego protokołem.</w:t>
      </w:r>
    </w:p>
    <w:p w:rsidR="005E3772" w:rsidRDefault="005E3772" w:rsidP="005E3772">
      <w:pPr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4286250" cy="4905375"/>
            <wp:effectExtent l="19050" t="0" r="0" b="0"/>
            <wp:docPr id="2" name="Obraz 1" descr="coordination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tion3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72" w:rsidRPr="003D202A" w:rsidRDefault="005E3772" w:rsidP="00C76F94">
      <w:pPr>
        <w:ind w:firstLine="360"/>
        <w:jc w:val="both"/>
      </w:pPr>
      <w:r>
        <w:t xml:space="preserve">Po stworzeniu takiego środowiska wykonawczego </w:t>
      </w:r>
      <w:r w:rsidR="00C76F94">
        <w:t xml:space="preserve">dla aktywności transakcja może zostać zrealizowana zgodnie z jednym z wybranych </w:t>
      </w:r>
      <w:r w:rsidR="00282C1A">
        <w:t>typów koordynacji egzekwowanym przez koordynatora.</w:t>
      </w:r>
      <w:r w:rsidR="00C76F94">
        <w:t>.</w:t>
      </w:r>
      <w:r>
        <w:t xml:space="preserve"> </w:t>
      </w:r>
    </w:p>
    <w:p w:rsidR="00C22FD8" w:rsidRDefault="00C22FD8" w:rsidP="00C22FD8">
      <w:pPr>
        <w:pStyle w:val="Nagwek2"/>
        <w:rPr>
          <w:color w:val="auto"/>
        </w:rPr>
      </w:pPr>
      <w:proofErr w:type="spellStart"/>
      <w:r w:rsidRPr="00B47D62">
        <w:rPr>
          <w:color w:val="auto"/>
        </w:rPr>
        <w:t>WS-AtomicTransaction</w:t>
      </w:r>
      <w:proofErr w:type="spellEnd"/>
    </w:p>
    <w:p w:rsidR="003775C6" w:rsidRDefault="003775C6" w:rsidP="001454C4">
      <w:pPr>
        <w:jc w:val="both"/>
      </w:pPr>
      <w:r>
        <w:t xml:space="preserve">Specyfikacja ta dostarcza standardowego mechanizmu do realizacji transakcji w środowisku usługowym zgodnego z tradycyjnym podejściem </w:t>
      </w:r>
      <w:r w:rsidR="001454C4">
        <w:t>ACID. W celu wykonania takiej transakcji koordynator nadzorujący wykonanie aktywności musi wykorzystywać protokoły definiowane przez tę specyfikację, a  wszystkie biorące w niej udział usługi muszą zostać zarejestrowane w ramach kontekstu, tak jak to zostało przedstawione powyżej.</w:t>
      </w:r>
    </w:p>
    <w:p w:rsidR="001454C4" w:rsidRDefault="001454C4" w:rsidP="003775C6">
      <w:r>
        <w:t>Opisana specyfikacja zapewnia trzy protokoły, które są wykorzystywane w trakcie wykonania:</w:t>
      </w:r>
    </w:p>
    <w:p w:rsidR="001454C4" w:rsidRDefault="001454C4" w:rsidP="001454C4">
      <w:pPr>
        <w:pStyle w:val="Akapitzlist"/>
        <w:numPr>
          <w:ilvl w:val="0"/>
          <w:numId w:val="10"/>
        </w:numPr>
      </w:pPr>
      <w:r w:rsidRPr="0018368D">
        <w:rPr>
          <w:i/>
        </w:rPr>
        <w:t>Protokół ukończenia</w:t>
      </w:r>
      <w:r>
        <w:t xml:space="preserve"> (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protokół ten jest wykorzystywany do potwierdzanie lub anulowania i kompensacji wykonania transakcji</w:t>
      </w:r>
    </w:p>
    <w:p w:rsidR="001454C4" w:rsidRDefault="001454C4" w:rsidP="001454C4">
      <w:pPr>
        <w:pStyle w:val="Akapitzlist"/>
        <w:numPr>
          <w:ilvl w:val="0"/>
          <w:numId w:val="10"/>
        </w:numPr>
      </w:pPr>
      <w:r w:rsidRPr="0018368D">
        <w:rPr>
          <w:i/>
        </w:rPr>
        <w:lastRenderedPageBreak/>
        <w:t>Protokół trwałych 2 fazowych potwierdzeń</w:t>
      </w:r>
      <w:r>
        <w:t xml:space="preserve"> (</w:t>
      </w:r>
      <w:proofErr w:type="spellStart"/>
      <w:r>
        <w:t>Durable</w:t>
      </w:r>
      <w:proofErr w:type="spellEnd"/>
      <w:r>
        <w:t xml:space="preserve"> 2PC) – protokół ten jest wykorzystywany przez usługi działające na trwałych danych, które mogą być utrwalane, np. w repozytoriach i bazach danych</w:t>
      </w:r>
    </w:p>
    <w:p w:rsidR="001454C4" w:rsidRDefault="001454C4" w:rsidP="001454C4">
      <w:pPr>
        <w:pStyle w:val="Akapitzlist"/>
        <w:numPr>
          <w:ilvl w:val="0"/>
          <w:numId w:val="10"/>
        </w:numPr>
      </w:pPr>
      <w:r w:rsidRPr="0018368D">
        <w:rPr>
          <w:i/>
        </w:rPr>
        <w:t>Protokół ulotnych 2 fazowych potwierdzeń</w:t>
      </w:r>
      <w:r>
        <w:t xml:space="preserve"> (</w:t>
      </w:r>
      <w:proofErr w:type="spellStart"/>
      <w:r>
        <w:t>Volatile</w:t>
      </w:r>
      <w:proofErr w:type="spellEnd"/>
      <w:r>
        <w:t xml:space="preserve"> 2PC) – protokół ten jest wykorzystywany przez usługi działające na danych ulotnych, które są wykorzystywane tylko w trakcie ich realizacji</w:t>
      </w:r>
    </w:p>
    <w:p w:rsidR="0018368D" w:rsidRDefault="0018368D" w:rsidP="0018368D">
      <w:pPr>
        <w:jc w:val="both"/>
      </w:pPr>
      <w:r>
        <w:t>W celu realizacji tego scenariusza usługi biorące udział w komunikacji</w:t>
      </w:r>
      <w:r w:rsidR="001F379E">
        <w:t xml:space="preserve"> muszą implementować te protokoły.</w:t>
      </w:r>
    </w:p>
    <w:p w:rsidR="001F379E" w:rsidRDefault="001F379E" w:rsidP="0018368D">
      <w:pPr>
        <w:jc w:val="both"/>
      </w:pPr>
      <w:r>
        <w:t>Proces wykonania transakcji odbywa się w dwóch fazach, opisanych poniżej:</w:t>
      </w:r>
    </w:p>
    <w:p w:rsidR="001F379E" w:rsidRDefault="001F379E" w:rsidP="0018368D">
      <w:pPr>
        <w:jc w:val="both"/>
      </w:pPr>
      <w:r w:rsidRPr="00953A21">
        <w:rPr>
          <w:i/>
        </w:rPr>
        <w:t>Faza przygotowawcza</w:t>
      </w:r>
      <w:r w:rsidR="00E84EF5">
        <w:t xml:space="preserve"> (</w:t>
      </w:r>
      <w:proofErr w:type="spellStart"/>
      <w:r w:rsidR="00E84EF5">
        <w:t>Preparation</w:t>
      </w:r>
      <w:proofErr w:type="spellEnd"/>
      <w:r w:rsidR="00E84EF5">
        <w:t xml:space="preserve"> </w:t>
      </w:r>
      <w:proofErr w:type="spellStart"/>
      <w:r w:rsidR="00E84EF5">
        <w:t>Phase</w:t>
      </w:r>
      <w:proofErr w:type="spellEnd"/>
      <w:r w:rsidR="00E84EF5">
        <w:t>)</w:t>
      </w:r>
      <w:r>
        <w:t xml:space="preserve"> – w trakcie tej fazy wszystkie usługi są informowane przez koordynatora o tym, ż</w:t>
      </w:r>
      <w:r w:rsidR="00E84EF5">
        <w:t>e mają wykonać przesłane żądanie w trybie transakcji</w:t>
      </w:r>
      <w:r>
        <w:t>. Następnie koordynator czeka n</w:t>
      </w:r>
      <w:r w:rsidR="009A4F6A">
        <w:t>a informację od każdej usługi o tym, czy wykonanie zakończyło się pomyślnie</w:t>
      </w:r>
      <w:r>
        <w:t>.</w:t>
      </w:r>
    </w:p>
    <w:p w:rsidR="00E84EF5" w:rsidRDefault="00E84EF5" w:rsidP="0018368D">
      <w:pPr>
        <w:jc w:val="both"/>
      </w:pPr>
      <w:r w:rsidRPr="00953A21">
        <w:rPr>
          <w:i/>
        </w:rPr>
        <w:t>Faza wykonania i potwierdzenia</w:t>
      </w:r>
      <w:r>
        <w:t xml:space="preserve"> (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) – po zebraniu wszystkich informacji zwrotnych od usług koordynator </w:t>
      </w:r>
      <w:r w:rsidR="009A4F6A">
        <w:t xml:space="preserve">decyduje, czy wykonanie powinno zostać zatwierdzone, czy powinno zostać skompensowane i zmiany powinny zostać cofnięte. Jeżeli wszystkie </w:t>
      </w:r>
      <w:r w:rsidR="00953A21">
        <w:t>usługi potwierdziły pozytywnie wykonanie żądań transakcja jest zatwierdzana. Jeżeli, którakolwiek z usług nie potwierdziła wykonania wszystkie zmiany zostają wycofane.</w:t>
      </w:r>
    </w:p>
    <w:p w:rsidR="00953A21" w:rsidRDefault="00953A21" w:rsidP="0018368D">
      <w:pPr>
        <w:jc w:val="both"/>
      </w:pPr>
      <w:r>
        <w:t>Poniżej przedstawiony został schemat wykonania transakcji atomowej:</w:t>
      </w:r>
    </w:p>
    <w:p w:rsidR="00953A21" w:rsidRDefault="00025F60" w:rsidP="0018368D">
      <w:pPr>
        <w:jc w:val="both"/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12.15pt;margin-top:107.45pt;width:30.95pt;height:24.25pt;flip:x;z-index:25165926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26" type="#_x0000_t32" style="position:absolute;left:0;text-align:left;margin-left:212.15pt;margin-top:52.2pt;width:30.95pt;height:0;z-index:251658240" o:connectortype="straight">
            <v:stroke endarrow="block"/>
          </v:shape>
        </w:pict>
      </w:r>
      <w:r w:rsidR="00953A21">
        <w:rPr>
          <w:noProof/>
          <w:lang w:eastAsia="pl-PL"/>
        </w:rPr>
        <w:drawing>
          <wp:inline distT="0" distB="0" distL="0" distR="0">
            <wp:extent cx="2565074" cy="1350335"/>
            <wp:effectExtent l="19050" t="0" r="6676" b="0"/>
            <wp:docPr id="3" name="Obraz 2" descr="atomic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ic3.g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063" cy="135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A21">
        <w:tab/>
      </w:r>
      <w:r w:rsidR="00953A21">
        <w:tab/>
      </w:r>
      <w:r w:rsidR="00953A21">
        <w:rPr>
          <w:noProof/>
          <w:lang w:eastAsia="pl-PL"/>
        </w:rPr>
        <w:drawing>
          <wp:inline distT="0" distB="0" distL="0" distR="0">
            <wp:extent cx="2544874" cy="1339703"/>
            <wp:effectExtent l="19050" t="0" r="7826" b="0"/>
            <wp:docPr id="7" name="Obraz 5" descr="atomi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ic4.g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991" cy="134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21" w:rsidRDefault="00953A21" w:rsidP="0018368D">
      <w:pPr>
        <w:jc w:val="both"/>
      </w:pPr>
    </w:p>
    <w:p w:rsidR="00953A21" w:rsidRDefault="00953A21" w:rsidP="0018368D">
      <w:pPr>
        <w:jc w:val="both"/>
      </w:pPr>
      <w:r>
        <w:rPr>
          <w:noProof/>
          <w:lang w:eastAsia="pl-PL"/>
        </w:rPr>
        <w:drawing>
          <wp:inline distT="0" distB="0" distL="0" distR="0">
            <wp:extent cx="2583712" cy="1360148"/>
            <wp:effectExtent l="19050" t="0" r="7088" b="0"/>
            <wp:docPr id="5" name="Obraz 4" descr="atomic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mic5.g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979" cy="136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D8" w:rsidRPr="00B47D62" w:rsidRDefault="00C22FD8" w:rsidP="00C22FD8">
      <w:pPr>
        <w:pStyle w:val="Nagwek2"/>
        <w:rPr>
          <w:color w:val="auto"/>
        </w:rPr>
      </w:pPr>
      <w:proofErr w:type="spellStart"/>
      <w:r w:rsidRPr="00B47D62">
        <w:rPr>
          <w:color w:val="auto"/>
        </w:rPr>
        <w:t>WS-BusinessActivity</w:t>
      </w:r>
      <w:proofErr w:type="spellEnd"/>
    </w:p>
    <w:p w:rsidR="00C22FD8" w:rsidRDefault="00485E26">
      <w:r>
        <w:t>Aktywności biznesowe składają się z długo trwających transakcji w ramach, których realizacja wiąże się z wykorzystaniem wielu usług atomowych. Tego typu proces może trwać kilka godzin, dni, a czasami nawet tygodni. W trakcie tego czasu w ramach aktywności zaangażowanych jest wielu różnych uczestników oraz wykonywane są różne zadania.</w:t>
      </w:r>
    </w:p>
    <w:p w:rsidR="00485E26" w:rsidRDefault="00485E26">
      <w:r>
        <w:t xml:space="preserve">Główną różnicą pomiędzy </w:t>
      </w:r>
      <w:proofErr w:type="spellStart"/>
      <w:r>
        <w:t>aktywnościami</w:t>
      </w:r>
      <w:proofErr w:type="spellEnd"/>
      <w:r>
        <w:t xml:space="preserve"> biznesowymi, a zwykłymi </w:t>
      </w:r>
      <w:r w:rsidR="00E65CE5">
        <w:t xml:space="preserve">sposobem realizacji złożonych aktywności jest konieczność stosowania się przez uczestników do pewnych reguł zdefiniowanych w </w:t>
      </w:r>
      <w:r w:rsidR="00E65CE5">
        <w:lastRenderedPageBreak/>
        <w:t xml:space="preserve">ramach protokółów. </w:t>
      </w:r>
      <w:r w:rsidR="00241AD8">
        <w:t xml:space="preserve">Różnią się one jednak od standardowych atomowych transakcji, również opartych na protokołach, sposobem obsługi wyjątków i reakcji na awarii oraz ograniczeniami wprowadzanymi przez reguły zdefiniowane w </w:t>
      </w:r>
      <w:proofErr w:type="spellStart"/>
      <w:r w:rsidR="00241AD8">
        <w:t>prpotokołach</w:t>
      </w:r>
      <w:proofErr w:type="spellEnd"/>
      <w:r w:rsidR="00241AD8">
        <w:t>.</w:t>
      </w:r>
    </w:p>
    <w:p w:rsidR="00241AD8" w:rsidRDefault="00241AD8">
      <w:r>
        <w:t>Jako przykład takiej różnicy można podać brak wsparcia dla cofania wprowadzonych zmian w przypadku niepowodzenia w realizacji aktywności. Zamiast tego aktywności biznesowe definiują „proces kompensacji”, który można traktować jako pewnego rodzaju plan awaryjny, który ma zostać wykonany w przypadku wystąpienia wyjątku spełniającego pewne warunki.</w:t>
      </w:r>
    </w:p>
    <w:p w:rsidR="00241AD8" w:rsidRDefault="00381596">
      <w:r>
        <w:t>Aktywności biznesowe definiują dwa protokoły realizacji transakcji:</w:t>
      </w:r>
    </w:p>
    <w:p w:rsidR="00381596" w:rsidRPr="00381596" w:rsidRDefault="00381596" w:rsidP="00381596">
      <w:pPr>
        <w:pStyle w:val="Akapitzlist"/>
        <w:numPr>
          <w:ilvl w:val="0"/>
          <w:numId w:val="11"/>
        </w:numPr>
        <w:rPr>
          <w:i/>
        </w:rPr>
      </w:pPr>
      <w:proofErr w:type="spellStart"/>
      <w:r w:rsidRPr="00381596">
        <w:rPr>
          <w:i/>
        </w:rPr>
        <w:t>The</w:t>
      </w:r>
      <w:proofErr w:type="spellEnd"/>
      <w:r w:rsidRPr="00381596">
        <w:rPr>
          <w:i/>
        </w:rPr>
        <w:t xml:space="preserve"> Business </w:t>
      </w:r>
      <w:proofErr w:type="spellStart"/>
      <w:r w:rsidRPr="00381596">
        <w:rPr>
          <w:i/>
        </w:rPr>
        <w:t>Agreement</w:t>
      </w:r>
      <w:proofErr w:type="spellEnd"/>
      <w:r w:rsidRPr="00381596">
        <w:rPr>
          <w:i/>
        </w:rPr>
        <w:t xml:space="preserve"> </w:t>
      </w:r>
      <w:proofErr w:type="spellStart"/>
      <w:r w:rsidRPr="00381596">
        <w:rPr>
          <w:i/>
        </w:rPr>
        <w:t>With</w:t>
      </w:r>
      <w:proofErr w:type="spellEnd"/>
      <w:r w:rsidRPr="00381596">
        <w:rPr>
          <w:i/>
        </w:rPr>
        <w:t xml:space="preserve"> </w:t>
      </w:r>
      <w:proofErr w:type="spellStart"/>
      <w:r w:rsidRPr="00381596">
        <w:rPr>
          <w:i/>
        </w:rPr>
        <w:t>Participant</w:t>
      </w:r>
      <w:proofErr w:type="spellEnd"/>
      <w:r w:rsidRPr="00381596">
        <w:rPr>
          <w:i/>
        </w:rPr>
        <w:t xml:space="preserve"> </w:t>
      </w:r>
      <w:proofErr w:type="spellStart"/>
      <w:r w:rsidRPr="00381596">
        <w:rPr>
          <w:i/>
        </w:rPr>
        <w:t>Completion</w:t>
      </w:r>
      <w:proofErr w:type="spellEnd"/>
      <w:r w:rsidRPr="00381596">
        <w:t xml:space="preserve"> – protokół ten umożliwia uczestnikowi transakcji na</w:t>
      </w:r>
      <w:r>
        <w:t xml:space="preserve"> samodzielne</w:t>
      </w:r>
      <w:r w:rsidRPr="00381596">
        <w:t xml:space="preserve"> stwierdzenie kiedy w całości wykonał swoją część aktywności</w:t>
      </w:r>
      <w:r>
        <w:t>.</w:t>
      </w:r>
    </w:p>
    <w:p w:rsidR="00381596" w:rsidRPr="00381596" w:rsidRDefault="00381596" w:rsidP="00381596">
      <w:pPr>
        <w:pStyle w:val="Akapitzlist"/>
        <w:numPr>
          <w:ilvl w:val="0"/>
          <w:numId w:val="11"/>
        </w:numPr>
        <w:rPr>
          <w:i/>
        </w:rPr>
      </w:pPr>
      <w:proofErr w:type="spellStart"/>
      <w:r w:rsidRPr="00381596">
        <w:rPr>
          <w:i/>
        </w:rPr>
        <w:t>The</w:t>
      </w:r>
      <w:proofErr w:type="spellEnd"/>
      <w:r w:rsidRPr="00381596">
        <w:rPr>
          <w:i/>
        </w:rPr>
        <w:t xml:space="preserve"> Business </w:t>
      </w:r>
      <w:proofErr w:type="spellStart"/>
      <w:r w:rsidRPr="00381596">
        <w:rPr>
          <w:i/>
        </w:rPr>
        <w:t>Agreement</w:t>
      </w:r>
      <w:proofErr w:type="spellEnd"/>
      <w:r w:rsidRPr="00381596">
        <w:rPr>
          <w:i/>
        </w:rPr>
        <w:t xml:space="preserve"> </w:t>
      </w:r>
      <w:proofErr w:type="spellStart"/>
      <w:r w:rsidRPr="00381596">
        <w:rPr>
          <w:i/>
        </w:rPr>
        <w:t>With</w:t>
      </w:r>
      <w:proofErr w:type="spellEnd"/>
      <w:r w:rsidRPr="00381596">
        <w:rPr>
          <w:i/>
        </w:rPr>
        <w:t xml:space="preserve"> </w:t>
      </w:r>
      <w:proofErr w:type="spellStart"/>
      <w:r w:rsidRPr="00381596">
        <w:rPr>
          <w:i/>
        </w:rPr>
        <w:t>Coordinator</w:t>
      </w:r>
      <w:proofErr w:type="spellEnd"/>
      <w:r w:rsidRPr="00381596">
        <w:rPr>
          <w:i/>
        </w:rPr>
        <w:t xml:space="preserve"> </w:t>
      </w:r>
      <w:proofErr w:type="spellStart"/>
      <w:r w:rsidRPr="00381596">
        <w:rPr>
          <w:i/>
        </w:rPr>
        <w:t>Completion</w:t>
      </w:r>
      <w:proofErr w:type="spellEnd"/>
      <w:r w:rsidRPr="00381596">
        <w:rPr>
          <w:i/>
        </w:rPr>
        <w:t xml:space="preserve"> </w:t>
      </w:r>
      <w:proofErr w:type="spellStart"/>
      <w:r w:rsidRPr="00381596">
        <w:rPr>
          <w:i/>
        </w:rPr>
        <w:t>protocol</w:t>
      </w:r>
      <w:proofErr w:type="spellEnd"/>
      <w:r w:rsidRPr="00381596">
        <w:t xml:space="preserve"> – protokół ten zakłada, że za stwierdzenie czy dany uczestnik wykonał wszystko w ramach aktywności jest odpowiedzialny koordynator, który ma za zadanie poinformować uczestnik o tym że wykonał wszystko w ramach transakcji gdy tak się stanie.</w:t>
      </w:r>
    </w:p>
    <w:p w:rsidR="00381596" w:rsidRDefault="00381596" w:rsidP="00381596">
      <w:pPr>
        <w:jc w:val="both"/>
      </w:pPr>
      <w:r>
        <w:t>W celu realizacji tego scenariusza koordynator mus</w:t>
      </w:r>
      <w:r w:rsidR="00537865">
        <w:t xml:space="preserve">i działać w ramach tego typu koordynacji, a </w:t>
      </w:r>
      <w:r>
        <w:t>usługi biorące udział w komunikacji muszą implementować te protokoły.</w:t>
      </w:r>
    </w:p>
    <w:p w:rsidR="00537865" w:rsidRDefault="00537865" w:rsidP="00381596">
      <w:pPr>
        <w:jc w:val="both"/>
      </w:pPr>
      <w:r>
        <w:t>Proces wykonania takiej aktywności można zobrazować jako szereg stanów, reprezentowanych przez stan koordynatora oraz wszystkich usług biorących udział w transakcji. Zmiana stanów, tożsama z przejściem do kolejnej fazy wykonania transakcji, występuje w momencie gdy komunikaty są przekazywane pomiędzy komunikującymi się usługami i koordynatorem.</w:t>
      </w:r>
    </w:p>
    <w:p w:rsidR="00537865" w:rsidRDefault="00537865" w:rsidP="00381596">
      <w:pPr>
        <w:jc w:val="both"/>
      </w:pPr>
      <w:r>
        <w:t xml:space="preserve">W sytuacji wystąpienia awarii realizowane jest jedno z dwóch podejść. Albo jest uruchamiany jeden z procesów kompensacji zależnie od rodzaju awarii lub dalsze wykonanie procesu jest anulowane bez podejmowania żadnych akcji kompensacyjnych. </w:t>
      </w:r>
    </w:p>
    <w:p w:rsidR="00537865" w:rsidRDefault="00537865" w:rsidP="00381596">
      <w:pPr>
        <w:jc w:val="both"/>
      </w:pPr>
      <w:r>
        <w:t>Jedną z istotnych cech tego typu transakcji jest luźne powiązanie uczestników z transakcją. Oznacza to, że usługa webowa uczestnicząca w transakcji nie musi czekać do zakończenia całej transakcji po wykonaniu swojej części zadania. Po zakończeniu działania usługa wysyła po prostu komunikat o opuszczeniu transakcji do koordynatora po czym odłącza się od całego procesu.</w:t>
      </w:r>
    </w:p>
    <w:p w:rsidR="003E78DF" w:rsidRDefault="003E78DF" w:rsidP="00381596">
      <w:pPr>
        <w:jc w:val="both"/>
      </w:pPr>
      <w:r>
        <w:t>Kończąc, warto zaznaczyć, że zastosowanie transakcji w formie aktywności biznesowych nie wyklucza wykorzystania usług atomowych. Jest to wręcz wska</w:t>
      </w:r>
      <w:r w:rsidR="00B4616A">
        <w:t>zane, aby w ramach długo trwających aktywności biznesowych część podprocesów była realizowana w ramach transakcji atomowych.</w:t>
      </w:r>
    </w:p>
    <w:p w:rsidR="00381596" w:rsidRPr="00381596" w:rsidRDefault="00381596"/>
    <w:sectPr w:rsidR="00381596" w:rsidRPr="00381596" w:rsidSect="00821AC8">
      <w:footerReference w:type="default" r:id="rId13"/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B80" w:rsidRDefault="00710B80" w:rsidP="00821AC8">
      <w:pPr>
        <w:spacing w:after="0" w:line="240" w:lineRule="auto"/>
      </w:pPr>
      <w:r>
        <w:separator/>
      </w:r>
    </w:p>
  </w:endnote>
  <w:endnote w:type="continuationSeparator" w:id="0">
    <w:p w:rsidR="00710B80" w:rsidRDefault="00710B80" w:rsidP="0082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FD5" w:rsidRDefault="00D86FD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B80" w:rsidRDefault="00710B80" w:rsidP="00821AC8">
      <w:pPr>
        <w:spacing w:after="0" w:line="240" w:lineRule="auto"/>
      </w:pPr>
      <w:r>
        <w:separator/>
      </w:r>
    </w:p>
  </w:footnote>
  <w:footnote w:type="continuationSeparator" w:id="0">
    <w:p w:rsidR="00710B80" w:rsidRDefault="00710B80" w:rsidP="00821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765F7"/>
    <w:multiLevelType w:val="hybridMultilevel"/>
    <w:tmpl w:val="0F4E6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77D10"/>
    <w:multiLevelType w:val="hybridMultilevel"/>
    <w:tmpl w:val="5E987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910A2"/>
    <w:multiLevelType w:val="hybridMultilevel"/>
    <w:tmpl w:val="B25CFE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81050"/>
    <w:multiLevelType w:val="hybridMultilevel"/>
    <w:tmpl w:val="205845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352CA"/>
    <w:multiLevelType w:val="hybridMultilevel"/>
    <w:tmpl w:val="C5387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B789A"/>
    <w:multiLevelType w:val="hybridMultilevel"/>
    <w:tmpl w:val="ED0A3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C7364"/>
    <w:multiLevelType w:val="hybridMultilevel"/>
    <w:tmpl w:val="317A8A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85C19"/>
    <w:multiLevelType w:val="hybridMultilevel"/>
    <w:tmpl w:val="0CFC9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7C4A8E"/>
    <w:multiLevelType w:val="hybridMultilevel"/>
    <w:tmpl w:val="D49027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B03C4"/>
    <w:multiLevelType w:val="hybridMultilevel"/>
    <w:tmpl w:val="4BEAA7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E7402"/>
    <w:multiLevelType w:val="hybridMultilevel"/>
    <w:tmpl w:val="7CDA23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AC8"/>
    <w:rsid w:val="00025F60"/>
    <w:rsid w:val="00040C1E"/>
    <w:rsid w:val="000B63CE"/>
    <w:rsid w:val="000E230C"/>
    <w:rsid w:val="00134840"/>
    <w:rsid w:val="001370D0"/>
    <w:rsid w:val="001454C4"/>
    <w:rsid w:val="00172BF9"/>
    <w:rsid w:val="0018368D"/>
    <w:rsid w:val="001C3DB7"/>
    <w:rsid w:val="001F379E"/>
    <w:rsid w:val="00202993"/>
    <w:rsid w:val="00241AD8"/>
    <w:rsid w:val="00280404"/>
    <w:rsid w:val="00282C1A"/>
    <w:rsid w:val="00291866"/>
    <w:rsid w:val="002C0427"/>
    <w:rsid w:val="00336363"/>
    <w:rsid w:val="00356E9B"/>
    <w:rsid w:val="00363F2B"/>
    <w:rsid w:val="003775C6"/>
    <w:rsid w:val="00381596"/>
    <w:rsid w:val="00383F13"/>
    <w:rsid w:val="003C5300"/>
    <w:rsid w:val="003D202A"/>
    <w:rsid w:val="003E78DF"/>
    <w:rsid w:val="00403472"/>
    <w:rsid w:val="00403D28"/>
    <w:rsid w:val="004671DA"/>
    <w:rsid w:val="00485E26"/>
    <w:rsid w:val="00486244"/>
    <w:rsid w:val="004D2443"/>
    <w:rsid w:val="0053167A"/>
    <w:rsid w:val="00537865"/>
    <w:rsid w:val="005B42E6"/>
    <w:rsid w:val="005B7BF0"/>
    <w:rsid w:val="005E3772"/>
    <w:rsid w:val="005E4BA6"/>
    <w:rsid w:val="005E5D9E"/>
    <w:rsid w:val="00610CE2"/>
    <w:rsid w:val="00624877"/>
    <w:rsid w:val="006A37E8"/>
    <w:rsid w:val="007045FD"/>
    <w:rsid w:val="00710B80"/>
    <w:rsid w:val="00711DA7"/>
    <w:rsid w:val="00726B6E"/>
    <w:rsid w:val="00777B35"/>
    <w:rsid w:val="007C7B68"/>
    <w:rsid w:val="00816CB9"/>
    <w:rsid w:val="00821AC8"/>
    <w:rsid w:val="008979CA"/>
    <w:rsid w:val="00915FA6"/>
    <w:rsid w:val="00953A21"/>
    <w:rsid w:val="00987912"/>
    <w:rsid w:val="009A4F6A"/>
    <w:rsid w:val="00B4616A"/>
    <w:rsid w:val="00B47D62"/>
    <w:rsid w:val="00B86B8C"/>
    <w:rsid w:val="00BC23C4"/>
    <w:rsid w:val="00C22FD8"/>
    <w:rsid w:val="00C76F94"/>
    <w:rsid w:val="00CA36D9"/>
    <w:rsid w:val="00D12227"/>
    <w:rsid w:val="00D637A6"/>
    <w:rsid w:val="00D86FD5"/>
    <w:rsid w:val="00DD10C2"/>
    <w:rsid w:val="00DD1591"/>
    <w:rsid w:val="00DE743D"/>
    <w:rsid w:val="00E14471"/>
    <w:rsid w:val="00E65CE5"/>
    <w:rsid w:val="00E84EF5"/>
    <w:rsid w:val="00EC0169"/>
    <w:rsid w:val="00F147CA"/>
    <w:rsid w:val="00F17039"/>
    <w:rsid w:val="00F26FC8"/>
    <w:rsid w:val="00FB1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7CA"/>
  </w:style>
  <w:style w:type="paragraph" w:styleId="Nagwek1">
    <w:name w:val="heading 1"/>
    <w:basedOn w:val="Normalny"/>
    <w:link w:val="Nagwek1Znak"/>
    <w:uiPriority w:val="9"/>
    <w:qFormat/>
    <w:rsid w:val="00DD1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7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821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21AC8"/>
  </w:style>
  <w:style w:type="paragraph" w:styleId="Stopka">
    <w:name w:val="footer"/>
    <w:basedOn w:val="Normalny"/>
    <w:link w:val="StopkaZnak"/>
    <w:uiPriority w:val="99"/>
    <w:unhideWhenUsed/>
    <w:rsid w:val="00821A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AC8"/>
  </w:style>
  <w:style w:type="paragraph" w:customStyle="1" w:styleId="Default">
    <w:name w:val="Default"/>
    <w:rsid w:val="00821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21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1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DD159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87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5B7BF0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5B7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20299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0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3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EDCC06D-9ECB-4B94-8801-1F814EA40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2097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37</cp:revision>
  <dcterms:created xsi:type="dcterms:W3CDTF">2012-06-10T12:00:00Z</dcterms:created>
  <dcterms:modified xsi:type="dcterms:W3CDTF">2012-06-11T09:24:00Z</dcterms:modified>
</cp:coreProperties>
</file>