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Preprocessing and Augmentation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For this checkpoint, we formulate the prediction task as a binary classification problem. Products whose reorder ratio falls within the top 25 percent of the dataset are labeled as the positive class, while products whose reorder ratio falls within the bottom 25 percent are labeled as the negative class. Products in the middle 50 percent are excluded from the initial experiments in order to create a clearer separation between classes and reduce ambiguity in the target labels. After labels are assigned, each product image is checked for usability before training. Images are considered corrupt if they cannot be opened successfully, fail image verification, or cannot be converted into a standard three-channel RGB format. In practice, this can be implemented by attempting to open each file with Pillow, calling image verification, and then reloading the image for RGB conversion. Any missing, unreadable, or invalid files are removed from the final matched dataset before model training begins. Pillow’s verification utilities are commonly used for this kind of image-integrity screening, and torchvision is built around standard preprocessing and transform pipelines for image-classification workflows.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All valid images are converted to RGB, resized to a fixed input size of 224 by 224 pixels, transformed to tensors, and normalized. The dataset is then partitioned into training, validation, and test sets using a stratified split so that class balance is preserved across all three subsets. A reasonable split for this checkpoint is 70 percent for training, 15 percent for validation, and 15 percent for testing. Because the images may come from different sources and may vary in framing, lighting, and background presentation, some augmentation is useful even if the course has not emphasized heavy image augmentation. However, the augmentation should remain conservative. A practical training pipeline would therefore use resizing and normalization for all images, along with light random horizontal flipping, slight rotation, and mild brightness or contrast jitter during training only. Zero-padding by itself is not really an augmentation strategy for this task; it is more of a geometric handling choice. Since torchvision directly provides transforms such as normalization, random horizontal flipping, rotation-related transforms, and color jitter, it is straightforward to implement a light-touch augmentation setup without making the method look overly elaborate.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