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Transfer Learning and Architectural Considerations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modeling pipeline will support both CNN-based and transformer-based image classifiers using standard PyTorch and torchvision implementations. For the custom model condition, we will implement a small convolutional neural network trained entirely from scratch as a baseline developed by our team. For the standard CNN condition, a practical choice is ResNet-18, which is directly available in torchvision and can be instantiated either with random initialization or with pretrained ImageNet weights. This makes it well suited for comparing a standard architecture trained from scratch, a pretrained architecture used as a frozen feature extractor, and a pretrained architecture that is fine-tuned on the project dataset. For the transformer-based condition, torchvision also provides Vision Transformer models such as ViT-B/16, again with support for pretrained weights. This means the same pipeline can be used to compare a conventional convolutional architecture and a transformer-based architecture under matched training and evaluation procedures. In practice, this project can be implemented entirely within the PyTorch and torchvision ecosystem rather than scikit-learn, since scikit-learn does not provide standard CNN or ViT image-classification model families in the same way. Torchvision’s model documentation explicitly supports both randomly initialized and pretrained model construction for architectures including ResNet and Vision Transformer, which makes it a natural fit for this checkpoint and the final project.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