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Set and Image Sources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dataset combines behavioral target variables from the Instacart Market Basket Analysis dataset with visual product data from an external product-image source. The easiest practical source for the image side of the project is Open Food Facts. Open Food Facts is an open food-product database with a public API, and its documentation explicitly states that the data is open for reuse. Its API supports barcode-based product lookup, and its image infrastructure is publicly documented, which makes it straightforward to retrieve product packaging photos programmatically. Open Food Facts also publishes a large image dataset through AWS Open Data, with monthly synchronization, which makes it attractive both for small-scale API experiments and for larger offline collection if needed.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the team can obtain UPCs or barcodes for a reasonable fraction of the Instacart products, then the cleanest version of the project is to join Instacart-derived reorder labels to Open Food Facts product images through barcode matching. If barcode coverage turns out to be incomplete, a secondary join strategy based on product name and brand can be used, followed by manual spot-checking of ambiguous matches. This approach is substantially easier and lower-risk than relying on Instacart as the primary image source. Instacart does have an active developer platform and catalog infrastructure, but its documentation is oriented toward shopping integrations, catalog ingestion, and platform use rather than an obviously open, research-friendly bulk product-image pipeline. In addition, Instacart’s developer messaging states that product images used online or in promotional contexts may not be altered, which makes Open Food Facts a cleaner source if you want to standardize or background-remove images yourself.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will use the raw product images as collected and, if necessary, apply our own background standardization or transparency preprocessing in a separate preprocessing step so that the final visual inputs are more consistent across products and retailers. That keeps the data-collection step simple while still allowing us to control image presentation downstream.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