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freihand_$SPLIT_coco.json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|-- ‘images’: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{‘id’: image 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‘file_name’: image file 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‘width’: image width,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‘height’: image height,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‘db_idx’: data 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‘mode_idx’: index of [‘gs’, ‘hom’, ‘sample’, ‘auto’] (definition of the four modes are in FreiHAND paper or git repo. this becomes 0 for the evaluation split following FreiHAND evaluation protocol.),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‘mode’: one of [‘gs’, ‘hom’, ‘sample’, ‘auto’] (this becomes ‘gs’ for the evaluation split following FreiHAND evaluation protocol),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…,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{same dict}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|-- ‘annotations’: [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{‘id’: annotation id,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‘image_id’: id of image where this annotation belongs to,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‘bbox’: bounding box coordinates (xmin, ymin, width, height. for the evaluation split, I used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detectron2 repo</w:t>
        </w:r>
      </w:hyperlink>
      <w:r w:rsidDel="00000000" w:rsidR="00000000" w:rsidRPr="00000000">
        <w:rPr>
          <w:rtl w:val="0"/>
        </w:rPr>
        <w:t xml:space="preserve"> to obtain this.)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…,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{same dict}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freihand_$SPLIT_data.json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|-- db_idx: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‘cam_param’: 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‘focal’: focal lengths in x- and y-axis (intrinsic. pixel unit.),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‘princpt’: principal point coordinates in x- and y-axis (intrinsic. pixel unit.)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‘mano_param’: {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‘pose’: 48-dimensional mano pose vector (theta),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‘shape’: 10-dimensional mano shape vector (beta)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‘joint_3d’: 21x3 joint coordinates (MANO joint set. meter unit.) from mesh,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‘scale’: groundtruth scale provided from FreiHAND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detectro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