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Design Document</w:t>
      </w:r>
    </w:p>
    <w:p>
      <w:pPr>
        <w:jc w:val="center"/>
      </w:pPr>
      <w:r>
        <w:rPr>
          <w:b/>
          <w:sz w:val="28"/>
        </w:rPr>
        <w:t>GraduPredict Graduate Placement Prediction System</w:t>
      </w:r>
    </w:p>
    <w:p>
      <w:pPr>
        <w:jc w:val="center"/>
      </w:pPr>
      <w:r>
        <w:t>BS Computer Science Final Year Project</w:t>
        <w:br/>
        <w:t>Version 1.0  |  October 2026</w:t>
      </w:r>
    </w:p>
    <w:p>
      <w:r>
        <w:br w:type="page"/>
      </w:r>
    </w:p>
    <w:p>
      <w:pPr>
        <w:pStyle w:val="Heading1"/>
      </w:pPr>
      <w:r>
        <w:t>Design Overview</w:t>
      </w:r>
    </w:p>
    <w:p>
      <w:r>
        <w:t>GraduPredict uses a small layered design that one student can implement, explain, test, and deploy. The interface gathers input, the prediction module applies stored Logistic Regression parameters, and SQLite records only the final result and essential identifiers.</w:t>
      </w:r>
    </w:p>
    <w:p>
      <w:pPr>
        <w:pStyle w:val="Heading1"/>
      </w:pPr>
      <w:r>
        <w:t>1 Architecture</w:t>
      </w:r>
    </w:p>
    <w:p>
      <w:pPr>
        <w:jc w:val="center"/>
      </w:pPr>
      <w:r>
        <w:drawing>
          <wp:inline xmlns:a="http://schemas.openxmlformats.org/drawingml/2006/main" xmlns:pic="http://schemas.openxmlformats.org/drawingml/2006/picture">
            <wp:extent cx="6126480" cy="332580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3325803"/>
                    </a:xfrm>
                    <a:prstGeom prst="rect"/>
                  </pic:spPr>
                </pic:pic>
              </a:graphicData>
            </a:graphic>
          </wp:inline>
        </w:drawing>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r/>
            <w:r>
              <w:rPr>
                <w:b/>
                <w:color w:val="FFFFFF"/>
                <w:sz w:val="18"/>
              </w:rPr>
              <w:t>Layer</w:t>
            </w:r>
          </w:p>
        </w:tc>
        <w:tc>
          <w:tcPr>
            <w:tcW w:type="dxa" w:w="3331"/>
            <w:vAlign w:val="center"/>
            <w:shd w:fill="17365D"/>
          </w:tcPr>
          <w:p>
            <w:r/>
            <w:r>
              <w:rPr>
                <w:b/>
                <w:color w:val="FFFFFF"/>
                <w:sz w:val="18"/>
              </w:rPr>
              <w:t>Files</w:t>
            </w:r>
          </w:p>
        </w:tc>
        <w:tc>
          <w:tcPr>
            <w:tcW w:type="dxa" w:w="3331"/>
            <w:vAlign w:val="center"/>
            <w:shd w:fill="17365D"/>
          </w:tcPr>
          <w:p>
            <w:r/>
            <w:r>
              <w:rPr>
                <w:b/>
                <w:color w:val="FFFFFF"/>
                <w:sz w:val="18"/>
              </w:rPr>
              <w:t>Responsibility</w:t>
            </w:r>
          </w:p>
        </w:tc>
      </w:tr>
      <w:tr>
        <w:tc>
          <w:tcPr>
            <w:tcW w:type="dxa" w:w="3331"/>
            <w:vAlign w:val="center"/>
            <w:shd w:fill="FFFFFF"/>
          </w:tcPr>
          <w:p>
            <w:r/>
            <w:r>
              <w:rPr>
                <w:b w:val="0"/>
                <w:color w:val="000000"/>
                <w:sz w:val="18"/>
              </w:rPr>
              <w:t>Presentation</w:t>
            </w:r>
          </w:p>
        </w:tc>
        <w:tc>
          <w:tcPr>
            <w:tcW w:type="dxa" w:w="3331"/>
            <w:vAlign w:val="center"/>
            <w:shd w:fill="FFFFFF"/>
          </w:tcPr>
          <w:p>
            <w:r/>
            <w:r>
              <w:rPr>
                <w:b w:val="0"/>
                <w:color w:val="000000"/>
                <w:sz w:val="18"/>
              </w:rPr>
              <w:t>app.py and Streamlit configuration</w:t>
            </w:r>
          </w:p>
        </w:tc>
        <w:tc>
          <w:tcPr>
            <w:tcW w:type="dxa" w:w="3331"/>
            <w:vAlign w:val="center"/>
            <w:shd w:fill="FFFFFF"/>
          </w:tcPr>
          <w:p>
            <w:r/>
            <w:r>
              <w:rPr>
                <w:b w:val="0"/>
                <w:color w:val="000000"/>
                <w:sz w:val="18"/>
              </w:rPr>
              <w:t>Navigation, forms, messages, metrics, tables, and downloads.</w:t>
            </w:r>
          </w:p>
        </w:tc>
      </w:tr>
      <w:tr>
        <w:tc>
          <w:tcPr>
            <w:tcW w:type="dxa" w:w="3331"/>
            <w:vAlign w:val="center"/>
            <w:shd w:fill="EEF5FA"/>
          </w:tcPr>
          <w:p>
            <w:r/>
            <w:r>
              <w:rPr>
                <w:b w:val="0"/>
                <w:color w:val="000000"/>
                <w:sz w:val="18"/>
              </w:rPr>
              <w:t>Prediction</w:t>
            </w:r>
          </w:p>
        </w:tc>
        <w:tc>
          <w:tcPr>
            <w:tcW w:type="dxa" w:w="3331"/>
            <w:vAlign w:val="center"/>
            <w:shd w:fill="EEF5FA"/>
          </w:tcPr>
          <w:p>
            <w:r/>
            <w:r>
              <w:rPr>
                <w:b w:val="0"/>
                <w:color w:val="000000"/>
                <w:sz w:val="18"/>
              </w:rPr>
              <w:t>prediction.py</w:t>
            </w:r>
          </w:p>
        </w:tc>
        <w:tc>
          <w:tcPr>
            <w:tcW w:type="dxa" w:w="3331"/>
            <w:vAlign w:val="center"/>
            <w:shd w:fill="EEF5FA"/>
          </w:tcPr>
          <w:p>
            <w:r/>
            <w:r>
              <w:rPr>
                <w:b w:val="0"/>
                <w:color w:val="000000"/>
                <w:sz w:val="18"/>
              </w:rPr>
              <w:t>Model loading, standardization, probability calculation, and classification.</w:t>
            </w:r>
          </w:p>
        </w:tc>
      </w:tr>
      <w:tr>
        <w:tc>
          <w:tcPr>
            <w:tcW w:type="dxa" w:w="3331"/>
            <w:vAlign w:val="center"/>
            <w:shd w:fill="FFFFFF"/>
          </w:tcPr>
          <w:p>
            <w:r/>
            <w:r>
              <w:rPr>
                <w:b w:val="0"/>
                <w:color w:val="000000"/>
                <w:sz w:val="18"/>
              </w:rPr>
              <w:t>Training</w:t>
            </w:r>
          </w:p>
        </w:tc>
        <w:tc>
          <w:tcPr>
            <w:tcW w:type="dxa" w:w="3331"/>
            <w:vAlign w:val="center"/>
            <w:shd w:fill="FFFFFF"/>
          </w:tcPr>
          <w:p>
            <w:r/>
            <w:r>
              <w:rPr>
                <w:b w:val="0"/>
                <w:color w:val="000000"/>
                <w:sz w:val="18"/>
              </w:rPr>
              <w:t>train_model.py and notebook.ipynb</w:t>
            </w:r>
          </w:p>
        </w:tc>
        <w:tc>
          <w:tcPr>
            <w:tcW w:type="dxa" w:w="3331"/>
            <w:vAlign w:val="center"/>
            <w:shd w:fill="FFFFFF"/>
          </w:tcPr>
          <w:p>
            <w:r/>
            <w:r>
              <w:rPr>
                <w:b w:val="0"/>
                <w:color w:val="000000"/>
                <w:sz w:val="18"/>
              </w:rPr>
              <w:t>Dataset loading, reproducible split, fitting, evaluation, and JSON export.</w:t>
            </w:r>
          </w:p>
        </w:tc>
      </w:tr>
      <w:tr>
        <w:tc>
          <w:tcPr>
            <w:tcW w:type="dxa" w:w="3331"/>
            <w:vAlign w:val="center"/>
            <w:shd w:fill="EEF5FA"/>
          </w:tcPr>
          <w:p>
            <w:r/>
            <w:r>
              <w:rPr>
                <w:b w:val="0"/>
                <w:color w:val="000000"/>
                <w:sz w:val="18"/>
              </w:rPr>
              <w:t>Persistence</w:t>
            </w:r>
          </w:p>
        </w:tc>
        <w:tc>
          <w:tcPr>
            <w:tcW w:type="dxa" w:w="3331"/>
            <w:vAlign w:val="center"/>
            <w:shd w:fill="EEF5FA"/>
          </w:tcPr>
          <w:p>
            <w:r/>
            <w:r>
              <w:rPr>
                <w:b w:val="0"/>
                <w:color w:val="000000"/>
                <w:sz w:val="18"/>
              </w:rPr>
              <w:t>SQLite database</w:t>
            </w:r>
          </w:p>
        </w:tc>
        <w:tc>
          <w:tcPr>
            <w:tcW w:type="dxa" w:w="3331"/>
            <w:vAlign w:val="center"/>
            <w:shd w:fill="EEF5FA"/>
          </w:tcPr>
          <w:p>
            <w:r/>
            <w:r>
              <w:rPr>
                <w:b w:val="0"/>
                <w:color w:val="000000"/>
                <w:sz w:val="18"/>
              </w:rPr>
              <w:t>Prediction ID, student ID, outcome, probability, risk, and timestamp.</w:t>
            </w:r>
          </w:p>
        </w:tc>
      </w:tr>
      <w:tr>
        <w:tc>
          <w:tcPr>
            <w:tcW w:type="dxa" w:w="3331"/>
            <w:vAlign w:val="center"/>
            <w:shd w:fill="FFFFFF"/>
          </w:tcPr>
          <w:p>
            <w:r/>
            <w:r>
              <w:rPr>
                <w:b w:val="0"/>
                <w:color w:val="000000"/>
                <w:sz w:val="18"/>
              </w:rPr>
              <w:t>Configuration</w:t>
            </w:r>
          </w:p>
        </w:tc>
        <w:tc>
          <w:tcPr>
            <w:tcW w:type="dxa" w:w="3331"/>
            <w:vAlign w:val="center"/>
            <w:shd w:fill="FFFFFF"/>
          </w:tcPr>
          <w:p>
            <w:r/>
            <w:r>
              <w:rPr>
                <w:b w:val="0"/>
                <w:color w:val="000000"/>
                <w:sz w:val="18"/>
              </w:rPr>
              <w:t>requirements.txt and placement_model.json</w:t>
            </w:r>
          </w:p>
        </w:tc>
        <w:tc>
          <w:tcPr>
            <w:tcW w:type="dxa" w:w="3331"/>
            <w:vAlign w:val="center"/>
            <w:shd w:fill="FFFFFF"/>
          </w:tcPr>
          <w:p>
            <w:r/>
            <w:r>
              <w:rPr>
                <w:b w:val="0"/>
                <w:color w:val="000000"/>
                <w:sz w:val="18"/>
              </w:rPr>
              <w:t>Runtime dependencies, feature order, scaling values, weights, threshold, and metrics.</w:t>
            </w:r>
          </w:p>
        </w:tc>
      </w:tr>
    </w:tbl>
    <w:p>
      <w:pPr>
        <w:pStyle w:val="Heading1"/>
      </w:pPr>
      <w:r>
        <w:t>2 Component Design</w:t>
      </w:r>
    </w:p>
    <w:p>
      <w:pPr>
        <w:pStyle w:val="Heading2"/>
      </w:pPr>
      <w:r>
        <w:t>2.1 Prediction Pipeline</w:t>
      </w:r>
    </w:p>
    <w:p>
      <w:r>
        <w:t>The training pipeline loads ordered features, performs an 80 percent training and 20 percent test split, calculates scaling statistics from the training partition, fits binary Logistic Regression by gradient descent, evaluates held-out predictions, and writes parameters to JSON. Runtime prediction applies the same feature order, mean, and scale before the sigmoid calculation.</w:t>
      </w:r>
    </w:p>
    <w:p>
      <w:pPr>
        <w:pStyle w:val="Heading2"/>
      </w:pPr>
      <w:r>
        <w:t>2.2 Interface Flow</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r/>
            <w:r>
              <w:rPr>
                <w:b/>
                <w:color w:val="FFFFFF"/>
                <w:sz w:val="18"/>
              </w:rPr>
              <w:t>Step</w:t>
            </w:r>
          </w:p>
        </w:tc>
        <w:tc>
          <w:tcPr>
            <w:tcW w:type="dxa" w:w="3331"/>
            <w:vAlign w:val="center"/>
            <w:shd w:fill="17365D"/>
          </w:tcPr>
          <w:p>
            <w:r/>
            <w:r>
              <w:rPr>
                <w:b/>
                <w:color w:val="FFFFFF"/>
                <w:sz w:val="18"/>
              </w:rPr>
              <w:t>User action</w:t>
            </w:r>
          </w:p>
        </w:tc>
        <w:tc>
          <w:tcPr>
            <w:tcW w:type="dxa" w:w="3331"/>
            <w:vAlign w:val="center"/>
            <w:shd w:fill="17365D"/>
          </w:tcPr>
          <w:p>
            <w:r/>
            <w:r>
              <w:rPr>
                <w:b/>
                <w:color w:val="FFFFFF"/>
                <w:sz w:val="18"/>
              </w:rPr>
              <w:t>System response</w:t>
            </w:r>
          </w:p>
        </w:tc>
      </w:tr>
      <w:tr>
        <w:tc>
          <w:tcPr>
            <w:tcW w:type="dxa" w:w="3331"/>
            <w:vAlign w:val="center"/>
            <w:shd w:fill="FFFFFF"/>
          </w:tcPr>
          <w:p>
            <w:r/>
            <w:r>
              <w:rPr>
                <w:b w:val="0"/>
                <w:color w:val="000000"/>
                <w:sz w:val="18"/>
              </w:rPr>
              <w:t>1</w:t>
            </w:r>
          </w:p>
        </w:tc>
        <w:tc>
          <w:tcPr>
            <w:tcW w:type="dxa" w:w="3331"/>
            <w:vAlign w:val="center"/>
            <w:shd w:fill="FFFFFF"/>
          </w:tcPr>
          <w:p>
            <w:r/>
            <w:r>
              <w:rPr>
                <w:b w:val="0"/>
                <w:color w:val="000000"/>
                <w:sz w:val="18"/>
              </w:rPr>
              <w:t>Open application</w:t>
            </w:r>
          </w:p>
        </w:tc>
        <w:tc>
          <w:tcPr>
            <w:tcW w:type="dxa" w:w="3331"/>
            <w:vAlign w:val="center"/>
            <w:shd w:fill="FFFFFF"/>
          </w:tcPr>
          <w:p>
            <w:r/>
            <w:r>
              <w:rPr>
                <w:b w:val="0"/>
                <w:color w:val="000000"/>
                <w:sz w:val="18"/>
              </w:rPr>
              <w:t>Dashboard and navigation appear.</w:t>
            </w:r>
          </w:p>
        </w:tc>
      </w:tr>
      <w:tr>
        <w:tc>
          <w:tcPr>
            <w:tcW w:type="dxa" w:w="3331"/>
            <w:vAlign w:val="center"/>
            <w:shd w:fill="EEF5FA"/>
          </w:tcPr>
          <w:p>
            <w:r/>
            <w:r>
              <w:rPr>
                <w:b w:val="0"/>
                <w:color w:val="000000"/>
                <w:sz w:val="18"/>
              </w:rPr>
              <w:t>2</w:t>
            </w:r>
          </w:p>
        </w:tc>
        <w:tc>
          <w:tcPr>
            <w:tcW w:type="dxa" w:w="3331"/>
            <w:vAlign w:val="center"/>
            <w:shd w:fill="EEF5FA"/>
          </w:tcPr>
          <w:p>
            <w:r/>
            <w:r>
              <w:rPr>
                <w:b w:val="0"/>
                <w:color w:val="000000"/>
                <w:sz w:val="18"/>
              </w:rPr>
              <w:t>Open New Prediction</w:t>
            </w:r>
          </w:p>
        </w:tc>
        <w:tc>
          <w:tcPr>
            <w:tcW w:type="dxa" w:w="3331"/>
            <w:vAlign w:val="center"/>
            <w:shd w:fill="EEF5FA"/>
          </w:tcPr>
          <w:p>
            <w:r/>
            <w:r>
              <w:rPr>
                <w:b w:val="0"/>
                <w:color w:val="000000"/>
                <w:sz w:val="18"/>
              </w:rPr>
              <w:t>Validated student form appears.</w:t>
            </w:r>
          </w:p>
        </w:tc>
      </w:tr>
      <w:tr>
        <w:tc>
          <w:tcPr>
            <w:tcW w:type="dxa" w:w="3331"/>
            <w:vAlign w:val="center"/>
            <w:shd w:fill="FFFFFF"/>
          </w:tcPr>
          <w:p>
            <w:r/>
            <w:r>
              <w:rPr>
                <w:b w:val="0"/>
                <w:color w:val="000000"/>
                <w:sz w:val="18"/>
              </w:rPr>
              <w:t>3</w:t>
            </w:r>
          </w:p>
        </w:tc>
        <w:tc>
          <w:tcPr>
            <w:tcW w:type="dxa" w:w="3331"/>
            <w:vAlign w:val="center"/>
            <w:shd w:fill="FFFFFF"/>
          </w:tcPr>
          <w:p>
            <w:r/>
            <w:r>
              <w:rPr>
                <w:b w:val="0"/>
                <w:color w:val="000000"/>
                <w:sz w:val="18"/>
              </w:rPr>
              <w:t>Enter values and submit</w:t>
            </w:r>
          </w:p>
        </w:tc>
        <w:tc>
          <w:tcPr>
            <w:tcW w:type="dxa" w:w="3331"/>
            <w:vAlign w:val="center"/>
            <w:shd w:fill="FFFFFF"/>
          </w:tcPr>
          <w:p>
            <w:r/>
            <w:r>
              <w:rPr>
                <w:b w:val="0"/>
                <w:color w:val="000000"/>
                <w:sz w:val="18"/>
              </w:rPr>
              <w:t>System calculates probability, outcome, and risk.</w:t>
            </w:r>
          </w:p>
        </w:tc>
      </w:tr>
      <w:tr>
        <w:tc>
          <w:tcPr>
            <w:tcW w:type="dxa" w:w="3331"/>
            <w:vAlign w:val="center"/>
            <w:shd w:fill="EEF5FA"/>
          </w:tcPr>
          <w:p>
            <w:r/>
            <w:r>
              <w:rPr>
                <w:b w:val="0"/>
                <w:color w:val="000000"/>
                <w:sz w:val="18"/>
              </w:rPr>
              <w:t>4</w:t>
            </w:r>
          </w:p>
        </w:tc>
        <w:tc>
          <w:tcPr>
            <w:tcW w:type="dxa" w:w="3331"/>
            <w:vAlign w:val="center"/>
            <w:shd w:fill="EEF5FA"/>
          </w:tcPr>
          <w:p>
            <w:r/>
            <w:r>
              <w:rPr>
                <w:b w:val="0"/>
                <w:color w:val="000000"/>
                <w:sz w:val="18"/>
              </w:rPr>
              <w:t>Review and save</w:t>
            </w:r>
          </w:p>
        </w:tc>
        <w:tc>
          <w:tcPr>
            <w:tcW w:type="dxa" w:w="3331"/>
            <w:vAlign w:val="center"/>
            <w:shd w:fill="EEF5FA"/>
          </w:tcPr>
          <w:p>
            <w:r/>
            <w:r>
              <w:rPr>
                <w:b w:val="0"/>
                <w:color w:val="000000"/>
                <w:sz w:val="18"/>
              </w:rPr>
              <w:t>System inserts the result into SQLite.</w:t>
            </w:r>
          </w:p>
        </w:tc>
      </w:tr>
      <w:tr>
        <w:tc>
          <w:tcPr>
            <w:tcW w:type="dxa" w:w="3331"/>
            <w:vAlign w:val="center"/>
            <w:shd w:fill="FFFFFF"/>
          </w:tcPr>
          <w:p>
            <w:r/>
            <w:r>
              <w:rPr>
                <w:b w:val="0"/>
                <w:color w:val="000000"/>
                <w:sz w:val="18"/>
              </w:rPr>
              <w:t>5</w:t>
            </w:r>
          </w:p>
        </w:tc>
        <w:tc>
          <w:tcPr>
            <w:tcW w:type="dxa" w:w="3331"/>
            <w:vAlign w:val="center"/>
            <w:shd w:fill="FFFFFF"/>
          </w:tcPr>
          <w:p>
            <w:r/>
            <w:r>
              <w:rPr>
                <w:b w:val="0"/>
                <w:color w:val="000000"/>
                <w:sz w:val="18"/>
              </w:rPr>
              <w:t>Open history</w:t>
            </w:r>
          </w:p>
        </w:tc>
        <w:tc>
          <w:tcPr>
            <w:tcW w:type="dxa" w:w="3331"/>
            <w:vAlign w:val="center"/>
            <w:shd w:fill="FFFFFF"/>
          </w:tcPr>
          <w:p>
            <w:r/>
            <w:r>
              <w:rPr>
                <w:b w:val="0"/>
                <w:color w:val="000000"/>
                <w:sz w:val="18"/>
              </w:rPr>
              <w:t>System shows, filters, and exports records.</w:t>
            </w:r>
          </w:p>
        </w:tc>
      </w:tr>
      <w:tr>
        <w:tc>
          <w:tcPr>
            <w:tcW w:type="dxa" w:w="3331"/>
            <w:vAlign w:val="center"/>
            <w:shd w:fill="EEF5FA"/>
          </w:tcPr>
          <w:p>
            <w:r/>
            <w:r>
              <w:rPr>
                <w:b w:val="0"/>
                <w:color w:val="000000"/>
                <w:sz w:val="18"/>
              </w:rPr>
              <w:t>6</w:t>
            </w:r>
          </w:p>
        </w:tc>
        <w:tc>
          <w:tcPr>
            <w:tcW w:type="dxa" w:w="3331"/>
            <w:vAlign w:val="center"/>
            <w:shd w:fill="EEF5FA"/>
          </w:tcPr>
          <w:p>
            <w:r/>
            <w:r>
              <w:rPr>
                <w:b w:val="0"/>
                <w:color w:val="000000"/>
                <w:sz w:val="18"/>
              </w:rPr>
              <w:t>Open About Model</w:t>
            </w:r>
          </w:p>
        </w:tc>
        <w:tc>
          <w:tcPr>
            <w:tcW w:type="dxa" w:w="3331"/>
            <w:vAlign w:val="center"/>
            <w:shd w:fill="EEF5FA"/>
          </w:tcPr>
          <w:p>
            <w:r/>
            <w:r>
              <w:rPr>
                <w:b w:val="0"/>
                <w:color w:val="000000"/>
                <w:sz w:val="18"/>
              </w:rPr>
              <w:t>System explains the algorithm, metrics, dataset note, and limitation.</w:t>
            </w:r>
          </w:p>
        </w:tc>
      </w:tr>
    </w:tbl>
    <w:p>
      <w:pPr>
        <w:pStyle w:val="Heading1"/>
      </w:pPr>
      <w:r>
        <w:t>3 Database Design</w:t>
      </w:r>
    </w:p>
    <w:p>
      <w:pPr>
        <w:jc w:val="center"/>
      </w:pPr>
      <w:r>
        <w:drawing>
          <wp:inline xmlns:a="http://schemas.openxmlformats.org/drawingml/2006/main" xmlns:pic="http://schemas.openxmlformats.org/drawingml/2006/picture">
            <wp:extent cx="5760720" cy="3127248"/>
            <wp:docPr id="2" name="Picture 2"/>
            <wp:cNvGraphicFramePr>
              <a:graphicFrameLocks noChangeAspect="1"/>
            </wp:cNvGraphicFramePr>
            <a:graphic>
              <a:graphicData uri="http://schemas.openxmlformats.org/drawingml/2006/picture">
                <pic:pic>
                  <pic:nvPicPr>
                    <pic:cNvPr id="0" name="database.png"/>
                    <pic:cNvPicPr/>
                  </pic:nvPicPr>
                  <pic:blipFill>
                    <a:blip r:embed="rId10"/>
                    <a:stretch>
                      <a:fillRect/>
                    </a:stretch>
                  </pic:blipFill>
                  <pic:spPr>
                    <a:xfrm>
                      <a:off x="0" y="0"/>
                      <a:ext cx="5760720" cy="3127248"/>
                    </a:xfrm>
                    <a:prstGeom prst="rect"/>
                  </pic:spPr>
                </pic:pic>
              </a:graphicData>
            </a:graphic>
          </wp:inline>
        </w:drawing>
      </w:r>
    </w:p>
    <w:p>
      <w:r>
        <w:t>A single table is sufficient because the project does not manage user accounts or long-term student profiles. This reduces privacy exposure and keeps the scope appropriate for one student.</w:t>
      </w:r>
    </w:p>
    <w:p>
      <w:pPr>
        <w:pStyle w:val="Heading1"/>
      </w:pPr>
      <w:r>
        <w:t>4 Detailed Prediction Design</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8"/>
              </w:rPr>
              <w:t>Element</w:t>
            </w:r>
          </w:p>
        </w:tc>
        <w:tc>
          <w:tcPr>
            <w:tcW w:type="dxa" w:w="4997"/>
            <w:vAlign w:val="center"/>
            <w:shd w:fill="17365D"/>
          </w:tcPr>
          <w:p>
            <w:r/>
            <w:r>
              <w:rPr>
                <w:b/>
                <w:color w:val="FFFFFF"/>
                <w:sz w:val="18"/>
              </w:rPr>
              <w:t>Design</w:t>
            </w:r>
          </w:p>
        </w:tc>
      </w:tr>
      <w:tr>
        <w:tc>
          <w:tcPr>
            <w:tcW w:type="dxa" w:w="4997"/>
            <w:vAlign w:val="center"/>
            <w:shd w:fill="FFFFFF"/>
          </w:tcPr>
          <w:p>
            <w:r/>
            <w:r>
              <w:rPr>
                <w:b w:val="0"/>
                <w:color w:val="000000"/>
                <w:sz w:val="18"/>
              </w:rPr>
              <w:t>Input vector</w:t>
            </w:r>
          </w:p>
        </w:tc>
        <w:tc>
          <w:tcPr>
            <w:tcW w:type="dxa" w:w="4997"/>
            <w:vAlign w:val="center"/>
            <w:shd w:fill="FFFFFF"/>
          </w:tcPr>
          <w:p>
            <w:r/>
            <w:r>
              <w:rPr>
                <w:b w:val="0"/>
                <w:color w:val="000000"/>
                <w:sz w:val="18"/>
              </w:rPr>
              <w:t>Eleven numeric values in the exact feature order stored in JSON.</w:t>
            </w:r>
          </w:p>
        </w:tc>
      </w:tr>
      <w:tr>
        <w:tc>
          <w:tcPr>
            <w:tcW w:type="dxa" w:w="4997"/>
            <w:vAlign w:val="center"/>
            <w:shd w:fill="EEF5FA"/>
          </w:tcPr>
          <w:p>
            <w:r/>
            <w:r>
              <w:rPr>
                <w:b w:val="0"/>
                <w:color w:val="000000"/>
                <w:sz w:val="18"/>
              </w:rPr>
              <w:t>Preprocessing</w:t>
            </w:r>
          </w:p>
        </w:tc>
        <w:tc>
          <w:tcPr>
            <w:tcW w:type="dxa" w:w="4997"/>
            <w:vAlign w:val="center"/>
            <w:shd w:fill="EEF5FA"/>
          </w:tcPr>
          <w:p>
            <w:r/>
            <w:r>
              <w:rPr>
                <w:b w:val="0"/>
                <w:color w:val="000000"/>
                <w:sz w:val="18"/>
              </w:rPr>
              <w:t>Subtract training mean and divide by training standard deviation.</w:t>
            </w:r>
          </w:p>
        </w:tc>
      </w:tr>
      <w:tr>
        <w:tc>
          <w:tcPr>
            <w:tcW w:type="dxa" w:w="4997"/>
            <w:vAlign w:val="center"/>
            <w:shd w:fill="FFFFFF"/>
          </w:tcPr>
          <w:p>
            <w:r/>
            <w:r>
              <w:rPr>
                <w:b w:val="0"/>
                <w:color w:val="000000"/>
                <w:sz w:val="18"/>
              </w:rPr>
              <w:t>Score</w:t>
            </w:r>
          </w:p>
        </w:tc>
        <w:tc>
          <w:tcPr>
            <w:tcW w:type="dxa" w:w="4997"/>
            <w:vAlign w:val="center"/>
            <w:shd w:fill="FFFFFF"/>
          </w:tcPr>
          <w:p>
            <w:r/>
            <w:r>
              <w:rPr>
                <w:b w:val="0"/>
                <w:color w:val="000000"/>
                <w:sz w:val="18"/>
              </w:rPr>
              <w:t>Weighted sum of standardized features plus intercept.</w:t>
            </w:r>
          </w:p>
        </w:tc>
      </w:tr>
      <w:tr>
        <w:tc>
          <w:tcPr>
            <w:tcW w:type="dxa" w:w="4997"/>
            <w:vAlign w:val="center"/>
            <w:shd w:fill="EEF5FA"/>
          </w:tcPr>
          <w:p>
            <w:r/>
            <w:r>
              <w:rPr>
                <w:b w:val="0"/>
                <w:color w:val="000000"/>
                <w:sz w:val="18"/>
              </w:rPr>
              <w:t>Probability</w:t>
            </w:r>
          </w:p>
        </w:tc>
        <w:tc>
          <w:tcPr>
            <w:tcW w:type="dxa" w:w="4997"/>
            <w:vAlign w:val="center"/>
            <w:shd w:fill="EEF5FA"/>
          </w:tcPr>
          <w:p>
            <w:r/>
            <w:r>
              <w:rPr>
                <w:b w:val="0"/>
                <w:color w:val="000000"/>
                <w:sz w:val="18"/>
              </w:rPr>
              <w:t>Sigmoid of the score.</w:t>
            </w:r>
          </w:p>
        </w:tc>
      </w:tr>
      <w:tr>
        <w:tc>
          <w:tcPr>
            <w:tcW w:type="dxa" w:w="4997"/>
            <w:vAlign w:val="center"/>
            <w:shd w:fill="FFFFFF"/>
          </w:tcPr>
          <w:p>
            <w:r/>
            <w:r>
              <w:rPr>
                <w:b w:val="0"/>
                <w:color w:val="000000"/>
                <w:sz w:val="18"/>
              </w:rPr>
              <w:t>Outcome</w:t>
            </w:r>
          </w:p>
        </w:tc>
        <w:tc>
          <w:tcPr>
            <w:tcW w:type="dxa" w:w="4997"/>
            <w:vAlign w:val="center"/>
            <w:shd w:fill="FFFFFF"/>
          </w:tcPr>
          <w:p>
            <w:r/>
            <w:r>
              <w:rPr>
                <w:b w:val="0"/>
                <w:color w:val="000000"/>
                <w:sz w:val="18"/>
              </w:rPr>
              <w:t>Likely placed at or above the selected threshold; otherwise At risk.</w:t>
            </w:r>
          </w:p>
        </w:tc>
      </w:tr>
      <w:tr>
        <w:tc>
          <w:tcPr>
            <w:tcW w:type="dxa" w:w="4997"/>
            <w:vAlign w:val="center"/>
            <w:shd w:fill="EEF5FA"/>
          </w:tcPr>
          <w:p>
            <w:r/>
            <w:r>
              <w:rPr>
                <w:b w:val="0"/>
                <w:color w:val="000000"/>
                <w:sz w:val="18"/>
              </w:rPr>
              <w:t>Risk</w:t>
            </w:r>
          </w:p>
        </w:tc>
        <w:tc>
          <w:tcPr>
            <w:tcW w:type="dxa" w:w="4997"/>
            <w:vAlign w:val="center"/>
            <w:shd w:fill="EEF5FA"/>
          </w:tcPr>
          <w:p>
            <w:r/>
            <w:r>
              <w:rPr>
                <w:b w:val="0"/>
                <w:color w:val="000000"/>
                <w:sz w:val="18"/>
              </w:rPr>
              <w:t>Low at 0.70 or above, Medium from 0.45 to below 0.70, and High below 0.45.</w:t>
            </w:r>
          </w:p>
        </w:tc>
      </w:tr>
      <w:tr>
        <w:tc>
          <w:tcPr>
            <w:tcW w:type="dxa" w:w="4997"/>
            <w:vAlign w:val="center"/>
            <w:shd w:fill="FFFFFF"/>
          </w:tcPr>
          <w:p>
            <w:r/>
            <w:r>
              <w:rPr>
                <w:b w:val="0"/>
                <w:color w:val="000000"/>
                <w:sz w:val="18"/>
              </w:rPr>
              <w:t>Storage format</w:t>
            </w:r>
          </w:p>
        </w:tc>
        <w:tc>
          <w:tcPr>
            <w:tcW w:type="dxa" w:w="4997"/>
            <w:vAlign w:val="center"/>
            <w:shd w:fill="FFFFFF"/>
          </w:tcPr>
          <w:p>
            <w:r/>
            <w:r>
              <w:rPr>
                <w:b w:val="0"/>
                <w:color w:val="000000"/>
                <w:sz w:val="18"/>
              </w:rPr>
              <w:t>Plain JSON to avoid scikit-learn pickle compatibility failures.</w:t>
            </w:r>
          </w:p>
        </w:tc>
      </w:tr>
    </w:tbl>
    <w:p>
      <w:pPr>
        <w:pStyle w:val="Heading1"/>
      </w:pPr>
      <w:r>
        <w:t>5 Security Privacy and Ethics</w:t>
      </w:r>
    </w:p>
    <w:p>
      <w:r>
        <w:t>The form uses a project student identifier and excludes names, phone numbers, addresses, photographs, gender, ethnicity, religion, and disability. The result is an academic counseling estimate. The interface states that it must not determine hiring eligibility. Deployment should restrict database access and avoid publishing real student records.</w:t>
      </w:r>
    </w:p>
    <w:p>
      <w:pPr>
        <w:pStyle w:val="Heading1"/>
      </w:pPr>
      <w:r>
        <w:t>6 Error Handling</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8"/>
              </w:rPr>
              <w:t>Condition</w:t>
            </w:r>
          </w:p>
        </w:tc>
        <w:tc>
          <w:tcPr>
            <w:tcW w:type="dxa" w:w="4997"/>
            <w:vAlign w:val="center"/>
            <w:shd w:fill="17365D"/>
          </w:tcPr>
          <w:p>
            <w:r/>
            <w:r>
              <w:rPr>
                <w:b/>
                <w:color w:val="FFFFFF"/>
                <w:sz w:val="18"/>
              </w:rPr>
              <w:t>Response</w:t>
            </w:r>
          </w:p>
        </w:tc>
      </w:tr>
      <w:tr>
        <w:tc>
          <w:tcPr>
            <w:tcW w:type="dxa" w:w="4997"/>
            <w:vAlign w:val="center"/>
            <w:shd w:fill="FFFFFF"/>
          </w:tcPr>
          <w:p>
            <w:r/>
            <w:r>
              <w:rPr>
                <w:b w:val="0"/>
                <w:color w:val="000000"/>
                <w:sz w:val="18"/>
              </w:rPr>
              <w:t>Blank student ID</w:t>
            </w:r>
          </w:p>
        </w:tc>
        <w:tc>
          <w:tcPr>
            <w:tcW w:type="dxa" w:w="4997"/>
            <w:vAlign w:val="center"/>
            <w:shd w:fill="FFFFFF"/>
          </w:tcPr>
          <w:p>
            <w:r/>
            <w:r>
              <w:rPr>
                <w:b w:val="0"/>
                <w:color w:val="000000"/>
                <w:sz w:val="18"/>
              </w:rPr>
              <w:t>Display an error and do not save.</w:t>
            </w:r>
          </w:p>
        </w:tc>
      </w:tr>
      <w:tr>
        <w:tc>
          <w:tcPr>
            <w:tcW w:type="dxa" w:w="4997"/>
            <w:vAlign w:val="center"/>
            <w:shd w:fill="EEF5FA"/>
          </w:tcPr>
          <w:p>
            <w:r/>
            <w:r>
              <w:rPr>
                <w:b w:val="0"/>
                <w:color w:val="000000"/>
                <w:sz w:val="18"/>
              </w:rPr>
              <w:t>Out-of-range value</w:t>
            </w:r>
          </w:p>
        </w:tc>
        <w:tc>
          <w:tcPr>
            <w:tcW w:type="dxa" w:w="4997"/>
            <w:vAlign w:val="center"/>
            <w:shd w:fill="EEF5FA"/>
          </w:tcPr>
          <w:p>
            <w:r/>
            <w:r>
              <w:rPr>
                <w:b w:val="0"/>
                <w:color w:val="000000"/>
                <w:sz w:val="18"/>
              </w:rPr>
              <w:t>Prevent entry through bounded controls.</w:t>
            </w:r>
          </w:p>
        </w:tc>
      </w:tr>
      <w:tr>
        <w:tc>
          <w:tcPr>
            <w:tcW w:type="dxa" w:w="4997"/>
            <w:vAlign w:val="center"/>
            <w:shd w:fill="FFFFFF"/>
          </w:tcPr>
          <w:p>
            <w:r/>
            <w:r>
              <w:rPr>
                <w:b w:val="0"/>
                <w:color w:val="000000"/>
                <w:sz w:val="18"/>
              </w:rPr>
              <w:t>Missing database</w:t>
            </w:r>
          </w:p>
        </w:tc>
        <w:tc>
          <w:tcPr>
            <w:tcW w:type="dxa" w:w="4997"/>
            <w:vAlign w:val="center"/>
            <w:shd w:fill="FFFFFF"/>
          </w:tcPr>
          <w:p>
            <w:r/>
            <w:r>
              <w:rPr>
                <w:b w:val="0"/>
                <w:color w:val="000000"/>
                <w:sz w:val="18"/>
              </w:rPr>
              <w:t>Create the table automatically.</w:t>
            </w:r>
          </w:p>
        </w:tc>
      </w:tr>
      <w:tr>
        <w:tc>
          <w:tcPr>
            <w:tcW w:type="dxa" w:w="4997"/>
            <w:vAlign w:val="center"/>
            <w:shd w:fill="EEF5FA"/>
          </w:tcPr>
          <w:p>
            <w:r/>
            <w:r>
              <w:rPr>
                <w:b w:val="0"/>
                <w:color w:val="000000"/>
                <w:sz w:val="18"/>
              </w:rPr>
              <w:t>Missing or malformed model file</w:t>
            </w:r>
          </w:p>
        </w:tc>
        <w:tc>
          <w:tcPr>
            <w:tcW w:type="dxa" w:w="4997"/>
            <w:vAlign w:val="center"/>
            <w:shd w:fill="EEF5FA"/>
          </w:tcPr>
          <w:p>
            <w:r/>
            <w:r>
              <w:rPr>
                <w:b w:val="0"/>
                <w:color w:val="000000"/>
                <w:sz w:val="18"/>
              </w:rPr>
              <w:t>Stop with a visible application error and restore or retrain the model.</w:t>
            </w:r>
          </w:p>
        </w:tc>
      </w:tr>
      <w:tr>
        <w:tc>
          <w:tcPr>
            <w:tcW w:type="dxa" w:w="4997"/>
            <w:vAlign w:val="center"/>
            <w:shd w:fill="FFFFFF"/>
          </w:tcPr>
          <w:p>
            <w:r/>
            <w:r>
              <w:rPr>
                <w:b w:val="0"/>
                <w:color w:val="000000"/>
                <w:sz w:val="18"/>
              </w:rPr>
              <w:t>No history records</w:t>
            </w:r>
          </w:p>
        </w:tc>
        <w:tc>
          <w:tcPr>
            <w:tcW w:type="dxa" w:w="4997"/>
            <w:vAlign w:val="center"/>
            <w:shd w:fill="FFFFFF"/>
          </w:tcPr>
          <w:p>
            <w:r/>
            <w:r>
              <w:rPr>
                <w:b w:val="0"/>
                <w:color w:val="000000"/>
                <w:sz w:val="18"/>
              </w:rPr>
              <w:t>Show an empty table and zero dashboard metrics.</w:t>
            </w:r>
          </w:p>
        </w:tc>
      </w:tr>
    </w:tbl>
    <w:p>
      <w:pPr>
        <w:pStyle w:val="Heading1"/>
      </w:pPr>
      <w:r>
        <w:t>7 Testing Design</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8"/>
              </w:rPr>
              <w:t>Test level</w:t>
            </w:r>
          </w:p>
        </w:tc>
        <w:tc>
          <w:tcPr>
            <w:tcW w:type="dxa" w:w="4997"/>
            <w:vAlign w:val="center"/>
            <w:shd w:fill="17365D"/>
          </w:tcPr>
          <w:p>
            <w:r/>
            <w:r>
              <w:rPr>
                <w:b/>
                <w:color w:val="FFFFFF"/>
                <w:sz w:val="18"/>
              </w:rPr>
              <w:t>Coverage</w:t>
            </w:r>
          </w:p>
        </w:tc>
      </w:tr>
      <w:tr>
        <w:tc>
          <w:tcPr>
            <w:tcW w:type="dxa" w:w="4997"/>
            <w:vAlign w:val="center"/>
            <w:shd w:fill="FFFFFF"/>
          </w:tcPr>
          <w:p>
            <w:r/>
            <w:r>
              <w:rPr>
                <w:b w:val="0"/>
                <w:color w:val="000000"/>
                <w:sz w:val="18"/>
              </w:rPr>
              <w:t>Unit</w:t>
            </w:r>
          </w:p>
        </w:tc>
        <w:tc>
          <w:tcPr>
            <w:tcW w:type="dxa" w:w="4997"/>
            <w:vAlign w:val="center"/>
            <w:shd w:fill="FFFFFF"/>
          </w:tcPr>
          <w:p>
            <w:r/>
            <w:r>
              <w:rPr>
                <w:b w:val="0"/>
                <w:color w:val="000000"/>
                <w:sz w:val="18"/>
              </w:rPr>
              <w:t>Probability range and classification boundaries.</w:t>
            </w:r>
          </w:p>
        </w:tc>
      </w:tr>
      <w:tr>
        <w:tc>
          <w:tcPr>
            <w:tcW w:type="dxa" w:w="4997"/>
            <w:vAlign w:val="center"/>
            <w:shd w:fill="EEF5FA"/>
          </w:tcPr>
          <w:p>
            <w:r/>
            <w:r>
              <w:rPr>
                <w:b w:val="0"/>
                <w:color w:val="000000"/>
                <w:sz w:val="18"/>
              </w:rPr>
              <w:t>Integration</w:t>
            </w:r>
          </w:p>
        </w:tc>
        <w:tc>
          <w:tcPr>
            <w:tcW w:type="dxa" w:w="4997"/>
            <w:vAlign w:val="center"/>
            <w:shd w:fill="EEF5FA"/>
          </w:tcPr>
          <w:p>
            <w:r/>
            <w:r>
              <w:rPr>
                <w:b w:val="0"/>
                <w:color w:val="000000"/>
                <w:sz w:val="18"/>
              </w:rPr>
              <w:t>Form to prediction module and save to SQLite.</w:t>
            </w:r>
          </w:p>
        </w:tc>
      </w:tr>
      <w:tr>
        <w:tc>
          <w:tcPr>
            <w:tcW w:type="dxa" w:w="4997"/>
            <w:vAlign w:val="center"/>
            <w:shd w:fill="FFFFFF"/>
          </w:tcPr>
          <w:p>
            <w:r/>
            <w:r>
              <w:rPr>
                <w:b w:val="0"/>
                <w:color w:val="000000"/>
                <w:sz w:val="18"/>
              </w:rPr>
              <w:t>System</w:t>
            </w:r>
          </w:p>
        </w:tc>
        <w:tc>
          <w:tcPr>
            <w:tcW w:type="dxa" w:w="4997"/>
            <w:vAlign w:val="center"/>
            <w:shd w:fill="FFFFFF"/>
          </w:tcPr>
          <w:p>
            <w:r/>
            <w:r>
              <w:rPr>
                <w:b w:val="0"/>
                <w:color w:val="000000"/>
                <w:sz w:val="18"/>
              </w:rPr>
              <w:t>Dashboard, entry, result, history, export, and model-information workflow.</w:t>
            </w:r>
          </w:p>
        </w:tc>
      </w:tr>
      <w:tr>
        <w:tc>
          <w:tcPr>
            <w:tcW w:type="dxa" w:w="4997"/>
            <w:vAlign w:val="center"/>
            <w:shd w:fill="EEF5FA"/>
          </w:tcPr>
          <w:p>
            <w:r/>
            <w:r>
              <w:rPr>
                <w:b w:val="0"/>
                <w:color w:val="000000"/>
                <w:sz w:val="18"/>
              </w:rPr>
              <w:t>Usability</w:t>
            </w:r>
          </w:p>
        </w:tc>
        <w:tc>
          <w:tcPr>
            <w:tcW w:type="dxa" w:w="4997"/>
            <w:vAlign w:val="center"/>
            <w:shd w:fill="EEF5FA"/>
          </w:tcPr>
          <w:p>
            <w:r/>
            <w:r>
              <w:rPr>
                <w:b w:val="0"/>
                <w:color w:val="000000"/>
                <w:sz w:val="18"/>
              </w:rPr>
              <w:t>Single user completes the viva flow with no assistance.</w:t>
            </w:r>
          </w:p>
        </w:tc>
      </w:tr>
      <w:tr>
        <w:tc>
          <w:tcPr>
            <w:tcW w:type="dxa" w:w="4997"/>
            <w:vAlign w:val="center"/>
            <w:shd w:fill="FFFFFF"/>
          </w:tcPr>
          <w:p>
            <w:r/>
            <w:r>
              <w:rPr>
                <w:b w:val="0"/>
                <w:color w:val="000000"/>
                <w:sz w:val="18"/>
              </w:rPr>
              <w:t>Data</w:t>
            </w:r>
          </w:p>
        </w:tc>
        <w:tc>
          <w:tcPr>
            <w:tcW w:type="dxa" w:w="4997"/>
            <w:vAlign w:val="center"/>
            <w:shd w:fill="FFFFFF"/>
          </w:tcPr>
          <w:p>
            <w:r/>
            <w:r>
              <w:rPr>
                <w:b w:val="0"/>
                <w:color w:val="000000"/>
                <w:sz w:val="18"/>
              </w:rPr>
              <w:t>Required columns, numeric ranges, target values, duplicates, and missing values.</w:t>
            </w:r>
          </w:p>
        </w:tc>
      </w:tr>
    </w:tbl>
    <w:p>
      <w:pPr>
        <w:pStyle w:val="Heading1"/>
      </w:pPr>
      <w:r>
        <w:t>8 Deployment Design</w:t>
      </w:r>
    </w:p>
    <w:p>
      <w:r>
        <w:t>Local deployment uses a virtual environment followed by installation from requirements.txt and the command streamlit run app.py. Streamlit Community Cloud deployment uses a GitHub repository containing app.py, prediction.py, requirements.txt, model JSON, database directory, and configuration. Real student records should not be committed to a public repository.</w:t>
      </w:r>
    </w:p>
    <w:p>
      <w:pPr>
        <w:pStyle w:val="Heading1"/>
      </w:pPr>
      <w:r>
        <w:t>9 Project Structure</w:t>
      </w:r>
    </w:p>
    <w:p>
      <w:r>
        <w:t>The root contains application, prediction, training, requirements, README, and notebook files. Data, model, database, tests, documents, diagrams, and screenshots use separate named folders. This structure maps directly to the implementation responsibilities and simplifies viva explanation.</w:t>
      </w:r>
    </w:p>
    <w:sectPr w:rsidR="00FC693F" w:rsidRPr="0006063C" w:rsidSect="00034616">
      <w:footerReference w:type="default" r:id="rId11"/>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System Design Document  |  GraduPredict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