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A Guarded Real-Robot Evaluation of a Fine-Tuned Vision-Language-Action Policy for Pick-and-Place</w:t>
      </w:r>
    </w:p>
    <w:p>
      <w:pPr>
        <w:jc w:val="center"/>
      </w:pPr>
      <w:r>
        <w:t>[Author Name], [Co-authors]</w:t>
      </w:r>
    </w:p>
    <w:p>
      <w:pPr>
        <w:jc w:val="center"/>
      </w:pPr>
      <w:r>
        <w:t>[Laboratory, Department, University]</w:t>
      </w:r>
    </w:p>
    <w:p>
      <w:pPr>
        <w:pStyle w:val="Heading1"/>
      </w:pPr>
      <w:r>
        <w:t>Abstract</w:t>
      </w:r>
    </w:p>
    <w:p>
      <w:r>
        <w:t>This paper reports a controlled laboratory evaluation of a fine-tuned pi0.5-DROID vision-language-action policy on a Franka Research 3 robot. Physical execution depends on more than policy inference: action timing, camera synchronization, safety limits, grasp verification, and recovery behavior directly affect task completion. We collect synchronized RGB, robot-state, gripper-state, and action demonstrations; convert successful episodes to LeRobot format; fine-tune a joint-velocity policy; and execute it through a guarded reference controller. The system is evaluated on spatially held-out cube positions, with policy, control, gripper, and infrastructure outcomes reported separately. The study does not demonstrate construction-site deployment, construction-task completion, language generalization, or robustness to human interference. Instead, it establishes a controlled baseline for later component-level experiments involving contact, orientation, insertion, and tooling requirements.</w:t>
      </w:r>
    </w:p>
    <w:p>
      <w:pPr>
        <w:pStyle w:val="Heading1"/>
      </w:pPr>
      <w:r>
        <w:t>1. Introduction</w:t>
      </w:r>
    </w:p>
    <w:p>
      <w:r>
        <w:t>Construction automation motivates longer-term research on adaptable robot manipulation because object placement, visual context, material tolerances, and human activity can vary across tasks. This study does not reproduce those job-site conditions. It instead examines one controlled laboratory task that is relevant to developing and evaluating a real-robot learning pipeline.</w:t>
      </w:r>
    </w:p>
    <w:p>
      <w:r>
        <w:t>Vision-language-action models combine visual observations, task language, and action prediction. They are commonly trained using robot demonstrations and imitation-learning objectives, often with pretrained vision-language representations. This study evaluates a fixed instruction and does not test language generalization, human-interference robustness, or adaptation to unstructured work environments.</w:t>
      </w:r>
    </w:p>
    <w:p>
      <w:r>
        <w:t>This work evaluates the practical deployment of a fine-tuned pi0.5-DROID policy on a Franka Research 3 robot. The task is to pick a cube from a table position and place it in a basket within a fixed laboratory workspace. Although constrained, the task requires closed-loop perception, grasp timing, transport, release, and physical verification. The focus is whether policy actions can be executed reliably through the tested real-robot control stack, not whether the system is ready for construction deployment.</w:t>
      </w:r>
    </w:p>
    <w:p>
      <w:pPr>
        <w:pStyle w:val="Heading1"/>
      </w:pPr>
      <w:r>
        <w:t>2. Research Positioning and Gap</w:t>
      </w:r>
    </w:p>
    <w:p>
      <w:r>
        <w:t>Large VLA studies have demonstrated broad robot-control capabilities using extensive and diverse data. RT-1 evaluated language-conditioned control at scale, while RT-2 investigated transfer from web-scale vision-language learning to robot actions. OpenVLA made open VLA fine-tuning more accessible, and pi0/pi0.5 studied flow-based action generation and generalization to new tasks. These studies differ from the present controlled FR3 system in scale, robot embodiment, task, and deployment infrastructure.</w:t>
      </w:r>
    </w:p>
    <w:p>
      <w:r>
        <w:t>Construction robotics has also moved beyond simple free-space pick-and-place. Prior work studies rebar assembly, pipe insertion, timber assembly, and force-aware imitation learning. This paper does not claim to advance construction-task performance directly. Its contribution is a controlled case study of adapting an open pi0.5-DROID policy to an FR3 robot and documenting the low-level requirements of the tested system: data collection, action representation, action-chunk execution, latency handling, workspace guards, physical grasp verification, and reset behavior.</w:t>
      </w:r>
    </w:p>
    <w:p>
      <w:pPr>
        <w:pStyle w:val="Heading1"/>
      </w:pPr>
      <w:r>
        <w:t>3. Research Questions</w:t>
      </w:r>
    </w:p>
    <w:p>
      <w:r>
        <w:t>RQ1. Under a fixed laboratory setup, can a fine-tuned pi0.5-DROID policy complete guarded closed-loop pick-and-place at spatially held-out table positions?</w:t>
      </w:r>
    </w:p>
    <w:p>
      <w:r>
        <w:t>RQ2. Which control, timing, gripper, and safety mechanisms are required for reliable execution of policy action chunks on the FR3?</w:t>
      </w:r>
    </w:p>
    <w:p>
      <w:r>
        <w:t>RQ3. Which observed failures should be attributed to policy prediction, physical grasping, control execution, or infrastructure faults?</w:t>
      </w:r>
    </w:p>
    <w:p>
      <w:r>
        <w:t>RQ4 (future work). What additional sensing, tooling, demonstrations, and evaluation are required before testing contact-rich construction-component manipulation?</w:t>
      </w:r>
    </w:p>
    <w:p>
      <w:pPr>
        <w:pStyle w:val="Heading1"/>
      </w:pPr>
      <w:r>
        <w:t>4. Contribution Claims</w:t>
      </w:r>
    </w:p>
    <w:p>
      <w:pPr>
        <w:pStyle w:val="ListNumber"/>
      </w:pPr>
      <w:r>
        <w:t>A laboratory FR3 demonstration pipeline that records RGB observations, robot and gripper state, actions, and metadata, then converts successful episodes to LeRobot format.</w:t>
      </w:r>
    </w:p>
    <w:p>
      <w:pPr>
        <w:pStyle w:val="ListNumber"/>
      </w:pPr>
      <w:r>
        <w:t>A fine-tuning and deployment pipeline for pi0.5-DROID using seven FR3 joint velocities and one gripper-closedness action at 15 Hz.</w:t>
      </w:r>
    </w:p>
    <w:p>
      <w:pPr>
        <w:pStyle w:val="ListNumber"/>
      </w:pPr>
      <w:r>
        <w:t>A guarded real-time execution design that separates model-predicted gripper-transition timing from physical gripper actuation and verifies grasp and release outcomes.</w:t>
      </w:r>
    </w:p>
    <w:p>
      <w:pPr>
        <w:pStyle w:val="ListNumber"/>
      </w:pPr>
      <w:r>
        <w:t>A controlled spatial-interpolation evaluation protocol with ten held-out positions and three planned trials per position.</w:t>
      </w:r>
    </w:p>
    <w:p>
      <w:pPr>
        <w:pStyle w:val="ListNumber"/>
      </w:pPr>
      <w:r>
        <w:t>A failure analysis framework that distinguishes policy failures from gripper, controller, safety-guard, and infrastructure failures.</w:t>
      </w:r>
    </w:p>
    <w:p>
      <w:r>
        <w:t>Scope boundary: Add final success rates only after auditing the active paper evaluation ledger. Do not claim construction deployment, construction-task completion, language generalization, human-interference robustness, or robustness beyond the fixed laboratory setup from the cube-transfer experiment.</w:t>
      </w:r>
    </w:p>
    <w:p>
      <w:pPr>
        <w:pStyle w:val="Heading1"/>
      </w:pPr>
      <w:r>
        <w:t>5. Current Experimental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</w:rPr>
              <w:t>Element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Current specification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</w:rPr>
              <w:t>Robot platform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</w:rPr>
              <w:t>Franka Research 3 with a parallel gripper.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</w:rPr>
              <w:t>Perception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</w:rPr>
              <w:t>Two Intel RealSense RGB cameras.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</w:rPr>
              <w:t>Training data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</w:rPr>
              <w:t>Successful real-robot demonstrations converted to LeRobot format. Confirm the final episode count from the released dataset metadata before submission.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</w:rPr>
              <w:t>Policy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</w:rPr>
              <w:t>Fine-tuned pi0.5-DROID checkpoint v3_12000.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</w:rPr>
              <w:t>Action representation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</w:rPr>
              <w:t>Seven joint-velocity values and one gripper-closedness value.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</w:rPr>
              <w:t>Execution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</w:rPr>
              <w:t>15 Hz timestamped receding-horizon streaming with a reference controller, latency checks, workspace guards, and physical gripper verification.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</w:rPr>
              <w:t>Evaluation protocol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</w:rPr>
              <w:t>Ten spatially held-out positions, I01-I10, with three planned trials per position.</w:t>
            </w:r>
          </w:p>
        </w:tc>
      </w:tr>
    </w:tbl>
    <w:p>
      <w:pPr>
        <w:pStyle w:val="Heading1"/>
      </w:pPr>
      <w:r>
        <w:t>6. Future Work: Contact-Rich Construction-Component Manipulation</w:t>
      </w:r>
    </w:p>
    <w:p>
      <w:r>
        <w:t>The cube-transfer task is a necessary commissioning benchmark, but it is predominantly free-space manipulation. The next phase should use the supplied component geometries: rslScrew.stl, rsl_flat_brkt.stl, and main-1(1).stl. Their exact physical role, dimensions, material, tolerances, fixture design, and required tools must be documented before data collection.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b/>
              </w:rPr>
              <w:t>Stage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Task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What it measures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Additional requirement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</w:rPr>
              <w:t>Grasp and orient the bracket.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</w:rPr>
              <w:t>Geometry-aware grasping and pose control.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</w:rPr>
              <w:t>Repeatable fixture and pose labels.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</w:rPr>
              <w:t>Place the bracket in a fixture or mating location.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</w:rPr>
              <w:t>Pose accuracy and approach planning.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</w:rPr>
              <w:t>Known placement tolerance and success criterion.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</w:rPr>
              <w:t>Pick, orient, and insert the screw into a fixture.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</w:rPr>
              <w:t>Small-object manipulation and contact onset.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</w:rPr>
              <w:t>Reliable screw grasp and compliant insertion strategy.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</w:rPr>
              <w:t>Fastening or tightening.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</w:rPr>
              <w:t>True construction assembly and torque-sensitive contact.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</w:rPr>
              <w:t>A suitable driver end effector, torque/force sensing or estimation, and safety limits.</w:t>
            </w:r>
          </w:p>
        </w:tc>
      </w:tr>
    </w:tbl>
    <w:p>
      <w:r>
        <w:t>A parallel gripper alone can support early grasping and insertion experiments, but it cannot validate a true screw-fastening task. Fastening should therefore be treated as a later experiment after adding an appropriate tool and contact-sensing or compliance strategy.</w:t>
      </w:r>
    </w:p>
    <w:p>
      <w:pPr>
        <w:pStyle w:val="Heading1"/>
      </w:pPr>
      <w:r>
        <w:t>7. Experimental Design for the Next Stage</w:t>
      </w:r>
    </w:p>
    <w:p>
      <w:pPr>
        <w:pStyle w:val="ListNumber"/>
      </w:pPr>
      <w:r>
        <w:t>Measure and document component geometry, mass, graspable surfaces, fixture geometry, and tolerances.</w:t>
      </w:r>
    </w:p>
    <w:p>
      <w:pPr>
        <w:pStyle w:val="ListNumber"/>
      </w:pPr>
      <w:r>
        <w:t>Commission scripted motion and a recorded-action replay before enabling policy control.</w:t>
      </w:r>
    </w:p>
    <w:p>
      <w:pPr>
        <w:pStyle w:val="ListNumber"/>
      </w:pPr>
      <w:r>
        <w:t>Collect demonstrations for each task phase: approach, grasp, transport, alignment, insertion, and release or fastening.</w:t>
      </w:r>
    </w:p>
    <w:p>
      <w:pPr>
        <w:pStyle w:val="ListNumber"/>
      </w:pPr>
      <w:r>
        <w:t>Define separate train, validation, and held-out component poses before collection to avoid leakage.</w:t>
      </w:r>
    </w:p>
    <w:p>
      <w:pPr>
        <w:pStyle w:val="ListNumber"/>
      </w:pPr>
      <w:r>
        <w:t>Evaluate at least a scripted baseline and a task-specific behavior-cloning baseline in addition to the fine-tuned VLA.</w:t>
      </w:r>
    </w:p>
    <w:p>
      <w:pPr>
        <w:pStyle w:val="ListNumber"/>
      </w:pPr>
      <w:r>
        <w:t>Report grasp success, placement or insertion success, completion time, safety stops, intervention count, and failure category.</w:t>
      </w:r>
    </w:p>
    <w:p>
      <w:pPr>
        <w:pStyle w:val="Heading1"/>
      </w:pPr>
      <w:r>
        <w:t>8. Literature Fact Check</w:t>
      </w:r>
    </w:p>
    <w:p>
      <w:r>
        <w:t>Do not write that previous VLA or construction-robotics papers only test simple pick-and-place. pi0 and pi0.5 report dexterous and long-horizon tasks, while construction robot-learning studies include rebar assembly, pipe insertion, and force-aware assembly. A defensible statement is that many influential VLA benchmarks focus on general manipulation, whereas the proposed next-stage benchmark isolates construction-component geometry, contact, tolerance, and fastening requirements on the same FR3 platform.</w:t>
      </w:r>
    </w:p>
    <w:p>
      <w:pPr>
        <w:pStyle w:val="Heading1"/>
      </w:pPr>
      <w:r>
        <w:t>9. References</w:t>
      </w:r>
    </w:p>
    <w:p>
      <w:pPr>
        <w:pStyle w:val="ListNumber"/>
      </w:pPr>
      <w:r>
        <w:t xml:space="preserve">Black, K., et al. pi0: A Vision-Language-Action Flow Model for General Robot Control. 2024. </w:t>
      </w:r>
      <w:hyperlink r:id="rId9">
        <w:r>
          <w:rPr>
            <w:color w:val="0563C1"/>
            <w:u w:val="single"/>
          </w:rPr>
          <w:t>https://arxiv.org/abs/2410.24164</w:t>
        </w:r>
      </w:hyperlink>
    </w:p>
    <w:p>
      <w:pPr>
        <w:pStyle w:val="ListNumber"/>
      </w:pPr>
      <w:r>
        <w:t xml:space="preserve">Black, K., et al. pi0.5: A Vision-Language-Action Model with Open-World Generalization. CoRL, 2025. </w:t>
      </w:r>
      <w:hyperlink r:id="rId10">
        <w:r>
          <w:rPr>
            <w:color w:val="0563C1"/>
            <w:u w:val="single"/>
          </w:rPr>
          <w:t>https://proceedings.mlr.press/v305/black25a.html</w:t>
        </w:r>
      </w:hyperlink>
    </w:p>
    <w:p>
      <w:pPr>
        <w:pStyle w:val="ListNumber"/>
      </w:pPr>
      <w:r>
        <w:t xml:space="preserve">Kim, M. J., et al. OpenVLA: An Open-Source Vision-Language-Action Model. 2024. </w:t>
      </w:r>
      <w:hyperlink r:id="rId11">
        <w:r>
          <w:rPr>
            <w:color w:val="0563C1"/>
            <w:u w:val="single"/>
          </w:rPr>
          <w:t>https://arxiv.org/abs/2406.09246</w:t>
        </w:r>
      </w:hyperlink>
    </w:p>
    <w:p>
      <w:pPr>
        <w:pStyle w:val="ListNumber"/>
      </w:pPr>
      <w:r>
        <w:t xml:space="preserve">Brohan, A., et al. RT-1: Robotics Transformer for Real-World Control at Scale. 2022. </w:t>
      </w:r>
      <w:hyperlink r:id="rId12">
        <w:r>
          <w:rPr>
            <w:color w:val="0563C1"/>
            <w:u w:val="single"/>
          </w:rPr>
          <w:t>https://arxiv.org/abs/2212.06817</w:t>
        </w:r>
      </w:hyperlink>
    </w:p>
    <w:p>
      <w:pPr>
        <w:pStyle w:val="ListNumber"/>
      </w:pPr>
      <w:r>
        <w:t xml:space="preserve">Brohan, A., et al. RT-2: Vision-Language-Action Models Transfer Web Knowledge to Robotic Control. 2023. </w:t>
      </w:r>
      <w:hyperlink r:id="rId13">
        <w:r>
          <w:rPr>
            <w:color w:val="0563C1"/>
            <w:u w:val="single"/>
          </w:rPr>
          <w:t>https://arxiv.org/abs/2307.15818</w:t>
        </w:r>
      </w:hyperlink>
    </w:p>
    <w:p>
      <w:pPr>
        <w:pStyle w:val="ListNumber"/>
      </w:pPr>
      <w:r>
        <w:t xml:space="preserve">Sun, T., et al. Mobile Robotic Rebar Cage Assembly via Imitation Learning. Automation in Construction, 2026. </w:t>
      </w:r>
      <w:hyperlink r:id="rId14">
        <w:r>
          <w:rPr>
            <w:color w:val="0563C1"/>
            <w:u w:val="single"/>
          </w:rPr>
          <w:t>https://www.sciencedirect.com/science/article/pii/S0926580525007113</w:t>
        </w:r>
      </w:hyperlink>
    </w:p>
    <w:p>
      <w:pPr>
        <w:pStyle w:val="ListNumber"/>
      </w:pPr>
      <w:r>
        <w:t xml:space="preserve">You, H., et al. Force-Based Robotic Imitation Learning: A Two-Phase Approach for Construction Assembly Tasks. 2025. </w:t>
      </w:r>
      <w:hyperlink r:id="rId15">
        <w:r>
          <w:rPr>
            <w:color w:val="0563C1"/>
            <w:u w:val="single"/>
          </w:rPr>
          <w:t>https://arxiv.org/abs/2501.14942</w:t>
        </w:r>
      </w:hyperlink>
    </w:p>
    <w:p>
      <w:pPr>
        <w:pStyle w:val="ListNumber"/>
      </w:pPr>
      <w:r>
        <w:t xml:space="preserve">Wang, Y., et al. Robotic Imitation of Human Assembly Skills Using Hybrid Trajectory and Force Learning. 2021. </w:t>
      </w:r>
      <w:hyperlink r:id="rId16">
        <w:r>
          <w:rPr>
            <w:color w:val="0563C1"/>
            <w:u w:val="single"/>
          </w:rPr>
          <w:t>https://arxiv.org/abs/2103.05912</w:t>
        </w:r>
      </w:hyperlink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xiv.org/abs/2410.24164" TargetMode="External"/><Relationship Id="rId10" Type="http://schemas.openxmlformats.org/officeDocument/2006/relationships/hyperlink" Target="https://proceedings.mlr.press/v305/black25a.html" TargetMode="External"/><Relationship Id="rId11" Type="http://schemas.openxmlformats.org/officeDocument/2006/relationships/hyperlink" Target="https://arxiv.org/abs/2406.09246" TargetMode="External"/><Relationship Id="rId12" Type="http://schemas.openxmlformats.org/officeDocument/2006/relationships/hyperlink" Target="https://arxiv.org/abs/2212.06817" TargetMode="External"/><Relationship Id="rId13" Type="http://schemas.openxmlformats.org/officeDocument/2006/relationships/hyperlink" Target="https://arxiv.org/abs/2307.15818" TargetMode="External"/><Relationship Id="rId14" Type="http://schemas.openxmlformats.org/officeDocument/2006/relationships/hyperlink" Target="https://www.sciencedirect.com/science/article/pii/S0926580525007113" TargetMode="External"/><Relationship Id="rId15" Type="http://schemas.openxmlformats.org/officeDocument/2006/relationships/hyperlink" Target="https://arxiv.org/abs/2501.14942" TargetMode="External"/><Relationship Id="rId16" Type="http://schemas.openxmlformats.org/officeDocument/2006/relationships/hyperlink" Target="https://arxiv.org/abs/2103.059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