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FR3 VLA Construction Robotics Paper Foundation</w:t>
      </w:r>
    </w:p>
    <w:p>
      <w:pPr>
        <w:jc w:val="center"/>
      </w:pPr>
      <w:r>
        <w:t>Pre-writing document: research story, related-work gap, and contribution boundaries</w:t>
      </w:r>
    </w:p>
    <w:p>
      <w:pPr>
        <w:pStyle w:val="Heading1"/>
      </w:pPr>
      <w:r>
        <w:t>Purpose</w:t>
      </w:r>
    </w:p>
    <w:p>
      <w:r>
        <w:t>This document establishes the argument for the paper before full drafting begins. It is deliberately limited to claims supported by the controlled FR3 experiment. Final evaluation statistics, figures, and detailed methods will be added only after the active paper-evaluation ledger has been audited.</w:t>
      </w:r>
    </w:p>
    <w:p>
      <w:pPr>
        <w:pStyle w:val="Heading1"/>
      </w:pPr>
      <w:r>
        <w:t>1. Research Story</w:t>
      </w:r>
    </w:p>
    <w:p>
      <w:pPr>
        <w:pStyle w:val="Heading2"/>
      </w:pPr>
      <w:r>
        <w:t>1.1 Industry Motivation</w:t>
      </w:r>
    </w:p>
    <w:p>
      <w:r>
        <w:t>Construction work includes repetitive material handling and assembly tasks that can expose workers to physical strain, safety hazards, and productivity losses. These broader challenges motivate longer-term work on adaptable robot manipulation. The current experiment does not reproduce construction workcells or job-site variability; it uses a fixed laboratory workspace to study a narrower real-robot deployment problem.</w:t>
      </w:r>
    </w:p>
    <w:p>
      <w:r>
        <w:t xml:space="preserve">Recent construction-robotics reviews identify safety, productivity, and human-robot collaboration as important motivations, while also emphasizing the difficulty of dependable deployment in variable work environments. </w:t>
      </w:r>
      <w:hyperlink r:id="rId9">
        <w:r>
          <w:rPr>
            <w:color w:val="0563C1"/>
            <w:u w:val="single"/>
          </w:rPr>
          <w:t>Construction robotics systematic review (2026).</w:t>
        </w:r>
      </w:hyperlink>
    </w:p>
    <w:p>
      <w:pPr>
        <w:pStyle w:val="Heading2"/>
      </w:pPr>
      <w:r>
        <w:t>1.2 Technical Problem</w:t>
      </w:r>
    </w:p>
    <w:p>
      <w:r>
        <w:t>The technical challenge is not simply generating a robot trajectory. A learned policy must receive visual observations, predict actions at the required rate, execute those actions through physical hardware, recognize grasp and release transitions, and remain within safety limits. A policy that looks correct in offline inference can still fail on a real robot because of camera delay, network delay, controller behavior, gripper uncertainty, or workspace guards.</w:t>
      </w:r>
    </w:p>
    <w:p>
      <w:pPr>
        <w:pStyle w:val="Heading2"/>
      </w:pPr>
      <w:r>
        <w:t>1.3 Why Use a VLA</w:t>
      </w:r>
    </w:p>
    <w:p>
      <w:r>
        <w:t>Behavior cloning and imitation learning train policies from demonstrations by mapping observations to actions. A VLA is not separate from imitation learning; it commonly uses robot demonstrations as well. Its distinguishing feature is that it combines action prediction with visual and language representations, often inherited from large pretrained vision-language models. This may support adaptation to task descriptions and visual variation, but it does not make the robot immune to human intervention or guarantee safe physical execution.</w:t>
      </w:r>
    </w:p>
    <w:p>
      <w:pPr>
        <w:pStyle w:val="Heading2"/>
      </w:pPr>
      <w:r>
        <w:t>1.4 Paper Thesis</w:t>
      </w:r>
    </w:p>
    <w:p>
      <w:r>
        <w:t>Proposed thesis: A controlled real-robot evaluation of a fine-tuned pi0.5-DROID policy requires a timing-aware, guarded, and physically verified execution pipeline; policy inference alone is insufficient to establish task performance.</w:t>
      </w:r>
    </w:p>
    <w:p>
      <w:r>
        <w:t>The cube-to-basket task is a controlled laboratory benchmark. It is not presented as construction automation or as evidence of construction readiness. It establishes a data, policy, controller, and evaluation baseline that may inform later contact-rich component experiments.</w:t>
      </w:r>
    </w:p>
    <w:p>
      <w:pPr>
        <w:pStyle w:val="Heading1"/>
      </w:pPr>
      <w:r>
        <w:t>2. Related Work and Gap Map</w:t>
      </w:r>
    </w:p>
    <w:p>
      <w:r>
        <w:t>The table below is the working structure for the related-work section. It should be expanded with further peer-reviewed sources before submission, but it already identifies the paper's narrow and defensible gap.</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
              <w:rPr>
                <w:b/>
              </w:rPr>
              <w:t>Area</w:t>
            </w:r>
          </w:p>
        </w:tc>
        <w:tc>
          <w:tcPr>
            <w:tcW w:type="dxa" w:w="2412"/>
          </w:tcPr>
          <w:p>
            <w:r/>
            <w:r>
              <w:rPr>
                <w:b/>
              </w:rPr>
              <w:t>What it can do</w:t>
            </w:r>
          </w:p>
        </w:tc>
        <w:tc>
          <w:tcPr>
            <w:tcW w:type="dxa" w:w="2412"/>
          </w:tcPr>
          <w:p>
            <w:r/>
            <w:r>
              <w:rPr>
                <w:b/>
              </w:rPr>
              <w:t>Limitation</w:t>
            </w:r>
          </w:p>
        </w:tc>
        <w:tc>
          <w:tcPr>
            <w:tcW w:type="dxa" w:w="2412"/>
          </w:tcPr>
          <w:p>
            <w:r/>
            <w:r>
              <w:rPr>
                <w:b/>
              </w:rPr>
              <w:t>Connection to this work</w:t>
            </w:r>
          </w:p>
        </w:tc>
      </w:tr>
      <w:tr>
        <w:tc>
          <w:tcPr>
            <w:tcW w:type="dxa" w:w="2412"/>
          </w:tcPr>
          <w:p>
            <w:r/>
            <w:r>
              <w:rPr>
                <w:b w:val="0"/>
              </w:rPr>
              <w:t>Task-specific behavior cloning and imitation learning</w:t>
            </w:r>
          </w:p>
        </w:tc>
        <w:tc>
          <w:tcPr>
            <w:tcW w:type="dxa" w:w="2412"/>
          </w:tcPr>
          <w:p>
            <w:r/>
            <w:r>
              <w:rPr>
                <w:b w:val="0"/>
              </w:rPr>
              <w:t>Learns a policy from demonstrations; can work well for a narrow task and fixed embodiment.</w:t>
            </w:r>
          </w:p>
        </w:tc>
        <w:tc>
          <w:tcPr>
            <w:tcW w:type="dxa" w:w="2412"/>
          </w:tcPr>
          <w:p>
            <w:r/>
            <w:r>
              <w:rPr>
                <w:b w:val="0"/>
              </w:rPr>
              <w:t>Often requires new data and engineering when task geometry, environment, or action requirements change.</w:t>
            </w:r>
          </w:p>
        </w:tc>
        <w:tc>
          <w:tcPr>
            <w:tcW w:type="dxa" w:w="2412"/>
          </w:tcPr>
          <w:p>
            <w:r/>
            <w:r>
              <w:rPr>
                <w:b w:val="0"/>
              </w:rPr>
              <w:t>Our work uses demonstrations but fine-tunes a pretrained VLA rather than training a policy from scratch.</w:t>
            </w:r>
          </w:p>
        </w:tc>
      </w:tr>
      <w:tr>
        <w:tc>
          <w:tcPr>
            <w:tcW w:type="dxa" w:w="2412"/>
          </w:tcPr>
          <w:p>
            <w:r/>
            <w:r>
              <w:rPr>
                <w:b w:val="0"/>
              </w:rPr>
              <w:t>VLA deployment and action-generation reviews</w:t>
            </w:r>
          </w:p>
        </w:tc>
        <w:tc>
          <w:tcPr>
            <w:tcW w:type="dxa" w:w="2412"/>
          </w:tcPr>
          <w:p>
            <w:r/>
            <w:r>
              <w:rPr>
                <w:b w:val="0"/>
              </w:rPr>
              <w:t>Reviews define VLAs as systems that connect visual observations and language to robot actions, and survey action representations, data, hardware, and evaluation.</w:t>
            </w:r>
          </w:p>
        </w:tc>
        <w:tc>
          <w:tcPr>
            <w:tcW w:type="dxa" w:w="2412"/>
          </w:tcPr>
          <w:p>
            <w:r/>
            <w:r>
              <w:rPr>
                <w:b w:val="0"/>
              </w:rPr>
              <w:t>The reviews identify real-world deployment as a system problem involving embodiment, data, compute, control frequency, and verification; they do not validate this FR3 setup.</w:t>
            </w:r>
          </w:p>
        </w:tc>
        <w:tc>
          <w:tcPr>
            <w:tcW w:type="dxa" w:w="2412"/>
          </w:tcPr>
          <w:p>
            <w:r/>
            <w:r>
              <w:rPr>
                <w:b w:val="0"/>
              </w:rPr>
              <w:t>Our work evaluates these deployment issues in a concrete pi0.5-DROID-to-FR3 system.</w:t>
            </w:r>
          </w:p>
        </w:tc>
      </w:tr>
      <w:tr>
        <w:tc>
          <w:tcPr>
            <w:tcW w:type="dxa" w:w="2412"/>
          </w:tcPr>
          <w:p>
            <w:r/>
            <w:r>
              <w:rPr>
                <w:b w:val="0"/>
              </w:rPr>
              <w:t>Construction physical AI and VLA learning</w:t>
            </w:r>
          </w:p>
        </w:tc>
        <w:tc>
          <w:tcPr>
            <w:tcW w:type="dxa" w:w="2412"/>
          </w:tcPr>
          <w:p>
            <w:r/>
            <w:r>
              <w:rPr>
                <w:b w:val="0"/>
              </w:rPr>
              <w:t>Recent real-robot work includes limited-demonstration excavation and a VLA/RL benchmark for multi-stage panel transport and installation.</w:t>
            </w:r>
          </w:p>
        </w:tc>
        <w:tc>
          <w:tcPr>
            <w:tcW w:type="dxa" w:w="2412"/>
          </w:tcPr>
          <w:p>
            <w:r/>
            <w:r>
              <w:rPr>
                <w:b w:val="0"/>
              </w:rPr>
              <w:t>These studies address different platforms, tasks, and evaluation designs. They do not establish reliable transfer to a compact FR3 platform or a component-level bracket/screw workflow.</w:t>
            </w:r>
          </w:p>
        </w:tc>
        <w:tc>
          <w:tcPr>
            <w:tcW w:type="dxa" w:w="2412"/>
          </w:tcPr>
          <w:p>
            <w:r/>
            <w:r>
              <w:rPr>
                <w:b w:val="0"/>
              </w:rPr>
              <w:t>Our current study provides an FR3 deployment baseline; the next stage will test construction-component manipulation.</w:t>
            </w:r>
          </w:p>
        </w:tc>
      </w:tr>
      <w:tr>
        <w:tc>
          <w:tcPr>
            <w:tcW w:type="dxa" w:w="2412"/>
          </w:tcPr>
          <w:p>
            <w:r/>
            <w:r>
              <w:rPr>
                <w:b w:val="0"/>
              </w:rPr>
              <w:t>Contact-rich construction component manipulation</w:t>
            </w:r>
          </w:p>
        </w:tc>
        <w:tc>
          <w:tcPr>
            <w:tcW w:type="dxa" w:w="2412"/>
          </w:tcPr>
          <w:p>
            <w:r/>
            <w:r>
              <w:rPr>
                <w:b w:val="0"/>
              </w:rPr>
              <w:t>Tasks such as insertion and fastening require geometric alignment, contact sensing or compliance, and often specialized tooling.</w:t>
            </w:r>
          </w:p>
        </w:tc>
        <w:tc>
          <w:tcPr>
            <w:tcW w:type="dxa" w:w="2412"/>
          </w:tcPr>
          <w:p>
            <w:r/>
            <w:r>
              <w:rPr>
                <w:b w:val="0"/>
              </w:rPr>
              <w:t>The current cube-transfer experiment does not test contact-rich assembly and must not be presented as evidence of fastening capability.</w:t>
            </w:r>
          </w:p>
        </w:tc>
        <w:tc>
          <w:tcPr>
            <w:tcW w:type="dxa" w:w="2412"/>
          </w:tcPr>
          <w:p>
            <w:r/>
            <w:r>
              <w:rPr>
                <w:b w:val="0"/>
              </w:rPr>
              <w:t>Bracket placement, screw alignment, compliant insertion, and finally driver-based fastening define the next experimental benchmark.</w:t>
            </w:r>
          </w:p>
        </w:tc>
      </w:tr>
    </w:tbl>
    <w:p>
      <w:pPr>
        <w:pStyle w:val="Heading2"/>
      </w:pPr>
      <w:r>
        <w:t>2.1 Key Evidence From Closest Studies</w:t>
      </w:r>
    </w:p>
    <w:p>
      <w:r>
        <w:t xml:space="preserve">Kawaharazuka et al. provide a full-stack review of VLA systems, covering model design, robot platforms, data collection, and evaluation. It supports treating deployment constraints such as embodiment, observation design, compute, and action execution as part of the research problem rather than as implementation details. </w:t>
      </w:r>
      <w:hyperlink r:id="rId10">
        <w:r>
          <w:rPr>
            <w:color w:val="0563C1"/>
            <w:u w:val="single"/>
          </w:rPr>
          <w:t>Kawaharazuka et al., Vision-Language-Action Models for Robotics: A Review Towards Real-World Applications (2025)</w:t>
        </w:r>
      </w:hyperlink>
    </w:p>
    <w:p>
      <w:r>
        <w:t xml:space="preserve">Sa et al. review VLA action generation for bimanual manipulation and aerial robotics, including continuous and chunked action generation. Their discussion of a slow reasoning layer paired with a fast action layer supports our decision to report action-chunk timing and execution behavior. As a review, it does not itself validate our controller. </w:t>
      </w:r>
      <w:hyperlink r:id="rId11">
        <w:r>
          <w:rPr>
            <w:color w:val="0563C1"/>
            <w:u w:val="single"/>
          </w:rPr>
          <w:t>Sa et al., Vision-Language-Action Models for Unmanned Aerial Robotics and Bimanual Manipulation: A Review (2026)</w:t>
        </w:r>
      </w:hyperlink>
    </w:p>
    <w:p>
      <w:r>
        <w:t xml:space="preserve">Rasul and Kim present a hardware-validated small-scale construction excavation study using 50 teleoperated demonstrations, multicamera observations, and ACT and SmolVLA policies. It demonstrates that learning-based physical interaction can be studied on a real construction-relevant task with limited demonstrations, while using a different robot, end effector, and task from this work. </w:t>
      </w:r>
      <w:r>
        <w:rPr>
          <w:i/>
        </w:rPr>
        <w:t>Rasul and Kim, Imitation Learning-Based Physical AI for Small-Scale Construction Robotics Tasks (ISARC 2026)</w:t>
      </w:r>
    </w:p>
    <w:p>
      <w:r>
        <w:t xml:space="preserve">Hu et al. benchmark VLA and hierarchical reinforcement-learning approaches for construction robot skill learning, including a multi-stage panel transport and installation task. This is a direct precedent for construction VLA evaluation. Our paper should therefore claim a different contribution: a reproducible pi0.5-DROID deployment and evaluation pipeline on FR3, followed by a planned component-level contact-rich benchmark rather than a claim of being the first construction VLA. </w:t>
      </w:r>
      <w:hyperlink r:id="rId12">
        <w:r>
          <w:rPr>
            <w:color w:val="0563C1"/>
            <w:u w:val="single"/>
          </w:rPr>
          <w:t>Hu et al., Sample-Efficient Robot Skill Learning for Construction Tasks: Benchmarking Hierarchical Reinforcement Learning and Vision-Language-Action VLA Model (2025)</w:t>
        </w:r>
      </w:hyperlink>
    </w:p>
    <w:p>
      <w:pPr>
        <w:pStyle w:val="Heading2"/>
      </w:pPr>
      <w:r>
        <w:t>2.2 What These Studies Mean for This Paper</w:t>
      </w:r>
    </w:p>
    <w:p>
      <w:r>
        <w:t>The closest literature already establishes that construction-oriented learning systems can perform physical tasks, including excavation and panel installation. The present paper must therefore avoid novelty claims such as 'the first construction VLA.' Its defensible contribution is a transparent, real-robot pi0.5-DROID deployment on FR3, where action-chunk timing, safety guards, physical gripper transitions, and held-out spatial evaluation are part of the experimental method. The bracket and screw work is the next stage: a component-level benchmark that introduces geometry, contact, and tooling requirements beyond cube transfer.</w:t>
      </w:r>
    </w:p>
    <w:p>
      <w:pPr>
        <w:pStyle w:val="Heading2"/>
      </w:pPr>
      <w:r>
        <w:t>2.3 Specific Research Gap</w:t>
      </w:r>
    </w:p>
    <w:p>
      <w:r>
        <w:t>Proposed gap statement: Existing VLA work establishes the potential of language-conditioned robot policies, and construction robotics demonstrates the importance of contact-aware assembly. This paper does not claim to close a general construction-VLA gap. Instead, it reports a controlled and reproducible FR3 case study in which timing, controller behavior, safety guards, and physical gripper verification are treated as part of the experimental system.</w:t>
      </w:r>
    </w:p>
    <w:p>
      <w:r>
        <w:t>This scope is intentionally limited to what the current FR3 system can test directly. It does not support claims about construction-site deployment, broad task adaptation, or construction assembly performance.</w:t>
      </w:r>
    </w:p>
    <w:p>
      <w:pPr>
        <w:pStyle w:val="Heading1"/>
      </w:pPr>
      <w:r>
        <w:t>3. Contribution and Scope Statement</w:t>
      </w:r>
    </w:p>
    <w:p>
      <w:pPr>
        <w:pStyle w:val="Heading2"/>
      </w:pPr>
      <w:r>
        <w:t>3.1 Claims Supported by the Current Project</w:t>
      </w:r>
    </w:p>
    <w:p>
      <w:pPr>
        <w:pStyle w:val="ListNumber"/>
      </w:pPr>
      <w:r>
        <w:t>A reproducible FR3 demonstration pipeline that records RGB observations, robot and gripper state, actions, and metadata, then converts successful episodes to LeRobot format.</w:t>
      </w:r>
    </w:p>
    <w:p>
      <w:pPr>
        <w:pStyle w:val="ListNumber"/>
      </w:pPr>
      <w:r>
        <w:t>Fine-tuning and deployment of pi0.5-DROID using seven FR3 joint velocities and one gripper-closedness action at 15 Hz.</w:t>
      </w:r>
    </w:p>
    <w:p>
      <w:pPr>
        <w:pStyle w:val="ListNumber"/>
      </w:pPr>
      <w:r>
        <w:t>A guarded real-time execution design that separates model-predicted gripper-transition timing from physical gripper actuation and verifies grasp and release outcomes.</w:t>
      </w:r>
    </w:p>
    <w:p>
      <w:pPr>
        <w:pStyle w:val="ListNumber"/>
      </w:pPr>
      <w:r>
        <w:t>A held-out spatial-interpolation protocol containing ten positions and three planned trials per position.</w:t>
      </w:r>
    </w:p>
    <w:p>
      <w:pPr>
        <w:pStyle w:val="ListNumber"/>
      </w:pPr>
      <w:r>
        <w:t>A failure-analysis structure that separates policy, grasp, controller, safety-guard, and infrastructure outcomes.</w:t>
      </w:r>
    </w:p>
    <w:p>
      <w:pPr>
        <w:pStyle w:val="Heading2"/>
      </w:pPr>
      <w:r>
        <w:t>3.2 Claims That Must Wait for Final Evidence</w:t>
      </w:r>
    </w:p>
    <w:p>
      <w:pPr>
        <w:pStyle w:val="ListBullet"/>
      </w:pPr>
      <w:r>
        <w:t>Final v3_12000 success rate and confidence intervals.</w:t>
      </w:r>
    </w:p>
    <w:p>
      <w:pPr>
        <w:pStyle w:val="ListBullet"/>
      </w:pPr>
      <w:r>
        <w:t>Comparative improvement over a task-specific behavior-cloning baseline.</w:t>
      </w:r>
    </w:p>
    <w:p>
      <w:pPr>
        <w:pStyle w:val="ListBullet"/>
      </w:pPr>
      <w:r>
        <w:t>Language generalization across instructions.</w:t>
      </w:r>
    </w:p>
    <w:p>
      <w:pPr>
        <w:pStyle w:val="ListBullet"/>
      </w:pPr>
      <w:r>
        <w:t>Robustness to human intervention, occlusion, lighting changes, or large workcell changes.</w:t>
      </w:r>
    </w:p>
    <w:p>
      <w:pPr>
        <w:pStyle w:val="ListBullet"/>
      </w:pPr>
      <w:r>
        <w:t>Construction assembly performance, contact-rich insertion performance, or fastening performance.</w:t>
      </w:r>
    </w:p>
    <w:p>
      <w:pPr>
        <w:pStyle w:val="Heading2"/>
      </w:pPr>
      <w:r>
        <w:t>3.3 Next-Stage Construction Manipulation Scope</w:t>
      </w:r>
    </w:p>
    <w:p>
      <w:r>
        <w:t>The supplied rslScrew.stl, rsl_flat_brkt.stl, and main-1(1).stl files should be treated as the start of a new experimental stage. The immediate objective is not to claim screw fastening. It is to establish a staged contact-rich benchmark: bracket grasping and orientation, bracket placement in a fixture, screw grasping and alignment, and compliant insertion. True fastening will require a driver end effector and a validated torque or force/compliance strategy.</w:t>
      </w:r>
    </w:p>
    <w:p>
      <w:pPr>
        <w:pStyle w:val="Heading1"/>
      </w:pPr>
      <w:r>
        <w:t>Decision Before Full Drafting</w:t>
      </w:r>
    </w:p>
    <w:p>
      <w:r>
        <w:t>The paper should be framed as a controlled real-robot VLA evaluation, motivated by future construction-component manipulation. It should not be framed as construction automation, construction-site validation, or a completed construction manipulation system. Once this framing is approved, the next document step is a two-to-three page Introduction outline built directly from Sections 1 through 3 above.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2590123026014404" TargetMode="External"/><Relationship Id="rId10" Type="http://schemas.openxmlformats.org/officeDocument/2006/relationships/hyperlink" Target="https://doi.org/10.1109/ACCESS.2025.3609980" TargetMode="External"/><Relationship Id="rId11" Type="http://schemas.openxmlformats.org/officeDocument/2006/relationships/hyperlink" Target="https://doi.org/10.3390/drones10060412" TargetMode="External"/><Relationship Id="rId12" Type="http://schemas.openxmlformats.org/officeDocument/2006/relationships/hyperlink" Target="https://arxiv.org/abs/2512.14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