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0A" w:rsidRDefault="00C34E0A" w:rsidP="004F2F31">
      <w:pPr>
        <w:jc w:val="center"/>
        <w:rPr>
          <w:rFonts w:ascii="Arial" w:hAnsi="Arial" w:cs="Arial"/>
          <w:sz w:val="22"/>
          <w:szCs w:val="22"/>
          <w:u w:val="single"/>
        </w:rPr>
      </w:pPr>
      <w:r w:rsidRPr="00C34E0A">
        <w:rPr>
          <w:rFonts w:ascii="Arial" w:hAnsi="Arial" w:cs="Arial"/>
          <w:sz w:val="22"/>
          <w:szCs w:val="22"/>
          <w:u w:val="single"/>
        </w:rPr>
        <w:t>Suggested Readings at the Intersection of Machi</w:t>
      </w:r>
      <w:bookmarkStart w:id="0" w:name="_GoBack"/>
      <w:bookmarkEnd w:id="0"/>
      <w:r w:rsidRPr="00C34E0A">
        <w:rPr>
          <w:rFonts w:ascii="Arial" w:hAnsi="Arial" w:cs="Arial"/>
          <w:sz w:val="22"/>
          <w:szCs w:val="22"/>
          <w:u w:val="single"/>
        </w:rPr>
        <w:t>ne Learning and Epidemiology</w:t>
      </w:r>
    </w:p>
    <w:p w:rsidR="00C34E0A" w:rsidRPr="00C34E0A" w:rsidRDefault="00C34E0A" w:rsidP="00C34E0A">
      <w:pPr>
        <w:jc w:val="center"/>
        <w:rPr>
          <w:rFonts w:ascii="Arial" w:hAnsi="Arial" w:cs="Arial"/>
          <w:i/>
          <w:sz w:val="22"/>
          <w:szCs w:val="22"/>
        </w:rPr>
      </w:pPr>
      <w:r w:rsidRPr="00C34E0A">
        <w:rPr>
          <w:rFonts w:ascii="Arial" w:hAnsi="Arial" w:cs="Arial"/>
          <w:i/>
          <w:sz w:val="22"/>
          <w:szCs w:val="22"/>
        </w:rPr>
        <w:t>In no particular order</w:t>
      </w:r>
    </w:p>
    <w:p w:rsidR="00C34E0A" w:rsidRDefault="00C34E0A" w:rsidP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 w:rsidP="00C34E0A">
      <w:pPr>
        <w:rPr>
          <w:rFonts w:ascii="Arial" w:hAnsi="Arial" w:cs="Arial"/>
          <w:sz w:val="22"/>
          <w:szCs w:val="22"/>
        </w:rPr>
      </w:pPr>
      <w:proofErr w:type="spellStart"/>
      <w:r w:rsidRPr="00C34E0A">
        <w:rPr>
          <w:rFonts w:ascii="Arial" w:hAnsi="Arial" w:cs="Arial"/>
          <w:sz w:val="22"/>
          <w:szCs w:val="22"/>
        </w:rPr>
        <w:t>Shmueli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G. To explain or to predict? Statistical science 2010; 25:289-310.</w:t>
      </w:r>
    </w:p>
    <w:p w:rsidR="00C34E0A" w:rsidRDefault="00C34E0A" w:rsidP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 w:rsidP="00C34E0A">
      <w:pPr>
        <w:rPr>
          <w:rFonts w:ascii="Arial" w:hAnsi="Arial" w:cs="Arial"/>
          <w:sz w:val="22"/>
          <w:szCs w:val="22"/>
        </w:rPr>
      </w:pPr>
      <w:r w:rsidRPr="00C34E0A">
        <w:rPr>
          <w:rFonts w:ascii="Arial" w:hAnsi="Arial" w:cs="Arial"/>
          <w:sz w:val="22"/>
          <w:szCs w:val="22"/>
        </w:rPr>
        <w:t>Keil AP and Edwards JK. You are smarter than you think: (super) machine learning in context. European Journal of Epidemiology 2018; 33:437-440</w:t>
      </w:r>
    </w:p>
    <w:p w:rsidR="002615E4" w:rsidRPr="00C34E0A" w:rsidRDefault="004F2F31">
      <w:pPr>
        <w:rPr>
          <w:rFonts w:ascii="Arial" w:hAnsi="Arial" w:cs="Arial"/>
        </w:rPr>
      </w:pPr>
    </w:p>
    <w:p w:rsidR="00C34E0A" w:rsidRPr="00C34E0A" w:rsidRDefault="00C34E0A" w:rsidP="00C34E0A">
      <w:pPr>
        <w:rPr>
          <w:rFonts w:ascii="Arial" w:hAnsi="Arial" w:cs="Arial"/>
          <w:sz w:val="22"/>
          <w:szCs w:val="22"/>
        </w:rPr>
      </w:pPr>
      <w:proofErr w:type="spellStart"/>
      <w:r w:rsidRPr="00C34E0A">
        <w:rPr>
          <w:rFonts w:ascii="Arial" w:hAnsi="Arial" w:cs="Arial"/>
          <w:sz w:val="22"/>
          <w:szCs w:val="22"/>
        </w:rPr>
        <w:t>Chiavegatto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E0A">
        <w:rPr>
          <w:rFonts w:ascii="Arial" w:hAnsi="Arial" w:cs="Arial"/>
          <w:sz w:val="22"/>
          <w:szCs w:val="22"/>
        </w:rPr>
        <w:t>Filho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ADP, Dos Santos HG, do </w:t>
      </w:r>
      <w:proofErr w:type="spellStart"/>
      <w:r w:rsidRPr="00C34E0A">
        <w:rPr>
          <w:rFonts w:ascii="Arial" w:hAnsi="Arial" w:cs="Arial"/>
          <w:sz w:val="22"/>
          <w:szCs w:val="22"/>
        </w:rPr>
        <w:t>Nascimento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CF, Massa K, </w:t>
      </w:r>
      <w:proofErr w:type="spellStart"/>
      <w:r w:rsidRPr="00C34E0A">
        <w:rPr>
          <w:rFonts w:ascii="Arial" w:hAnsi="Arial" w:cs="Arial"/>
          <w:sz w:val="22"/>
          <w:szCs w:val="22"/>
        </w:rPr>
        <w:t>Kawachi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I. Overachieving municipalities in public health: A machine learning approach. Epidemiology 2018; 29:836-40.</w:t>
      </w:r>
    </w:p>
    <w:p w:rsidR="00C34E0A" w:rsidRPr="00C34E0A" w:rsidRDefault="00C34E0A">
      <w:pPr>
        <w:rPr>
          <w:rFonts w:ascii="Arial" w:hAnsi="Arial" w:cs="Arial"/>
        </w:rPr>
      </w:pP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  <w:r w:rsidRPr="00C34E0A">
        <w:rPr>
          <w:rFonts w:ascii="Arial" w:hAnsi="Arial" w:cs="Arial"/>
          <w:sz w:val="22"/>
          <w:szCs w:val="22"/>
        </w:rPr>
        <w:t xml:space="preserve">Mooney SJ and </w:t>
      </w:r>
      <w:proofErr w:type="spellStart"/>
      <w:r w:rsidRPr="00C34E0A">
        <w:rPr>
          <w:rFonts w:ascii="Arial" w:hAnsi="Arial" w:cs="Arial"/>
          <w:sz w:val="22"/>
          <w:szCs w:val="22"/>
        </w:rPr>
        <w:t>Pejaver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V. Big Data in Public Health: Terminology, machine learning and privacy. Annual Review of Public Health 2018; 39:95-112.</w:t>
      </w: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 w:rsidP="00C34E0A">
      <w:pPr>
        <w:rPr>
          <w:rFonts w:ascii="Arial" w:hAnsi="Arial" w:cs="Arial"/>
          <w:sz w:val="22"/>
          <w:szCs w:val="22"/>
        </w:rPr>
      </w:pPr>
      <w:proofErr w:type="spellStart"/>
      <w:r w:rsidRPr="00C34E0A">
        <w:rPr>
          <w:rFonts w:ascii="Arial" w:hAnsi="Arial" w:cs="Arial"/>
          <w:sz w:val="22"/>
          <w:szCs w:val="22"/>
        </w:rPr>
        <w:t>Obermeyter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Z, Powers B, </w:t>
      </w:r>
      <w:proofErr w:type="spellStart"/>
      <w:r w:rsidRPr="00C34E0A">
        <w:rPr>
          <w:rFonts w:ascii="Arial" w:hAnsi="Arial" w:cs="Arial"/>
          <w:sz w:val="22"/>
          <w:szCs w:val="22"/>
        </w:rPr>
        <w:t>Vogeli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C, Mullainathan S. Dissecting racial bias in an algorithm used to manage the health of populations. Science 2019; 366:447-453.</w:t>
      </w:r>
    </w:p>
    <w:p w:rsidR="00C34E0A" w:rsidRPr="00C34E0A" w:rsidRDefault="00C34E0A">
      <w:pPr>
        <w:rPr>
          <w:rFonts w:ascii="Arial" w:hAnsi="Arial" w:cs="Arial"/>
        </w:rPr>
      </w:pP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  <w:proofErr w:type="spellStart"/>
      <w:r w:rsidRPr="00C34E0A">
        <w:rPr>
          <w:rFonts w:ascii="Arial" w:hAnsi="Arial" w:cs="Arial"/>
          <w:sz w:val="22"/>
          <w:szCs w:val="22"/>
        </w:rPr>
        <w:t>Touw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WG, </w:t>
      </w:r>
      <w:proofErr w:type="spellStart"/>
      <w:r w:rsidRPr="00C34E0A">
        <w:rPr>
          <w:rFonts w:ascii="Arial" w:hAnsi="Arial" w:cs="Arial"/>
          <w:sz w:val="22"/>
          <w:szCs w:val="22"/>
        </w:rPr>
        <w:t>Bayjanov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4E0A">
        <w:rPr>
          <w:rFonts w:ascii="Arial" w:hAnsi="Arial" w:cs="Arial"/>
          <w:sz w:val="22"/>
          <w:szCs w:val="22"/>
        </w:rPr>
        <w:t>Overmars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L, Backus L. et al. Data mining in the life sciences with random forest: a walk in the park or lost in the jungle? Brief Bioinformatics 2013; 14:315-326.</w:t>
      </w: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  <w:proofErr w:type="spellStart"/>
      <w:r w:rsidRPr="00C34E0A">
        <w:rPr>
          <w:rFonts w:ascii="Arial" w:hAnsi="Arial" w:cs="Arial"/>
          <w:sz w:val="22"/>
          <w:szCs w:val="22"/>
        </w:rPr>
        <w:t>Oquendo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MA, Baca-Garcia E, </w:t>
      </w:r>
      <w:proofErr w:type="spellStart"/>
      <w:r w:rsidRPr="00C34E0A">
        <w:rPr>
          <w:rFonts w:ascii="Arial" w:hAnsi="Arial" w:cs="Arial"/>
          <w:sz w:val="22"/>
          <w:szCs w:val="22"/>
        </w:rPr>
        <w:t>Artes</w:t>
      </w:r>
      <w:proofErr w:type="spellEnd"/>
      <w:r w:rsidRPr="00C34E0A">
        <w:rPr>
          <w:rFonts w:ascii="Arial" w:hAnsi="Arial" w:cs="Arial"/>
          <w:sz w:val="22"/>
          <w:szCs w:val="22"/>
        </w:rPr>
        <w:t>-Rodriguez A, Perez-Cruz F. et al Machine learning and data mining: strategies for hypothesis generation. Molecular Psychiatry 2012; 17:956-959.</w:t>
      </w: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  <w:r w:rsidRPr="00C34E0A">
        <w:rPr>
          <w:rFonts w:ascii="Arial" w:hAnsi="Arial" w:cs="Arial"/>
          <w:sz w:val="22"/>
          <w:szCs w:val="22"/>
        </w:rPr>
        <w:t xml:space="preserve">Platt RW, </w:t>
      </w:r>
      <w:proofErr w:type="spellStart"/>
      <w:r w:rsidRPr="00C34E0A">
        <w:rPr>
          <w:rFonts w:ascii="Arial" w:hAnsi="Arial" w:cs="Arial"/>
          <w:sz w:val="22"/>
          <w:szCs w:val="22"/>
        </w:rPr>
        <w:t>Grandi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SM. Machine learning for the prediction of postpartum complications is promising, but needs rigorous evaluation BJOG 2019; 126:710.</w:t>
      </w: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  <w:proofErr w:type="spellStart"/>
      <w:r w:rsidRPr="00C34E0A">
        <w:rPr>
          <w:rFonts w:ascii="Arial" w:hAnsi="Arial" w:cs="Arial"/>
          <w:sz w:val="22"/>
          <w:szCs w:val="22"/>
        </w:rPr>
        <w:t>Lazer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D, Kennedy R, King G, </w:t>
      </w:r>
      <w:proofErr w:type="spellStart"/>
      <w:r w:rsidRPr="00C34E0A">
        <w:rPr>
          <w:rFonts w:ascii="Arial" w:hAnsi="Arial" w:cs="Arial"/>
          <w:sz w:val="22"/>
          <w:szCs w:val="22"/>
        </w:rPr>
        <w:t>Vespignani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A. The parable of Google Flu: Traps in Big Data Analysis. Science 2014; 343:1203-1205.</w:t>
      </w:r>
    </w:p>
    <w:p w:rsidR="00C34E0A" w:rsidRPr="00C34E0A" w:rsidRDefault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 w:rsidP="00C34E0A">
      <w:pPr>
        <w:rPr>
          <w:rFonts w:ascii="Arial" w:hAnsi="Arial" w:cs="Arial"/>
          <w:sz w:val="22"/>
          <w:szCs w:val="22"/>
        </w:rPr>
      </w:pPr>
      <w:proofErr w:type="spellStart"/>
      <w:r w:rsidRPr="00C34E0A">
        <w:rPr>
          <w:rFonts w:ascii="Arial" w:hAnsi="Arial" w:cs="Arial"/>
          <w:sz w:val="22"/>
          <w:szCs w:val="22"/>
        </w:rPr>
        <w:t>Westreich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D, </w:t>
      </w:r>
      <w:proofErr w:type="spellStart"/>
      <w:r w:rsidRPr="00C34E0A">
        <w:rPr>
          <w:rFonts w:ascii="Arial" w:hAnsi="Arial" w:cs="Arial"/>
          <w:sz w:val="22"/>
          <w:szCs w:val="22"/>
        </w:rPr>
        <w:t>Lessler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J, Funk M. Propensity score estimation: neural networks, support vector machines, decision trees (CART) and meta-classifiers as alternatives to logistic regression. J </w:t>
      </w:r>
      <w:proofErr w:type="spellStart"/>
      <w:r w:rsidRPr="00C34E0A">
        <w:rPr>
          <w:rFonts w:ascii="Arial" w:hAnsi="Arial" w:cs="Arial"/>
          <w:sz w:val="22"/>
          <w:szCs w:val="22"/>
        </w:rPr>
        <w:t>Clin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E0A">
        <w:rPr>
          <w:rFonts w:ascii="Arial" w:hAnsi="Arial" w:cs="Arial"/>
          <w:sz w:val="22"/>
          <w:szCs w:val="22"/>
        </w:rPr>
        <w:t>Epidemiol</w:t>
      </w:r>
      <w:proofErr w:type="spellEnd"/>
      <w:r w:rsidRPr="00C34E0A">
        <w:rPr>
          <w:rFonts w:ascii="Arial" w:hAnsi="Arial" w:cs="Arial"/>
          <w:sz w:val="22"/>
          <w:szCs w:val="22"/>
        </w:rPr>
        <w:t xml:space="preserve"> 2010; 63:826-33.</w:t>
      </w:r>
    </w:p>
    <w:p w:rsidR="00C34E0A" w:rsidRPr="00C34E0A" w:rsidRDefault="00C34E0A" w:rsidP="00C34E0A">
      <w:pPr>
        <w:rPr>
          <w:rFonts w:ascii="Arial" w:hAnsi="Arial" w:cs="Arial"/>
          <w:sz w:val="22"/>
          <w:szCs w:val="22"/>
        </w:rPr>
      </w:pPr>
    </w:p>
    <w:p w:rsidR="00C34E0A" w:rsidRPr="00C34E0A" w:rsidRDefault="00C34E0A" w:rsidP="00C34E0A">
      <w:pPr>
        <w:rPr>
          <w:rFonts w:ascii="Arial" w:hAnsi="Arial" w:cs="Arial"/>
          <w:sz w:val="22"/>
          <w:szCs w:val="22"/>
        </w:rPr>
      </w:pPr>
      <w:r w:rsidRPr="00C34E0A">
        <w:rPr>
          <w:rFonts w:ascii="Arial" w:hAnsi="Arial" w:cs="Arial"/>
          <w:sz w:val="22"/>
          <w:szCs w:val="22"/>
        </w:rPr>
        <w:t>Naimi AI, Platt RW, Larkin JC. Machine learning for fetal growth prediction. Epidemiology 2018; 29:290-298.</w:t>
      </w:r>
    </w:p>
    <w:p w:rsidR="00C34E0A" w:rsidRPr="00C34E0A" w:rsidRDefault="00C34E0A">
      <w:pPr>
        <w:rPr>
          <w:rFonts w:ascii="Arial" w:hAnsi="Arial" w:cs="Arial"/>
        </w:rPr>
      </w:pPr>
    </w:p>
    <w:p w:rsidR="00C34E0A" w:rsidRDefault="00C34E0A" w:rsidP="00C34E0A">
      <w:pPr>
        <w:rPr>
          <w:rFonts w:ascii="Arial" w:hAnsi="Arial" w:cs="Arial"/>
          <w:sz w:val="22"/>
          <w:szCs w:val="22"/>
        </w:rPr>
      </w:pPr>
      <w:r w:rsidRPr="00C34E0A">
        <w:rPr>
          <w:rFonts w:ascii="Arial" w:hAnsi="Arial" w:cs="Arial"/>
          <w:sz w:val="22"/>
          <w:szCs w:val="22"/>
        </w:rPr>
        <w:t>A picture tells a thousand…exposures: Opportunities and challenges of deep learning image analysis in exposure science and environmental epidemiology. Environment International 2019; 122:3-10.</w:t>
      </w:r>
    </w:p>
    <w:p w:rsidR="00C53E06" w:rsidRDefault="00C53E06" w:rsidP="00C34E0A">
      <w:pPr>
        <w:rPr>
          <w:rFonts w:ascii="Arial" w:hAnsi="Arial" w:cs="Arial"/>
          <w:sz w:val="22"/>
          <w:szCs w:val="22"/>
        </w:rPr>
      </w:pPr>
    </w:p>
    <w:p w:rsidR="00C53E06" w:rsidRDefault="00C53E06" w:rsidP="00C34E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Blakely T, Lynch J, Simons K, Bentley R, Rose S. Reflecting on modern methods: when worlds collide-prediction, machine learning and causal inference. </w:t>
      </w:r>
      <w:proofErr w:type="spellStart"/>
      <w:r>
        <w:rPr>
          <w:rFonts w:ascii="Arial" w:hAnsi="Arial" w:cs="Arial"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 J Epi 2019; doi:10.1093/</w:t>
      </w:r>
      <w:proofErr w:type="spellStart"/>
      <w:r>
        <w:rPr>
          <w:rFonts w:ascii="Arial" w:hAnsi="Arial" w:cs="Arial"/>
          <w:sz w:val="22"/>
          <w:szCs w:val="22"/>
        </w:rPr>
        <w:t>ije</w:t>
      </w:r>
      <w:proofErr w:type="spellEnd"/>
      <w:r>
        <w:rPr>
          <w:rFonts w:ascii="Arial" w:hAnsi="Arial" w:cs="Arial"/>
          <w:sz w:val="22"/>
          <w:szCs w:val="22"/>
        </w:rPr>
        <w:t>/dyz132.</w:t>
      </w:r>
    </w:p>
    <w:p w:rsidR="00C53E06" w:rsidRPr="00C34E0A" w:rsidRDefault="00C53E06" w:rsidP="00C34E0A">
      <w:pPr>
        <w:rPr>
          <w:rFonts w:ascii="Arial" w:hAnsi="Arial" w:cs="Arial"/>
          <w:sz w:val="22"/>
          <w:szCs w:val="22"/>
        </w:rPr>
      </w:pPr>
    </w:p>
    <w:p w:rsidR="00C34E0A" w:rsidRDefault="00C34E0A"/>
    <w:p w:rsidR="00C53E06" w:rsidRDefault="00C53E06"/>
    <w:sectPr w:rsidR="00C5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0A"/>
    <w:rsid w:val="002126B6"/>
    <w:rsid w:val="004F2F31"/>
    <w:rsid w:val="006F504D"/>
    <w:rsid w:val="00C34E0A"/>
    <w:rsid w:val="00C5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5F39"/>
  <w15:chartTrackingRefBased/>
  <w15:docId w15:val="{432B8C98-217F-4709-8D38-7E3CC423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E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1839</Characters>
  <Application>Microsoft Office Word</Application>
  <DocSecurity>0</DocSecurity>
  <Lines>15</Lines>
  <Paragraphs>4</Paragraphs>
  <ScaleCrop>false</ScaleCrop>
  <Company>Columbia University - MSPH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Stingone, Jeanette A.</dc:creator>
  <cp:keywords/>
  <dc:description/>
  <cp:lastModifiedBy>Stingone, Jeanette A.</cp:lastModifiedBy>
  <cp:revision>3</cp:revision>
  <dcterms:created xsi:type="dcterms:W3CDTF">2020-12-04T04:59:00Z</dcterms:created>
  <dcterms:modified xsi:type="dcterms:W3CDTF">2020-12-04T05:06:00Z</dcterms:modified>
</cp:coreProperties>
</file>