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p>
    <w:p>
      <w:pPr>
        <w:spacing w:after="160" w:before="60"/>
        <w:jc w:val="center"/>
      </w:pPr>
      <w:r>
        <w:drawing>
          <wp:inline distT="0" distB="0" distL="0" distR="0">
            <wp:extent cx="1047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38200"/>
                    </a:xfrm>
                    <a:prstGeom prst="rect">
                      <a:avLst/>
                    </a:prstGeom>
                  </pic:spPr>
                </pic:pic>
              </a:graphicData>
            </a:graphic>
          </wp:inline>
        </w:drawing>
      </w:r>
    </w:p>
    <w:p>
      <w:pPr>
        <w:spacing w:after="50"/>
        <w:jc w:val="center"/>
      </w:pPr>
      <w:r>
        <w:rPr>
          <w:rFonts w:ascii="Segoe UI" w:cs="Segoe UI" w:eastAsia="Segoe UI" w:hAnsi="Segoe UI"/>
          <w:b/>
          <w:bCs/>
          <w:color w:val="1E3A8A"/>
          <w:sz w:val="26"/>
          <w:szCs w:val="26"/>
        </w:rPr>
        <w:t xml:space="preserve">KEMENTERIAN KESIHATAN MALAYSIA</w:t>
      </w:r>
    </w:p>
    <w:p>
      <w:pPr>
        <w:spacing w:after="260"/>
        <w:jc w:val="center"/>
      </w:pPr>
      <w:r>
        <w:rPr>
          <w:rFonts w:ascii="Segoe UI" w:cs="Segoe UI" w:eastAsia="Segoe UI" w:hAnsi="Segoe UI"/>
          <w:b/>
          <w:bCs/>
          <w:color w:val="4B5563"/>
          <w:sz w:val="22"/>
          <w:szCs w:val="22"/>
        </w:rPr>
        <w:t xml:space="preserve">HOSPITAL LAWAS, SARAWAK</w:t>
      </w:r>
    </w:p>
    <w:p>
      <w:pPr>
        <w:spacing w:after="80"/>
        <w:jc w:val="center"/>
      </w:pPr>
      <w:r>
        <w:rPr>
          <w:rFonts w:ascii="Segoe UI" w:cs="Segoe UI" w:eastAsia="Segoe UI" w:hAnsi="Segoe UI"/>
          <w:b/>
          <w:bCs/>
          <w:color w:val="6D28D9"/>
          <w:sz w:val="22"/>
          <w:szCs w:val="22"/>
        </w:rPr>
        <w:t xml:space="preserve">PANDUAN PENGGUNA LENGKAP &amp; STANDARD OPERATING PROCEDURE (SOP)</w:t>
      </w:r>
    </w:p>
    <w:p>
      <w:pPr>
        <w:spacing w:after="120"/>
        <w:jc w:val="center"/>
      </w:pPr>
      <w:r>
        <w:rPr>
          <w:rFonts w:ascii="Segoe UI" w:cs="Segoe UI" w:eastAsia="Segoe UI" w:hAnsi="Segoe UI"/>
          <w:b/>
          <w:bCs/>
          <w:color w:val="1E3A8A"/>
          <w:sz w:val="38"/>
          <w:szCs w:val="38"/>
        </w:rPr>
        <w:t xml:space="preserve">MODUL MYFORMULARI (H.O.M.E.)</w:t>
      </w:r>
    </w:p>
    <w:p>
      <w:pPr>
        <w:spacing w:after="360"/>
        <w:jc w:val="center"/>
      </w:pPr>
      <w:r>
        <w:rPr>
          <w:rFonts w:ascii="Segoe UI" w:cs="Segoe UI" w:eastAsia="Segoe UI" w:hAnsi="Segoe UI"/>
          <w:i/>
          <w:iCs/>
          <w:color w:val="4B5563"/>
          <w:sz w:val="19"/>
          <w:szCs w:val="19"/>
        </w:rPr>
        <w:t xml:space="preserve">Panduan Bergambar Terperinci Antaramuka Sebenar Sistem: Carian FUKKM, Pengendalian HAM/LASA, Protokol Bancuhan IV, Garis Panduan NAG 2024, dan Pengurusan Kuota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8"/>
              <w:left w:val="single" w:color="1E3A8A" w:sz="8"/>
              <w:bottom w:val="single" w:color="1E3A8A" w:sz="8"/>
              <w:right w:val="single" w:color="1E3A8A" w:sz="8"/>
            </w:tcBorders>
            <w:shd w:fill="F8FAFC" w:val="clear"/>
            <w:tcMar>
              <w:top w:type="dxa" w:w="140"/>
              <w:left w:type="dxa" w:w="200"/>
              <w:bottom w:type="dxa" w:w="140"/>
              <w:right w:type="dxa" w:w="200"/>
            </w:tcMar>
          </w:tcPr>
          <w:p>
            <w:pPr>
              <w:spacing w:after="80"/>
            </w:pPr>
            <w:r>
              <w:rPr>
                <w:b/>
                <w:bCs/>
                <w:color w:val="1E3A8A"/>
                <w:sz w:val="19"/>
                <w:szCs w:val="19"/>
              </w:rPr>
              <w:t xml:space="preserve">MAKLUMAT KAWALAN DOKUMEN &amp; SISTEM</w:t>
            </w:r>
          </w:p>
          <w:p>
            <w:pPr>
              <w:spacing w:after="30"/>
            </w:pPr>
            <w:r>
              <w:rPr>
                <w:b/>
                <w:bCs/>
              </w:rPr>
              <w:t xml:space="preserve">• Sistem Induk: </w:t>
            </w:r>
            <w:r>
              <w:t xml:space="preserve">Hospital Operation Management Ecosystem (H.O.M.E.)</w:t>
            </w:r>
          </w:p>
          <w:p>
            <w:pPr>
              <w:spacing w:after="30"/>
            </w:pPr>
            <w:r>
              <w:rPr>
                <w:b/>
                <w:bCs/>
              </w:rPr>
              <w:t xml:space="preserve">• Modul Klinikal: </w:t>
            </w:r>
            <w:r>
              <w:t xml:space="preserve">MyFormulari (Pengkatalogan &amp; Keselamatan Ubat)</w:t>
            </w:r>
          </w:p>
          <w:p>
            <w:pPr>
              <w:spacing w:after="30"/>
            </w:pPr>
            <w:r>
              <w:rPr>
                <w:b/>
                <w:bCs/>
              </w:rPr>
              <w:t xml:space="preserve">• Pangkalan Data: </w:t>
            </w:r>
            <w:r>
              <w:t xml:space="preserve">Formulari Ubat KKM (FUKKM Edisi Ke-4) &amp; NAG 2024</w:t>
            </w:r>
          </w:p>
          <w:p>
            <w:pPr>
              <w:spacing w:after="30"/>
            </w:pPr>
            <w:r>
              <w:rPr>
                <w:b/>
                <w:bCs/>
              </w:rPr>
              <w:t xml:space="preserve">• Fasiliti: </w:t>
            </w:r>
            <w:r>
              <w:t xml:space="preserve">Jabatan Farmasi &amp; Semua Wad Klinikal, Hospital Lawas</w:t>
            </w:r>
          </w:p>
          <w:p>
            <w:pPr>
              <w:spacing w:after="30"/>
            </w:pPr>
            <w:r>
              <w:rPr>
                <w:b/>
                <w:bCs/>
              </w:rPr>
              <w:t xml:space="preserve">• Status Tangkapan Skrin: </w:t>
            </w:r>
            <w:r>
              <w:t xml:space="preserve">100% Antaramuka Sebenar Sistem MyFormulari</w:t>
            </w:r>
          </w:p>
          <w:p>
            <w:r>
              <w:rPr>
                <w:b/>
                <w:bCs/>
              </w:rPr>
              <w:t xml:space="preserve">• Sasaran Pengguna: </w:t>
            </w:r>
            <w:r>
              <w:t xml:space="preserve">Pakar Perubatan, Pegawai Perubatan (MO), Pegawai Farmasi, Jururawat, PPP</w:t>
            </w:r>
          </w:p>
        </w:tc>
      </w:tr>
    </w:tbl>
    <w:p>
      <w:r>
        <w:br w:type="page"/>
      </w:r>
    </w:p>
    <w:p>
      <w:pPr>
        <w:sectPr>
          <w:pgSz w:w="11906" w:h="16838" w:orient="portrait"/>
          <w:pgMar w:top="1440" w:right="1440" w:bottom="1440" w:left="1440" w:header="708" w:footer="708" w:gutter="0"/>
          <w:pgNumType/>
          <w:docGrid w:linePitch="360"/>
        </w:sectPr>
      </w:pPr>
    </w:p>
    <w:p>
      <w:pPr>
        <w:pStyle w:val="Heading1"/>
        <w:spacing w:after="180" w:before="360"/>
        <w:rPr>
          <w:rFonts w:ascii="Segoe UI" w:cs="Segoe UI" w:eastAsia="Segoe UI" w:hAnsi="Segoe UI"/>
          <w:b/>
          <w:bCs/>
          <w:color w:val="1E3A8A"/>
          <w:sz w:val="32"/>
          <w:szCs w:val="32"/>
        </w:rPr>
      </w:pPr>
      <w:r>
        <w:t xml:space="preserve">JADUAL KANDUNGAN PANDUAN PENGGUNA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E3A8A" w:val="clear"/>
            <w:tcMar>
              <w:top w:type="dxa" w:w="100"/>
              <w:left w:type="dxa" w:w="120"/>
              <w:bottom w:type="dxa" w:w="100"/>
              <w:right w:type="dxa" w:w="120"/>
            </w:tcMar>
          </w:tcPr>
          <w:p>
            <w:pPr>
              <w:jc w:val="center"/>
            </w:pPr>
            <w:r>
              <w:rPr>
                <w:rFonts w:ascii="Segoe UI" w:cs="Segoe UI" w:eastAsia="Segoe UI" w:hAnsi="Segoe UI"/>
                <w:b/>
                <w:bCs/>
                <w:color w:val="FFFFFF"/>
                <w:sz w:val="19"/>
                <w:szCs w:val="19"/>
              </w:rPr>
              <w:t xml:space="preserve">Bab</w:t>
            </w:r>
          </w:p>
        </w:tc>
        <w:tc>
          <w:tcPr>
            <w:tcW w:type="pct" w:w="58%"/>
            <w:shd w:fill="1E3A8A" w:val="clear"/>
            <w:tcMar>
              <w:top w:type="dxa" w:w="100"/>
              <w:left w:type="dxa" w:w="120"/>
              <w:bottom w:type="dxa" w:w="100"/>
              <w:right w:type="dxa" w:w="120"/>
            </w:tcMar>
          </w:tcPr>
          <w:p>
            <w:pPr>
              <w:jc w:val="center"/>
            </w:pPr>
            <w:r>
              <w:rPr>
                <w:rFonts w:ascii="Segoe UI" w:cs="Segoe UI" w:eastAsia="Segoe UI" w:hAnsi="Segoe UI"/>
                <w:b/>
                <w:bCs/>
                <w:color w:val="FFFFFF"/>
                <w:sz w:val="19"/>
                <w:szCs w:val="19"/>
              </w:rPr>
              <w:t xml:space="preserve">Topik &amp; Pengisian Modul</w:t>
            </w:r>
          </w:p>
        </w:tc>
        <w:tc>
          <w:tcPr>
            <w:tcW w:type="pct" w:w="30%"/>
            <w:shd w:fill="1E3A8A" w:val="clear"/>
            <w:tcMar>
              <w:top w:type="dxa" w:w="100"/>
              <w:left w:type="dxa" w:w="120"/>
              <w:bottom w:type="dxa" w:w="100"/>
              <w:right w:type="dxa" w:w="120"/>
            </w:tcMar>
          </w:tcPr>
          <w:p>
            <w:pPr>
              <w:jc w:val="center"/>
            </w:pPr>
            <w:r>
              <w:rPr>
                <w:rFonts w:ascii="Segoe UI" w:cs="Segoe UI" w:eastAsia="Segoe UI" w:hAnsi="Segoe UI"/>
                <w:b/>
                <w:bCs/>
                <w:color w:val="FFFFFF"/>
                <w:sz w:val="19"/>
                <w:szCs w:val="19"/>
              </w:rPr>
              <w:t xml:space="preserve">Paparan Sebenar Sistem</w:t>
            </w:r>
          </w:p>
        </w:tc>
      </w:tr>
      <w:tr>
        <w:tc>
          <w:tcPr>
            <w:tcW w:type="pct" w:w="1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BAB 1</w:t>
            </w:r>
          </w:p>
        </w:tc>
        <w:tc>
          <w:tcPr>
            <w:tcW w:type="pct" w:w="5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Pengenalan &amp; Objektif Sistem MyFormulari</w:t>
            </w:r>
          </w:p>
        </w:tc>
        <w:tc>
          <w:tcPr>
            <w:tcW w:type="pct" w:w="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Visi &amp; Dasar KKM</w:t>
            </w:r>
          </w:p>
        </w:tc>
      </w:tr>
      <w:tr>
        <w:tc>
          <w:tcPr>
            <w:tcW w:type="pct" w:w="1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BAB 2</w:t>
            </w:r>
          </w:p>
        </w:tc>
        <w:tc>
          <w:tcPr>
            <w:tcW w:type="pct" w:w="5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Navigasi Module Hub &amp; Pilihan Menu Klinikal</w:t>
            </w:r>
          </w:p>
        </w:tc>
        <w:tc>
          <w:tcPr>
            <w:tcW w:type="pct" w:w="3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Sub-Menu MyFormulari Hub</w:t>
            </w:r>
          </w:p>
        </w:tc>
      </w:tr>
      <w:tr>
        <w:tc>
          <w:tcPr>
            <w:tcW w:type="pct" w:w="1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BAB 3</w:t>
            </w:r>
          </w:p>
        </w:tc>
        <w:tc>
          <w:tcPr>
            <w:tcW w:type="pct" w:w="5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Papan Pemuka Carian FUKKM &amp; Kategori Preskriber</w:t>
            </w:r>
          </w:p>
        </w:tc>
        <w:tc>
          <w:tcPr>
            <w:tcW w:type="pct" w:w="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Papan Pemuka &amp; Bar Carian</w:t>
            </w:r>
          </w:p>
        </w:tc>
      </w:tr>
      <w:tr>
        <w:tc>
          <w:tcPr>
            <w:tcW w:type="pct" w:w="1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BAB 4</w:t>
            </w:r>
          </w:p>
        </w:tc>
        <w:tc>
          <w:tcPr>
            <w:tcW w:type="pct" w:w="5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Monograf Klinikal Ubat Terperinci &amp; 8 Tab Klinikal</w:t>
            </w:r>
          </w:p>
        </w:tc>
        <w:tc>
          <w:tcPr>
            <w:tcW w:type="pct" w:w="3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Monograf Ceftriaxone &amp; Tab Status</w:t>
            </w:r>
          </w:p>
        </w:tc>
      </w:tr>
      <w:tr>
        <w:tc>
          <w:tcPr>
            <w:tcW w:type="pct" w:w="1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BAB 5</w:t>
            </w:r>
          </w:p>
        </w:tc>
        <w:tc>
          <w:tcPr>
            <w:tcW w:type="pct" w:w="5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Pengendalian Ubat Berisiko Tinggi (HAM) &amp; SOP IDC</w:t>
            </w:r>
          </w:p>
        </w:tc>
        <w:tc>
          <w:tcPr>
            <w:tcW w:type="pct" w:w="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Senarai Ubat HAM &amp; Lencana Merah</w:t>
            </w:r>
          </w:p>
        </w:tc>
      </w:tr>
      <w:tr>
        <w:tc>
          <w:tcPr>
            <w:tcW w:type="pct" w:w="1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BAB 6</w:t>
            </w:r>
          </w:p>
        </w:tc>
        <w:tc>
          <w:tcPr>
            <w:tcW w:type="pct" w:w="5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Daftar Ubat LASA &amp; Protokol TALL-Man Lettering</w:t>
            </w:r>
          </w:p>
        </w:tc>
        <w:tc>
          <w:tcPr>
            <w:tcW w:type="pct" w:w="3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Daftar Pasangan LASA &amp; Pengasingan</w:t>
            </w:r>
          </w:p>
        </w:tc>
      </w:tr>
      <w:tr>
        <w:tc>
          <w:tcPr>
            <w:tcW w:type="pct" w:w="1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BAB 7</w:t>
            </w:r>
          </w:p>
        </w:tc>
        <w:tc>
          <w:tcPr>
            <w:tcW w:type="pct" w:w="5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Pusat Protokol Rekonstitusi &amp; Pelarutan Infusi IV</w:t>
            </w:r>
          </w:p>
        </w:tc>
        <w:tc>
          <w:tcPr>
            <w:tcW w:type="pct" w:w="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Protokol Pelarutan &amp; Y-Site</w:t>
            </w:r>
          </w:p>
        </w:tc>
      </w:tr>
      <w:tr>
        <w:tc>
          <w:tcPr>
            <w:tcW w:type="pct" w:w="1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BAB 8</w:t>
            </w:r>
          </w:p>
        </w:tc>
        <w:tc>
          <w:tcPr>
            <w:tcW w:type="pct" w:w="5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Garis Panduan Antimikrobial Kebangsaan (NAG 2024)</w:t>
            </w:r>
          </w:p>
        </w:tc>
        <w:tc>
          <w:tcPr>
            <w:tcW w:type="pct" w:w="3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Panduan NAG &amp; Sistem Badan</w:t>
            </w:r>
          </w:p>
        </w:tc>
      </w:tr>
      <w:tr>
        <w:tc>
          <w:tcPr>
            <w:tcW w:type="pct" w:w="1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BAB 9</w:t>
            </w:r>
          </w:p>
        </w:tc>
        <w:tc>
          <w:tcPr>
            <w:tcW w:type="pct" w:w="5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Pemantauan Kuota Bulanan Fasiliti &amp; Amaran Stok</w:t>
            </w:r>
          </w:p>
        </w:tc>
        <w:tc>
          <w:tcPr>
            <w:tcW w:type="pct" w:w="3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Penjejak Kuota &amp; Amaran Baki</w:t>
            </w:r>
          </w:p>
        </w:tc>
      </w:tr>
      <w:tr>
        <w:tc>
          <w:tcPr>
            <w:tcW w:type="pct" w:w="1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BAB 10</w:t>
            </w:r>
          </w:p>
        </w:tc>
        <w:tc>
          <w:tcPr>
            <w:tcW w:type="pct" w:w="5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Matriks Ubat Alternatif &amp; Semakan Interaksi Ubat</w:t>
            </w:r>
          </w:p>
        </w:tc>
        <w:tc>
          <w:tcPr>
            <w:tcW w:type="pct" w:w="3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Matriks Gantian &amp; Modal Interaksi</w:t>
            </w:r>
          </w:p>
        </w:tc>
      </w:tr>
    </w:tbl>
    <w:p>
      <w:pPr>
        <w:spacing w:after="100" w:before="60"/>
        <w:jc w:val="left"/>
      </w:pPr>
      <w:r>
        <w:rPr>
          <w:rFonts w:ascii="Segoe UI" w:cs="Segoe UI" w:eastAsia="Segoe UI" w:hAnsi="Segoe UI"/>
          <w:b w:val="false"/>
          <w:bCs w:val="false"/>
          <w:i w:val="false"/>
          <w:iCs w:val="false"/>
          <w:color w:val="1F2937"/>
          <w:sz w:val="21"/>
          <w:szCs w:val="21"/>
        </w:rPr>
        <w:t xml:space="preserve"/>
      </w:r>
    </w:p>
    <w:p>
      <w:pPr>
        <w:pStyle w:val="Heading1"/>
        <w:spacing w:after="180" w:before="360"/>
        <w:rPr>
          <w:rFonts w:ascii="Segoe UI" w:cs="Segoe UI" w:eastAsia="Segoe UI" w:hAnsi="Segoe UI"/>
          <w:b/>
          <w:bCs/>
          <w:color w:val="1E3A8A"/>
          <w:sz w:val="32"/>
          <w:szCs w:val="32"/>
        </w:rPr>
      </w:pPr>
      <w:r>
        <w:t xml:space="preserve">BAB 1: PENGENALAN SISTEM MYFORMULARI</w:t>
      </w:r>
    </w:p>
    <w:p>
      <w:pPr>
        <w:spacing w:after="100" w:before="60"/>
        <w:jc w:val="left"/>
      </w:pPr>
      <w:r>
        <w:rPr>
          <w:rFonts w:ascii="Segoe UI" w:cs="Segoe UI" w:eastAsia="Segoe UI" w:hAnsi="Segoe UI"/>
          <w:b w:val="false"/>
          <w:bCs w:val="false"/>
          <w:i w:val="false"/>
          <w:iCs w:val="false"/>
          <w:color w:val="1F2937"/>
          <w:sz w:val="21"/>
          <w:szCs w:val="21"/>
        </w:rPr>
        <w:t xml:space="preserve">Modul MyFormulari merupakan pusat sehenti klinikal bagi rujukan ubat, keselamatan preskripsi, dan protokol farmaseutikal di bawah Hospital Operation Management Ecosystem (H.O.M.E.) Hospital Lawas. Sistem ini mematuhi sepenuhnya piawaian Formulari Ubat KKM (FUKKM Edisi Ke-4) dan Garis Panduan Keselamatan Ubat Kebangsaan.</w:t>
      </w:r>
    </w:p>
    <w:p>
      <w:pPr>
        <w:pStyle w:val="Heading2"/>
        <w:spacing w:after="120" w:before="260"/>
        <w:rPr>
          <w:rFonts w:ascii="Segoe UI" w:cs="Segoe UI" w:eastAsia="Segoe UI" w:hAnsi="Segoe UI"/>
          <w:b/>
          <w:bCs/>
          <w:color w:val="6D28D9"/>
          <w:sz w:val="24"/>
          <w:szCs w:val="24"/>
        </w:rPr>
      </w:pPr>
      <w:r>
        <w:t xml:space="preserve">1.1 Objektif Utama Modul</w:t>
      </w:r>
    </w:p>
    <w:p>
      <w:pPr>
        <w:pStyle w:val="ListParagraph"/>
        <w:numPr>
          <w:ilvl w:val="0"/>
          <w:numId w:val="1"/>
        </w:numPr>
        <w:spacing w:after="50" w:before="30"/>
      </w:pPr>
      <w:r>
        <w:rPr>
          <w:rFonts w:ascii="Segoe UI" w:cs="Segoe UI" w:eastAsia="Segoe UI" w:hAnsi="Segoe UI"/>
          <w:b/>
          <w:bCs/>
          <w:color w:val="1F2937"/>
          <w:sz w:val="21"/>
          <w:szCs w:val="21"/>
        </w:rPr>
        <w:t xml:space="preserve">1. Rujukan Rasmi FUKKM: </w:t>
      </w:r>
      <w:r>
        <w:rPr>
          <w:rFonts w:ascii="Segoe UI" w:cs="Segoe UI" w:eastAsia="Segoe UI" w:hAnsi="Segoe UI"/>
          <w:color w:val="1F2937"/>
          <w:sz w:val="21"/>
          <w:szCs w:val="21"/>
        </w:rPr>
        <w:t xml:space="preserve">Menyediakan maklumat ubat rasmi KKM yang tepat, pantas, dan lengkap kepada doktor, ahli farmasi, dan jururawat.</w:t>
      </w:r>
    </w:p>
    <w:p>
      <w:pPr>
        <w:pStyle w:val="ListParagraph"/>
        <w:numPr>
          <w:ilvl w:val="0"/>
          <w:numId w:val="1"/>
        </w:numPr>
        <w:spacing w:after="50" w:before="30"/>
      </w:pPr>
      <w:r>
        <w:rPr>
          <w:rFonts w:ascii="Segoe UI" w:cs="Segoe UI" w:eastAsia="Segoe UI" w:hAnsi="Segoe UI"/>
          <w:b/>
          <w:bCs/>
          <w:color w:val="1F2937"/>
          <w:sz w:val="21"/>
          <w:szCs w:val="21"/>
        </w:rPr>
        <w:t xml:space="preserve">2. Keselamatan Pesakit: </w:t>
      </w:r>
      <w:r>
        <w:rPr>
          <w:rFonts w:ascii="Segoe UI" w:cs="Segoe UI" w:eastAsia="Segoe UI" w:hAnsi="Segoe UI"/>
          <w:color w:val="1F2937"/>
          <w:sz w:val="21"/>
          <w:szCs w:val="21"/>
        </w:rPr>
        <w:t xml:space="preserve">Mencegah kesilapan pemberian ubat melalui amaran visual High Alert Medication (HAM) dan huruf TALL-Man bagi Look-Alike Sound-Alike (LASA).</w:t>
      </w:r>
    </w:p>
    <w:p>
      <w:pPr>
        <w:pStyle w:val="ListParagraph"/>
        <w:numPr>
          <w:ilvl w:val="0"/>
          <w:numId w:val="1"/>
        </w:numPr>
        <w:spacing w:after="50" w:before="30"/>
      </w:pPr>
      <w:r>
        <w:rPr>
          <w:rFonts w:ascii="Segoe UI" w:cs="Segoe UI" w:eastAsia="Segoe UI" w:hAnsi="Segoe UI"/>
          <w:b/>
          <w:bCs/>
          <w:color w:val="1F2937"/>
          <w:sz w:val="21"/>
          <w:szCs w:val="21"/>
        </w:rPr>
        <w:t xml:space="preserve">3. Kawalan Preskriber: </w:t>
      </w:r>
      <w:r>
        <w:rPr>
          <w:rFonts w:ascii="Segoe UI" w:cs="Segoe UI" w:eastAsia="Segoe UI" w:hAnsi="Segoe UI"/>
          <w:color w:val="1F2937"/>
          <w:sz w:val="21"/>
          <w:szCs w:val="21"/>
        </w:rPr>
        <w:t xml:space="preserve">Memastikan ubat dipreskrib mengikut kategori kuasa yang sah (A*, A, A/KK, B, C, C+).</w:t>
      </w:r>
    </w:p>
    <w:p>
      <w:pPr>
        <w:pStyle w:val="ListParagraph"/>
        <w:numPr>
          <w:ilvl w:val="0"/>
          <w:numId w:val="1"/>
        </w:numPr>
        <w:spacing w:after="50" w:before="30"/>
      </w:pPr>
      <w:r>
        <w:rPr>
          <w:rFonts w:ascii="Segoe UI" w:cs="Segoe UI" w:eastAsia="Segoe UI" w:hAnsi="Segoe UI"/>
          <w:b/>
          <w:bCs/>
          <w:color w:val="1F2937"/>
          <w:sz w:val="21"/>
          <w:szCs w:val="21"/>
        </w:rPr>
        <w:t xml:space="preserve">4. Standard Protokol IV: </w:t>
      </w:r>
      <w:r>
        <w:rPr>
          <w:rFonts w:ascii="Segoe UI" w:cs="Segoe UI" w:eastAsia="Segoe UI" w:hAnsi="Segoe UI"/>
          <w:color w:val="1F2937"/>
          <w:sz w:val="21"/>
          <w:szCs w:val="21"/>
        </w:rPr>
        <w:t xml:space="preserve">Menyeragamkan kaedah bancuhan serbuk vial, pelarutan IV, kepekatan maksima sekatan cecair, dan keserasian sambungan tiub Y-site.</w:t>
      </w:r>
    </w:p>
    <w:p>
      <w:pPr>
        <w:pStyle w:val="ListParagraph"/>
        <w:numPr>
          <w:ilvl w:val="0"/>
          <w:numId w:val="1"/>
        </w:numPr>
        <w:spacing w:after="50" w:before="30"/>
      </w:pPr>
      <w:r>
        <w:rPr>
          <w:rFonts w:ascii="Segoe UI" w:cs="Segoe UI" w:eastAsia="Segoe UI" w:hAnsi="Segoe UI"/>
          <w:b/>
          <w:bCs/>
          <w:color w:val="1F2937"/>
          <w:sz w:val="21"/>
          <w:szCs w:val="21"/>
        </w:rPr>
        <w:t xml:space="preserve">5. Panduan NAG 2024: </w:t>
      </w:r>
      <w:r>
        <w:rPr>
          <w:rFonts w:ascii="Segoe UI" w:cs="Segoe UI" w:eastAsia="Segoe UI" w:hAnsi="Segoe UI"/>
          <w:color w:val="1F2937"/>
          <w:sz w:val="21"/>
          <w:szCs w:val="21"/>
        </w:rPr>
        <w:t xml:space="preserve">Menyokong program Antimicrobial Stewardship (AMS) dengan panduan empirik mengikut sistem badan dan semakan 72 jam.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BE123C" w:sz="16"/>
              <w:bottom w:val="none" w:color="auto" w:sz="0"/>
              <w:right w:val="none" w:color="auto" w:sz="0"/>
            </w:tcBorders>
            <w:shd w:fill="FFF1F2" w:val="clear"/>
            <w:tcMar>
              <w:top w:type="dxa" w:w="140"/>
              <w:left w:type="dxa" w:w="200"/>
              <w:bottom w:type="dxa" w:w="140"/>
              <w:right w:type="dxa" w:w="180"/>
            </w:tcMar>
          </w:tcPr>
          <w:p>
            <w:pPr>
              <w:spacing w:after="40"/>
            </w:pPr>
            <w:r>
              <w:rPr>
                <w:rFonts w:ascii="Segoe UI" w:cs="Segoe UI" w:eastAsia="Segoe UI" w:hAnsi="Segoe UI"/>
                <w:b/>
                <w:bCs/>
                <w:color w:val="BE123C"/>
                <w:sz w:val="21"/>
                <w:szCs w:val="21"/>
              </w:rPr>
              <w:t xml:space="preserve">DASAR KESELAMATAN HOSPITAL LAWAS</w:t>
            </w:r>
          </w:p>
          <w:p>
            <w:pPr>
              <w:spacing w:after="0"/>
            </w:pPr>
            <w:r>
              <w:rPr>
                <w:rFonts w:ascii="Segoe UI" w:cs="Segoe UI" w:eastAsia="Segoe UI" w:hAnsi="Segoe UI"/>
                <w:color w:val="1F2937"/>
                <w:sz w:val="19"/>
                <w:szCs w:val="19"/>
              </w:rPr>
              <w:t xml:space="preserve">Semua anggota klinikal dimestikan membuat semakan dos, laluan, dan keserasian infusi dalam MyFormulari sebelum sebarang ubat suntikan atau berisiko tinggi diberikan kepada pesakit.</w:t>
            </w:r>
          </w:p>
        </w:tc>
      </w:tr>
    </w:tbl>
    <w:p>
      <w:pPr>
        <w:spacing w:after="100" w:before="60"/>
        <w:jc w:val="left"/>
      </w:pPr>
      <w:r>
        <w:rPr>
          <w:rFonts w:ascii="Segoe UI" w:cs="Segoe UI" w:eastAsia="Segoe UI" w:hAnsi="Segoe UI"/>
          <w:b w:val="false"/>
          <w:bCs w:val="false"/>
          <w:i w:val="false"/>
          <w:iCs w:val="false"/>
          <w:color w:val="1F2937"/>
          <w:sz w:val="21"/>
          <w:szCs w:val="21"/>
        </w:rPr>
        <w:t xml:space="preserve"/>
      </w:r>
    </w:p>
    <w:p>
      <w:pPr>
        <w:pStyle w:val="Heading1"/>
        <w:spacing w:after="180" w:before="360"/>
        <w:rPr>
          <w:rFonts w:ascii="Segoe UI" w:cs="Segoe UI" w:eastAsia="Segoe UI" w:hAnsi="Segoe UI"/>
          <w:b/>
          <w:bCs/>
          <w:color w:val="1E3A8A"/>
          <w:sz w:val="32"/>
          <w:szCs w:val="32"/>
        </w:rPr>
      </w:pPr>
      <w:r>
        <w:t xml:space="preserve">BAB 2: NAVIGASI MODULE HUB &amp; SUB-MENU KLINIKAL</w:t>
      </w:r>
    </w:p>
    <w:p>
      <w:pPr>
        <w:spacing w:after="100" w:before="60"/>
        <w:jc w:val="left"/>
      </w:pPr>
      <w:r>
        <w:rPr>
          <w:rFonts w:ascii="Segoe UI" w:cs="Segoe UI" w:eastAsia="Segoe UI" w:hAnsi="Segoe UI"/>
          <w:b w:val="false"/>
          <w:bCs w:val="false"/>
          <w:i w:val="false"/>
          <w:iCs w:val="false"/>
          <w:color w:val="1F2937"/>
          <w:sz w:val="21"/>
          <w:szCs w:val="21"/>
        </w:rPr>
        <w:t xml:space="preserve">Pengguna boleh mengakses MyFormulari daripada Module Hub utama dengan mengklik kad berlabel "MyFormulari". Sistem akan membuka Sub-Menu Pilihan Modul Klinikal yang membahagikan ciri-ciri utama kepada 7 kad fungsi khusus.</w:t>
      </w:r>
    </w:p>
    <w:p>
      <w:pPr>
        <w:pStyle w:val="Heading2"/>
        <w:spacing w:after="120" w:before="260"/>
        <w:rPr>
          <w:rFonts w:ascii="Segoe UI" w:cs="Segoe UI" w:eastAsia="Segoe UI" w:hAnsi="Segoe UI"/>
          <w:b/>
          <w:bCs/>
          <w:color w:val="6D28D9"/>
          <w:sz w:val="24"/>
          <w:szCs w:val="24"/>
        </w:rPr>
      </w:pPr>
      <w:r>
        <w:t xml:space="preserve">2.1 Kad Pilihan Modul Klinikal MyFormulari</w:t>
      </w:r>
    </w:p>
    <w:p>
      <w:pPr>
        <w:pStyle w:val="ListParagraph"/>
        <w:numPr>
          <w:ilvl w:val="0"/>
          <w:numId w:val="1"/>
        </w:numPr>
        <w:spacing w:after="50" w:before="30"/>
      </w:pPr>
      <w:r>
        <w:rPr>
          <w:rFonts w:ascii="Segoe UI" w:cs="Segoe UI" w:eastAsia="Segoe UI" w:hAnsi="Segoe UI"/>
          <w:b/>
          <w:bCs/>
          <w:color w:val="1F2937"/>
          <w:sz w:val="21"/>
          <w:szCs w:val="21"/>
        </w:rPr>
        <w:t xml:space="preserve">1. Carian &amp; Pengkatalogan Formulari: </w:t>
      </w:r>
      <w:r>
        <w:rPr>
          <w:rFonts w:ascii="Segoe UI" w:cs="Segoe UI" w:eastAsia="Segoe UI" w:hAnsi="Segoe UI"/>
          <w:color w:val="1F2937"/>
          <w:sz w:val="21"/>
          <w:szCs w:val="21"/>
        </w:rPr>
        <w:t xml:space="preserve">Carian menyeluruh mengikut nama generik, jenama, kod ATC, indikasi, dan kategori preskriber.</w:t>
      </w:r>
    </w:p>
    <w:p>
      <w:pPr>
        <w:pStyle w:val="ListParagraph"/>
        <w:numPr>
          <w:ilvl w:val="0"/>
          <w:numId w:val="1"/>
        </w:numPr>
        <w:spacing w:after="50" w:before="30"/>
      </w:pPr>
      <w:r>
        <w:rPr>
          <w:rFonts w:ascii="Segoe UI" w:cs="Segoe UI" w:eastAsia="Segoe UI" w:hAnsi="Segoe UI"/>
          <w:b/>
          <w:bCs/>
          <w:color w:val="1F2937"/>
          <w:sz w:val="21"/>
          <w:szCs w:val="21"/>
        </w:rPr>
        <w:t xml:space="preserve">2. Senarai Ubat Berisiko Tinggi (HAM): </w:t>
      </w:r>
      <w:r>
        <w:rPr>
          <w:rFonts w:ascii="Segoe UI" w:cs="Segoe UI" w:eastAsia="Segoe UI" w:hAnsi="Segoe UI"/>
          <w:color w:val="1F2937"/>
          <w:sz w:val="21"/>
          <w:szCs w:val="21"/>
        </w:rPr>
        <w:t xml:space="preserve">Daftar ubat berisiko tinggi (elektrolit pekat, insulin, inotrop, opioid, NMBA) beserta SOP Semakan Berganda (IDC).</w:t>
      </w:r>
    </w:p>
    <w:p>
      <w:pPr>
        <w:pStyle w:val="ListParagraph"/>
        <w:numPr>
          <w:ilvl w:val="0"/>
          <w:numId w:val="1"/>
        </w:numPr>
        <w:spacing w:after="50" w:before="30"/>
      </w:pPr>
      <w:r>
        <w:rPr>
          <w:rFonts w:ascii="Segoe UI" w:cs="Segoe UI" w:eastAsia="Segoe UI" w:hAnsi="Segoe UI"/>
          <w:b/>
          <w:bCs/>
          <w:color w:val="1F2937"/>
          <w:sz w:val="21"/>
          <w:szCs w:val="21"/>
        </w:rPr>
        <w:t xml:space="preserve">3. Daftar Ubat LASA &amp; TALL-Man: </w:t>
      </w:r>
      <w:r>
        <w:rPr>
          <w:rFonts w:ascii="Segoe UI" w:cs="Segoe UI" w:eastAsia="Segoe UI" w:hAnsi="Segoe UI"/>
          <w:color w:val="1F2937"/>
          <w:sz w:val="21"/>
          <w:szCs w:val="21"/>
        </w:rPr>
        <w:t xml:space="preserve">Senarai pasangan ubat rupa serupa / bunyi serupa dengan penonjolan huruf TALL-man dan panduan pengasingan storan.</w:t>
      </w:r>
    </w:p>
    <w:p>
      <w:pPr>
        <w:pStyle w:val="ListParagraph"/>
        <w:numPr>
          <w:ilvl w:val="0"/>
          <w:numId w:val="1"/>
        </w:numPr>
        <w:spacing w:after="50" w:before="30"/>
      </w:pPr>
      <w:r>
        <w:rPr>
          <w:rFonts w:ascii="Segoe UI" w:cs="Segoe UI" w:eastAsia="Segoe UI" w:hAnsi="Segoe UI"/>
          <w:b/>
          <w:bCs/>
          <w:color w:val="1F2937"/>
          <w:sz w:val="21"/>
          <w:szCs w:val="21"/>
        </w:rPr>
        <w:t xml:space="preserve">4. Pusat Protokol Rekonstitusi &amp; Pelarutan IV: </w:t>
      </w:r>
      <w:r>
        <w:rPr>
          <w:rFonts w:ascii="Segoe UI" w:cs="Segoe UI" w:eastAsia="Segoe UI" w:hAnsi="Segoe UI"/>
          <w:color w:val="1F2937"/>
          <w:sz w:val="21"/>
          <w:szCs w:val="21"/>
        </w:rPr>
        <w:t xml:space="preserve">Panduan bancuhan aseptik, pelarut yang serasi, kepekatan maksima sekatan cecair, dan keserasian Y-site.</w:t>
      </w:r>
    </w:p>
    <w:p>
      <w:pPr>
        <w:pStyle w:val="ListParagraph"/>
        <w:numPr>
          <w:ilvl w:val="0"/>
          <w:numId w:val="1"/>
        </w:numPr>
        <w:spacing w:after="50" w:before="30"/>
      </w:pPr>
      <w:r>
        <w:rPr>
          <w:rFonts w:ascii="Segoe UI" w:cs="Segoe UI" w:eastAsia="Segoe UI" w:hAnsi="Segoe UI"/>
          <w:b/>
          <w:bCs/>
          <w:color w:val="1F2937"/>
          <w:sz w:val="21"/>
          <w:szCs w:val="21"/>
        </w:rPr>
        <w:t xml:space="preserve">5. Garis Panduan Antimikrobial (NAG 2024): </w:t>
      </w:r>
      <w:r>
        <w:rPr>
          <w:rFonts w:ascii="Segoe UI" w:cs="Segoe UI" w:eastAsia="Segoe UI" w:hAnsi="Segoe UI"/>
          <w:color w:val="1F2937"/>
          <w:sz w:val="21"/>
          <w:szCs w:val="21"/>
        </w:rPr>
        <w:t xml:space="preserve">Rejimen empirik lini pertama &amp; kedua mengikut sistem badan, profilaksis surgeri (SAP), dan kriteria tukar IV-ke-Oral.</w:t>
      </w:r>
    </w:p>
    <w:p>
      <w:pPr>
        <w:pStyle w:val="ListParagraph"/>
        <w:numPr>
          <w:ilvl w:val="0"/>
          <w:numId w:val="1"/>
        </w:numPr>
        <w:spacing w:after="50" w:before="30"/>
      </w:pPr>
      <w:r>
        <w:rPr>
          <w:rFonts w:ascii="Segoe UI" w:cs="Segoe UI" w:eastAsia="Segoe UI" w:hAnsi="Segoe UI"/>
          <w:b/>
          <w:bCs/>
          <w:color w:val="1F2937"/>
          <w:sz w:val="21"/>
          <w:szCs w:val="21"/>
        </w:rPr>
        <w:t xml:space="preserve">6. Pemantauan Kuota &amp; Amaran Stok: </w:t>
      </w:r>
      <w:r>
        <w:rPr>
          <w:rFonts w:ascii="Segoe UI" w:cs="Segoe UI" w:eastAsia="Segoe UI" w:hAnsi="Segoe UI"/>
          <w:color w:val="1F2937"/>
          <w:sz w:val="21"/>
          <w:szCs w:val="21"/>
        </w:rPr>
        <w:t xml:space="preserve">Pengesanan baki kuota bulanan fasiliti, amaran stok rendah, dan anggaran baki hari penggunaan ubat.</w:t>
      </w:r>
    </w:p>
    <w:p>
      <w:pPr>
        <w:pStyle w:val="ListParagraph"/>
        <w:numPr>
          <w:ilvl w:val="0"/>
          <w:numId w:val="1"/>
        </w:numPr>
        <w:spacing w:after="50" w:before="30"/>
      </w:pPr>
      <w:r>
        <w:rPr>
          <w:rFonts w:ascii="Segoe UI" w:cs="Segoe UI" w:eastAsia="Segoe UI" w:hAnsi="Segoe UI"/>
          <w:b/>
          <w:bCs/>
          <w:color w:val="1F2937"/>
          <w:sz w:val="21"/>
          <w:szCs w:val="21"/>
        </w:rPr>
        <w:t xml:space="preserve">7. Matriks Ubat Alternatif: </w:t>
      </w:r>
      <w:r>
        <w:rPr>
          <w:rFonts w:ascii="Segoe UI" w:cs="Segoe UI" w:eastAsia="Segoe UI" w:hAnsi="Segoe UI"/>
          <w:color w:val="1F2937"/>
          <w:sz w:val="21"/>
          <w:szCs w:val="21"/>
        </w:rPr>
        <w:t xml:space="preserve">Matriks ubat pengganti setara kelas atau lini kedua semasa berlaku ketiadaan bekalan.</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Sub-Menu MyFormulari di Module Hub — Menampilkan 4 Kad Metrik Utama dan 7 Pilihan Sub-Modul Klinikal</w:t>
      </w:r>
    </w:p>
    <w:p>
      <w:pPr>
        <w:pStyle w:val="Heading1"/>
        <w:spacing w:after="180" w:before="360"/>
        <w:rPr>
          <w:rFonts w:ascii="Segoe UI" w:cs="Segoe UI" w:eastAsia="Segoe UI" w:hAnsi="Segoe UI"/>
          <w:b/>
          <w:bCs/>
          <w:color w:val="1E3A8A"/>
          <w:sz w:val="32"/>
          <w:szCs w:val="32"/>
        </w:rPr>
      </w:pPr>
      <w:r>
        <w:t xml:space="preserve">BAB 3: PAPAN PEMUKA CARIAN &amp; PENAPISAN FUKKM</w:t>
      </w:r>
    </w:p>
    <w:p>
      <w:pPr>
        <w:spacing w:after="100" w:before="60"/>
        <w:jc w:val="left"/>
      </w:pPr>
      <w:r>
        <w:rPr>
          <w:rFonts w:ascii="Segoe UI" w:cs="Segoe UI" w:eastAsia="Segoe UI" w:hAnsi="Segoe UI"/>
          <w:b w:val="false"/>
          <w:bCs w:val="false"/>
          <w:i w:val="false"/>
          <w:iCs w:val="false"/>
          <w:color w:val="1F2937"/>
          <w:sz w:val="21"/>
          <w:szCs w:val="21"/>
        </w:rPr>
        <w:t xml:space="preserve">Halaman Papan Pemuka Carian (/formulari/dashboard) membolehkan anggota klinikal mencari dan menapis lebih 1,420 ubat berdaftar dengan pantas.</w:t>
      </w:r>
    </w:p>
    <w:p>
      <w:pPr>
        <w:pStyle w:val="Heading2"/>
        <w:spacing w:after="120" w:before="260"/>
        <w:rPr>
          <w:rFonts w:ascii="Segoe UI" w:cs="Segoe UI" w:eastAsia="Segoe UI" w:hAnsi="Segoe UI"/>
          <w:b/>
          <w:bCs/>
          <w:color w:val="6D28D9"/>
          <w:sz w:val="24"/>
          <w:szCs w:val="24"/>
        </w:rPr>
      </w:pPr>
      <w:r>
        <w:t xml:space="preserve">3.1 Panduan Penggunaan Bar Carian &amp; Penapis</w:t>
      </w:r>
    </w:p>
    <w:p>
      <w:pPr>
        <w:pStyle w:val="ListParagraph"/>
        <w:numPr>
          <w:ilvl w:val="0"/>
          <w:numId w:val="1"/>
        </w:numPr>
        <w:spacing w:after="50" w:before="30"/>
      </w:pPr>
      <w:r>
        <w:rPr>
          <w:rFonts w:ascii="Segoe UI" w:cs="Segoe UI" w:eastAsia="Segoe UI" w:hAnsi="Segoe UI"/>
          <w:b/>
          <w:bCs/>
          <w:color w:val="1F2937"/>
          <w:sz w:val="21"/>
          <w:szCs w:val="21"/>
        </w:rPr>
        <w:t xml:space="preserve">1. Kotak Carian Pintar: </w:t>
      </w:r>
      <w:r>
        <w:rPr>
          <w:rFonts w:ascii="Segoe UI" w:cs="Segoe UI" w:eastAsia="Segoe UI" w:hAnsi="Segoe UI"/>
          <w:color w:val="1F2937"/>
          <w:sz w:val="21"/>
          <w:szCs w:val="21"/>
        </w:rPr>
        <w:t xml:space="preserve">Taip mana-mana nama generik (contoh: "ceftriaxone", "amoxicillin", "furosemide") atau nama jenama dagang.</w:t>
      </w:r>
    </w:p>
    <w:p>
      <w:pPr>
        <w:pStyle w:val="ListParagraph"/>
        <w:numPr>
          <w:ilvl w:val="0"/>
          <w:numId w:val="1"/>
        </w:numPr>
        <w:spacing w:after="50" w:before="30"/>
      </w:pPr>
      <w:r>
        <w:rPr>
          <w:rFonts w:ascii="Segoe UI" w:cs="Segoe UI" w:eastAsia="Segoe UI" w:hAnsi="Segoe UI"/>
          <w:b/>
          <w:bCs/>
          <w:color w:val="1F2937"/>
          <w:sz w:val="21"/>
          <w:szCs w:val="21"/>
        </w:rPr>
        <w:t xml:space="preserve">2. Penapis Preskriber: </w:t>
      </w:r>
      <w:r>
        <w:rPr>
          <w:rFonts w:ascii="Segoe UI" w:cs="Segoe UI" w:eastAsia="Segoe UI" w:hAnsi="Segoe UI"/>
          <w:color w:val="1F2937"/>
          <w:sz w:val="21"/>
          <w:szCs w:val="21"/>
        </w:rPr>
        <w:t xml:space="preserve">Pilih kategori preskriber yang diingini (SEMUA, A*, A, A/KK, B, C, C+) untuk menyaring kelayakan preskripsi.</w:t>
      </w:r>
    </w:p>
    <w:p>
      <w:pPr>
        <w:pStyle w:val="ListParagraph"/>
        <w:numPr>
          <w:ilvl w:val="0"/>
          <w:numId w:val="1"/>
        </w:numPr>
        <w:spacing w:after="50" w:before="30"/>
      </w:pPr>
      <w:r>
        <w:rPr>
          <w:rFonts w:ascii="Segoe UI" w:cs="Segoe UI" w:eastAsia="Segoe UI" w:hAnsi="Segoe UI"/>
          <w:b/>
          <w:bCs/>
          <w:color w:val="1F2937"/>
          <w:sz w:val="21"/>
          <w:szCs w:val="21"/>
        </w:rPr>
        <w:t xml:space="preserve">3. Suis Penapis Keselamatan: </w:t>
      </w:r>
      <w:r>
        <w:rPr>
          <w:rFonts w:ascii="Segoe UI" w:cs="Segoe UI" w:eastAsia="Segoe UI" w:hAnsi="Segoe UI"/>
          <w:color w:val="1F2937"/>
          <w:sz w:val="21"/>
          <w:szCs w:val="21"/>
        </w:rPr>
        <w:t xml:space="preserve">Tandakan penapis khas untuk melihat ubat HAM sahaja, ubat LASA sahaja, antibiotik NAG sahaja, atau ubat yang berstatus stok rendah.</w:t>
      </w:r>
    </w:p>
    <w:p>
      <w:pPr>
        <w:pStyle w:val="ListParagraph"/>
        <w:numPr>
          <w:ilvl w:val="0"/>
          <w:numId w:val="1"/>
        </w:numPr>
        <w:spacing w:after="50" w:before="30"/>
      </w:pPr>
      <w:r>
        <w:rPr>
          <w:rFonts w:ascii="Segoe UI" w:cs="Segoe UI" w:eastAsia="Segoe UI" w:hAnsi="Segoe UI"/>
          <w:b/>
          <w:bCs/>
          <w:color w:val="1F2937"/>
          <w:sz w:val="21"/>
          <w:szCs w:val="21"/>
        </w:rPr>
        <w:t xml:space="preserve">4. Suis Mod Paparan (Table / Grid): </w:t>
      </w:r>
      <w:r>
        <w:rPr>
          <w:rFonts w:ascii="Segoe UI" w:cs="Segoe UI" w:eastAsia="Segoe UI" w:hAnsi="Segoe UI"/>
          <w:color w:val="1F2937"/>
          <w:sz w:val="21"/>
          <w:szCs w:val="21"/>
        </w:rPr>
        <w:t xml:space="preserve">Klik butang ikon di penjuru kanan atas untuk bertukar antara paparan jadual data atau grid kad visual.</w:t>
      </w:r>
    </w:p>
    <w:p>
      <w:pPr>
        <w:pStyle w:val="Heading2"/>
        <w:spacing w:after="120" w:before="260"/>
        <w:rPr>
          <w:rFonts w:ascii="Segoe UI" w:cs="Segoe UI" w:eastAsia="Segoe UI" w:hAnsi="Segoe UI"/>
          <w:b/>
          <w:bCs/>
          <w:color w:val="6D28D9"/>
          <w:sz w:val="24"/>
          <w:szCs w:val="24"/>
        </w:rPr>
      </w:pPr>
      <w:r>
        <w:t xml:space="preserve">3.2 Matriks Kuasa Preskriber KKM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E3A8A" w:val="clear"/>
            <w:tcMar>
              <w:top w:type="dxa" w:w="100"/>
              <w:left w:type="dxa" w:w="120"/>
              <w:bottom w:type="dxa" w:w="100"/>
              <w:right w:type="dxa" w:w="120"/>
            </w:tcMar>
          </w:tcPr>
          <w:p>
            <w:pPr>
              <w:jc w:val="center"/>
            </w:pPr>
            <w:r>
              <w:rPr>
                <w:rFonts w:ascii="Segoe UI" w:cs="Segoe UI" w:eastAsia="Segoe UI" w:hAnsi="Segoe UI"/>
                <w:b/>
                <w:bCs/>
                <w:color w:val="FFFFFF"/>
                <w:sz w:val="19"/>
                <w:szCs w:val="19"/>
              </w:rPr>
              <w:t xml:space="preserve">Kategori</w:t>
            </w:r>
          </w:p>
        </w:tc>
        <w:tc>
          <w:tcPr>
            <w:tcW w:type="pct" w:w="38%"/>
            <w:shd w:fill="1E3A8A" w:val="clear"/>
            <w:tcMar>
              <w:top w:type="dxa" w:w="100"/>
              <w:left w:type="dxa" w:w="120"/>
              <w:bottom w:type="dxa" w:w="100"/>
              <w:right w:type="dxa" w:w="120"/>
            </w:tcMar>
          </w:tcPr>
          <w:p>
            <w:pPr>
              <w:jc w:val="center"/>
            </w:pPr>
            <w:r>
              <w:rPr>
                <w:rFonts w:ascii="Segoe UI" w:cs="Segoe UI" w:eastAsia="Segoe UI" w:hAnsi="Segoe UI"/>
                <w:b/>
                <w:bCs/>
                <w:color w:val="FFFFFF"/>
                <w:sz w:val="19"/>
                <w:szCs w:val="19"/>
              </w:rPr>
              <w:t xml:space="preserve">Pangkat / Kelayakan Preskriber</w:t>
            </w:r>
          </w:p>
        </w:tc>
        <w:tc>
          <w:tcPr>
            <w:tcW w:type="pct" w:w="28%"/>
            <w:shd w:fill="1E3A8A" w:val="clear"/>
            <w:tcMar>
              <w:top w:type="dxa" w:w="100"/>
              <w:left w:type="dxa" w:w="120"/>
              <w:bottom w:type="dxa" w:w="100"/>
              <w:right w:type="dxa" w:w="120"/>
            </w:tcMar>
          </w:tcPr>
          <w:p>
            <w:pPr>
              <w:jc w:val="center"/>
            </w:pPr>
            <w:r>
              <w:rPr>
                <w:rFonts w:ascii="Segoe UI" w:cs="Segoe UI" w:eastAsia="Segoe UI" w:hAnsi="Segoe UI"/>
                <w:b/>
                <w:bCs/>
                <w:color w:val="FFFFFF"/>
                <w:sz w:val="19"/>
                <w:szCs w:val="19"/>
              </w:rPr>
              <w:t xml:space="preserve">Tahap Kawalan</w:t>
            </w:r>
          </w:p>
        </w:tc>
        <w:tc>
          <w:tcPr>
            <w:tcW w:type="pct" w:w="22%"/>
            <w:shd w:fill="1E3A8A" w:val="clear"/>
            <w:tcMar>
              <w:top w:type="dxa" w:w="100"/>
              <w:left w:type="dxa" w:w="120"/>
              <w:bottom w:type="dxa" w:w="100"/>
              <w:right w:type="dxa" w:w="120"/>
            </w:tcMar>
          </w:tcPr>
          <w:p>
            <w:pPr>
              <w:jc w:val="center"/>
            </w:pPr>
            <w:r>
              <w:rPr>
                <w:rFonts w:ascii="Segoe UI" w:cs="Segoe UI" w:eastAsia="Segoe UI" w:hAnsi="Segoe UI"/>
                <w:b/>
                <w:bCs/>
                <w:color w:val="FFFFFF"/>
                <w:sz w:val="19"/>
                <w:szCs w:val="19"/>
              </w:rPr>
              <w:t xml:space="preserve">Contoh Ubat</w:t>
            </w:r>
          </w:p>
        </w:tc>
      </w:tr>
      <w:tr>
        <w:tc>
          <w:tcPr>
            <w:tcW w:type="pct" w:w="1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A*</w:t>
            </w:r>
          </w:p>
        </w:tc>
        <w:tc>
          <w:tcPr>
            <w:tcW w:type="pct" w:w="3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Pakar Perunding Kanan / Sub-Kepakaran</w:t>
            </w:r>
          </w:p>
        </w:tc>
        <w:tc>
          <w:tcPr>
            <w:tcW w:type="pct" w:w="2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Kawalan Tertinggi (Specialist Only)</w:t>
            </w:r>
          </w:p>
        </w:tc>
        <w:tc>
          <w:tcPr>
            <w:tcW w:type="pct" w:w="2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Meropenem, Linezolid, Chemotherapy</w:t>
            </w:r>
          </w:p>
        </w:tc>
      </w:tr>
      <w:tr>
        <w:tc>
          <w:tcPr>
            <w:tcW w:type="pct" w:w="1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A</w:t>
            </w:r>
          </w:p>
        </w:tc>
        <w:tc>
          <w:tcPr>
            <w:tcW w:type="pct" w:w="3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Semua Pegawai Perubatan Pakar</w:t>
            </w:r>
          </w:p>
        </w:tc>
        <w:tc>
          <w:tcPr>
            <w:tcW w:type="pct" w:w="2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Kawalan Pakar Disiplin</w:t>
            </w:r>
          </w:p>
        </w:tc>
        <w:tc>
          <w:tcPr>
            <w:tcW w:type="pct" w:w="2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Ceftriaxone, Enoxaparin, Amiodarone</w:t>
            </w:r>
          </w:p>
        </w:tc>
      </w:tr>
      <w:tr>
        <w:tc>
          <w:tcPr>
            <w:tcW w:type="pct" w:w="1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A/KK</w:t>
            </w:r>
          </w:p>
        </w:tc>
        <w:tc>
          <w:tcPr>
            <w:tcW w:type="pct" w:w="3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Pakar Hospital &amp; Pakar Family Medicine (FMS)</w:t>
            </w:r>
          </w:p>
        </w:tc>
        <w:tc>
          <w:tcPr>
            <w:tcW w:type="pct" w:w="2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Pakar Hospital &amp; Klinik Kesihatan</w:t>
            </w:r>
          </w:p>
        </w:tc>
        <w:tc>
          <w:tcPr>
            <w:tcW w:type="pct" w:w="2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Insulin Glargine, Telmisartan</w:t>
            </w:r>
          </w:p>
        </w:tc>
      </w:tr>
      <w:tr>
        <w:tc>
          <w:tcPr>
            <w:tcW w:type="pct" w:w="1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B</w:t>
            </w:r>
          </w:p>
        </w:tc>
        <w:tc>
          <w:tcPr>
            <w:tcW w:type="pct" w:w="3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Semua Pegawai Perubatan (MO)</w:t>
            </w:r>
          </w:p>
        </w:tc>
        <w:tc>
          <w:tcPr>
            <w:tcW w:type="pct" w:w="2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Preskripsi Am Doktor</w:t>
            </w:r>
          </w:p>
        </w:tc>
        <w:tc>
          <w:tcPr>
            <w:tcW w:type="pct" w:w="2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Amoxicillin/Clav, Metformin, Amlodipine</w:t>
            </w:r>
          </w:p>
        </w:tc>
      </w:tr>
      <w:tr>
        <w:tc>
          <w:tcPr>
            <w:tcW w:type="pct" w:w="1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C</w:t>
            </w:r>
          </w:p>
        </w:tc>
        <w:tc>
          <w:tcPr>
            <w:tcW w:type="pct" w:w="3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Pegawai Perubatan, PPP &amp; Jururawat</w:t>
            </w:r>
          </w:p>
        </w:tc>
        <w:tc>
          <w:tcPr>
            <w:tcW w:type="pct" w:w="2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Rawatan Asas / Dispensari</w:t>
            </w:r>
          </w:p>
        </w:tc>
        <w:tc>
          <w:tcPr>
            <w:tcW w:type="pct" w:w="22%"/>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Segoe UI" w:cs="Segoe UI" w:eastAsia="Segoe UI" w:hAnsi="Segoe UI"/>
                <w:color w:val="1F2937"/>
                <w:sz w:val="18"/>
                <w:szCs w:val="18"/>
              </w:rPr>
              <w:t xml:space="preserve">Paracetamol, ORS, Chlorpheniramine</w:t>
            </w:r>
          </w:p>
        </w:tc>
      </w:tr>
      <w:tr>
        <w:tc>
          <w:tcPr>
            <w:tcW w:type="pct" w:w="1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C+</w:t>
            </w:r>
          </w:p>
        </w:tc>
        <w:tc>
          <w:tcPr>
            <w:tcW w:type="pct" w:w="3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Penggunaan Protokol Kecemasan Khas</w:t>
            </w:r>
          </w:p>
        </w:tc>
        <w:tc>
          <w:tcPr>
            <w:tcW w:type="pct" w:w="2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Kecemasan / Kebenaran Khas</w:t>
            </w:r>
          </w:p>
        </w:tc>
        <w:tc>
          <w:tcPr>
            <w:tcW w:type="pct" w:w="22%"/>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Segoe UI" w:cs="Segoe UI" w:eastAsia="Segoe UI" w:hAnsi="Segoe UI"/>
                <w:color w:val="1F2937"/>
                <w:sz w:val="18"/>
                <w:szCs w:val="18"/>
              </w:rPr>
              <w:t xml:space="preserve">Adrenaline (Anafilaksis), IV Normal Saline</w:t>
            </w:r>
          </w:p>
        </w:tc>
      </w:tr>
    </w:tbl>
    <w:p>
      <w:pPr>
        <w:spacing w:after="100" w:before="60"/>
        <w:jc w:val="left"/>
      </w:pPr>
      <w:r>
        <w:rPr>
          <w:rFonts w:ascii="Segoe UI" w:cs="Segoe UI" w:eastAsia="Segoe UI" w:hAnsi="Segoe UI"/>
          <w:b w:val="false"/>
          <w:bCs w:val="false"/>
          <w:i w:val="false"/>
          <w:iCs w:val="false"/>
          <w:color w:val="1F2937"/>
          <w:sz w:val="21"/>
          <w:szCs w:val="21"/>
        </w:rPr>
        <w:t xml:space="preserve"/>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Papan Pemuka Carian &amp; Pengkatalogan Formulari Ubat (FUKKM Edisi Ke-4) Hospital Lawas</w:t>
      </w:r>
    </w:p>
    <w:p>
      <w:pPr>
        <w:pStyle w:val="Heading1"/>
        <w:spacing w:after="180" w:before="360"/>
        <w:rPr>
          <w:rFonts w:ascii="Segoe UI" w:cs="Segoe UI" w:eastAsia="Segoe UI" w:hAnsi="Segoe UI"/>
          <w:b/>
          <w:bCs/>
          <w:color w:val="1E3A8A"/>
          <w:sz w:val="32"/>
          <w:szCs w:val="32"/>
        </w:rPr>
      </w:pPr>
      <w:r>
        <w:t xml:space="preserve">BAB 4: MONOGRAF KLINIKAL UBAT TERPERINCI</w:t>
      </w:r>
    </w:p>
    <w:p>
      <w:pPr>
        <w:spacing w:after="100" w:before="60"/>
        <w:jc w:val="left"/>
      </w:pPr>
      <w:r>
        <w:rPr>
          <w:rFonts w:ascii="Segoe UI" w:cs="Segoe UI" w:eastAsia="Segoe UI" w:hAnsi="Segoe UI"/>
          <w:b w:val="false"/>
          <w:bCs w:val="false"/>
          <w:i w:val="false"/>
          <w:iCs w:val="false"/>
          <w:color w:val="1F2937"/>
          <w:sz w:val="21"/>
          <w:szCs w:val="21"/>
        </w:rPr>
        <w:t xml:space="preserve">Mengklik mana-mana ubat akan membuka Monograf Klinikal Lengkap (/formulari/drug/:id). Monograf ini disusun secara sistematik ke dalam 8 tab interaktif:</w:t>
      </w:r>
    </w:p>
    <w:p>
      <w:pPr>
        <w:pStyle w:val="ListParagraph"/>
        <w:numPr>
          <w:ilvl w:val="0"/>
          <w:numId w:val="1"/>
        </w:numPr>
        <w:spacing w:after="50" w:before="30"/>
      </w:pPr>
      <w:r>
        <w:rPr>
          <w:rFonts w:ascii="Segoe UI" w:cs="Segoe UI" w:eastAsia="Segoe UI" w:hAnsi="Segoe UI"/>
          <w:b/>
          <w:bCs/>
          <w:color w:val="1F2937"/>
          <w:sz w:val="21"/>
          <w:szCs w:val="21"/>
        </w:rPr>
        <w:t xml:space="preserve">Tab 1: Ringkasan &amp; Indikasi: </w:t>
      </w:r>
      <w:r>
        <w:rPr>
          <w:rFonts w:ascii="Segoe UI" w:cs="Segoe UI" w:eastAsia="Segoe UI" w:hAnsi="Segoe UI"/>
          <w:color w:val="1F2937"/>
          <w:sz w:val="21"/>
          <w:szCs w:val="21"/>
        </w:rPr>
        <w:t xml:space="preserve">Menampilkan kod rasmi KKM, kod ATC, skim perolehan (APPL/CCDP/LP), kategori racun, indikasi klinikal, dan kontraindikasi.</w:t>
      </w:r>
    </w:p>
    <w:p>
      <w:pPr>
        <w:pStyle w:val="ListParagraph"/>
        <w:numPr>
          <w:ilvl w:val="0"/>
          <w:numId w:val="1"/>
        </w:numPr>
        <w:spacing w:after="50" w:before="30"/>
      </w:pPr>
      <w:r>
        <w:rPr>
          <w:rFonts w:ascii="Segoe UI" w:cs="Segoe UI" w:eastAsia="Segoe UI" w:hAnsi="Segoe UI"/>
          <w:b/>
          <w:bCs/>
          <w:color w:val="1F2937"/>
          <w:sz w:val="21"/>
          <w:szCs w:val="21"/>
        </w:rPr>
        <w:t xml:space="preserve">Tab 2: Dos &amp; Pentadbiran: </w:t>
      </w:r>
      <w:r>
        <w:rPr>
          <w:rFonts w:ascii="Segoe UI" w:cs="Segoe UI" w:eastAsia="Segoe UI" w:hAnsi="Segoe UI"/>
          <w:color w:val="1F2937"/>
          <w:sz w:val="21"/>
          <w:szCs w:val="21"/>
        </w:rPr>
        <w:t xml:space="preserve">Dos dewasa, dos pediatrik (mg/kg), laluan pentadbiran, kesan sampingan, dan kalkulator Cockcroft-Gault CrCl terbina dalam.</w:t>
      </w:r>
    </w:p>
    <w:p>
      <w:pPr>
        <w:pStyle w:val="ListParagraph"/>
        <w:numPr>
          <w:ilvl w:val="0"/>
          <w:numId w:val="1"/>
        </w:numPr>
        <w:spacing w:after="50" w:before="30"/>
      </w:pPr>
      <w:r>
        <w:rPr>
          <w:rFonts w:ascii="Segoe UI" w:cs="Segoe UI" w:eastAsia="Segoe UI" w:hAnsi="Segoe UI"/>
          <w:b/>
          <w:bCs/>
          <w:color w:val="1F2937"/>
          <w:sz w:val="21"/>
          <w:szCs w:val="21"/>
        </w:rPr>
        <w:t xml:space="preserve">Tab 3: Kehamilan &amp; Penyusuan: </w:t>
      </w:r>
      <w:r>
        <w:rPr>
          <w:rFonts w:ascii="Segoe UI" w:cs="Segoe UI" w:eastAsia="Segoe UI" w:hAnsi="Segoe UI"/>
          <w:color w:val="1F2937"/>
          <w:sz w:val="21"/>
          <w:szCs w:val="21"/>
        </w:rPr>
        <w:t xml:space="preserve">Status Kehamilan (BOLEH / WASPADA / DILARANG) dengan penerangan trimester, kategori FDA (A/B/C/D/X), status penyusuan ibu, dan alternatif selamat.</w:t>
      </w:r>
    </w:p>
    <w:p>
      <w:pPr>
        <w:pStyle w:val="ListParagraph"/>
        <w:numPr>
          <w:ilvl w:val="0"/>
          <w:numId w:val="1"/>
        </w:numPr>
        <w:spacing w:after="50" w:before="30"/>
      </w:pPr>
      <w:r>
        <w:rPr>
          <w:rFonts w:ascii="Segoe UI" w:cs="Segoe UI" w:eastAsia="Segoe UI" w:hAnsi="Segoe UI"/>
          <w:b/>
          <w:bCs/>
          <w:color w:val="1F2937"/>
          <w:sz w:val="21"/>
          <w:szCs w:val="21"/>
        </w:rPr>
        <w:t xml:space="preserve">Tab 4: Amaran &amp; Keselamatan HAM/LASA: </w:t>
      </w:r>
      <w:r>
        <w:rPr>
          <w:rFonts w:ascii="Segoe UI" w:cs="Segoe UI" w:eastAsia="Segoe UI" w:hAnsi="Segoe UI"/>
          <w:color w:val="1F2937"/>
          <w:sz w:val="21"/>
          <w:szCs w:val="21"/>
        </w:rPr>
        <w:t xml:space="preserve">Amaran keselamatan pesakit, status HAM, dan pasangan keliru LASA.</w:t>
      </w:r>
    </w:p>
    <w:p>
      <w:pPr>
        <w:pStyle w:val="ListParagraph"/>
        <w:numPr>
          <w:ilvl w:val="0"/>
          <w:numId w:val="1"/>
        </w:numPr>
        <w:spacing w:after="50" w:before="30"/>
      </w:pPr>
      <w:r>
        <w:rPr>
          <w:rFonts w:ascii="Segoe UI" w:cs="Segoe UI" w:eastAsia="Segoe UI" w:hAnsi="Segoe UI"/>
          <w:b/>
          <w:bCs/>
          <w:color w:val="1F2937"/>
          <w:sz w:val="21"/>
          <w:szCs w:val="21"/>
        </w:rPr>
        <w:t xml:space="preserve">Tab 5: Pelarutan IV &amp; Bancuhan: </w:t>
      </w:r>
      <w:r>
        <w:rPr>
          <w:rFonts w:ascii="Segoe UI" w:cs="Segoe UI" w:eastAsia="Segoe UI" w:hAnsi="Segoe UI"/>
          <w:color w:val="1F2937"/>
          <w:sz w:val="21"/>
          <w:szCs w:val="21"/>
        </w:rPr>
        <w:t xml:space="preserve">Kaedah bancuhan vial serbuk, pelarut yang serasi, kepekatan maksima, dan keserasian tiub Y-site.</w:t>
      </w:r>
    </w:p>
    <w:p>
      <w:pPr>
        <w:pStyle w:val="ListParagraph"/>
        <w:numPr>
          <w:ilvl w:val="0"/>
          <w:numId w:val="1"/>
        </w:numPr>
        <w:spacing w:after="50" w:before="30"/>
      </w:pPr>
      <w:r>
        <w:rPr>
          <w:rFonts w:ascii="Segoe UI" w:cs="Segoe UI" w:eastAsia="Segoe UI" w:hAnsi="Segoe UI"/>
          <w:b/>
          <w:bCs/>
          <w:color w:val="1F2937"/>
          <w:sz w:val="21"/>
          <w:szCs w:val="21"/>
        </w:rPr>
        <w:t xml:space="preserve">Tab 6: Jangka Hayat &amp; Storan: </w:t>
      </w:r>
      <w:r>
        <w:rPr>
          <w:rFonts w:ascii="Segoe UI" w:cs="Segoe UI" w:eastAsia="Segoe UI" w:hAnsi="Segoe UI"/>
          <w:color w:val="1F2937"/>
          <w:sz w:val="21"/>
          <w:szCs w:val="21"/>
        </w:rPr>
        <w:t xml:space="preserve">Suhu penyimpanan rasmi, jangka hayat asal, kestabilan selepas dibancuh, dan polisi Multi-Dose Vial (28 hari).</w:t>
      </w:r>
    </w:p>
    <w:p>
      <w:pPr>
        <w:pStyle w:val="ListParagraph"/>
        <w:numPr>
          <w:ilvl w:val="0"/>
          <w:numId w:val="1"/>
        </w:numPr>
        <w:spacing w:after="50" w:before="30"/>
      </w:pPr>
      <w:r>
        <w:rPr>
          <w:rFonts w:ascii="Segoe UI" w:cs="Segoe UI" w:eastAsia="Segoe UI" w:hAnsi="Segoe UI"/>
          <w:b/>
          <w:bCs/>
          <w:color w:val="1F2937"/>
          <w:sz w:val="21"/>
          <w:szCs w:val="21"/>
        </w:rPr>
        <w:t xml:space="preserve">Tab 7: Panduan NAG (Antimikrobial): </w:t>
      </w:r>
      <w:r>
        <w:rPr>
          <w:rFonts w:ascii="Segoe UI" w:cs="Segoe UI" w:eastAsia="Segoe UI" w:hAnsi="Segoe UI"/>
          <w:color w:val="1F2937"/>
          <w:sz w:val="21"/>
          <w:szCs w:val="21"/>
        </w:rPr>
        <w:t xml:space="preserve">Tingkatan sekatan NAG (Free/Restricted/Reserve), kriteria tukar IV-ke-Oral, dan semakan 72 jam AMS.</w:t>
      </w:r>
    </w:p>
    <w:p>
      <w:pPr>
        <w:pStyle w:val="ListParagraph"/>
        <w:numPr>
          <w:ilvl w:val="0"/>
          <w:numId w:val="1"/>
        </w:numPr>
        <w:spacing w:after="50" w:before="30"/>
      </w:pPr>
      <w:r>
        <w:rPr>
          <w:rFonts w:ascii="Segoe UI" w:cs="Segoe UI" w:eastAsia="Segoe UI" w:hAnsi="Segoe UI"/>
          <w:b/>
          <w:bCs/>
          <w:color w:val="1F2937"/>
          <w:sz w:val="21"/>
          <w:szCs w:val="21"/>
        </w:rPr>
        <w:t xml:space="preserve">Tab 8: Ubat Alternatif: </w:t>
      </w:r>
      <w:r>
        <w:rPr>
          <w:rFonts w:ascii="Segoe UI" w:cs="Segoe UI" w:eastAsia="Segoe UI" w:hAnsi="Segoe UI"/>
          <w:color w:val="1F2937"/>
          <w:sz w:val="21"/>
          <w:szCs w:val="21"/>
        </w:rPr>
        <w:t xml:space="preserve">Cadangan ubat pengganti setara terapeutik sekiranya ubat mengalami kehabisan bekalan.</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Monograf Klinikal Ubat (Ceftriaxone Sodium 1g Injection) — Tab Ringkasan, Indikasi &amp; Kategori Preskriber</w:t>
      </w:r>
    </w:p>
    <w:p>
      <w:pPr>
        <w:pStyle w:val="Heading2"/>
        <w:spacing w:after="120" w:before="260"/>
        <w:rPr>
          <w:rFonts w:ascii="Segoe UI" w:cs="Segoe UI" w:eastAsia="Segoe UI" w:hAnsi="Segoe UI"/>
          <w:b/>
          <w:bCs/>
          <w:color w:val="6D28D9"/>
          <w:sz w:val="24"/>
          <w:szCs w:val="24"/>
        </w:rPr>
      </w:pPr>
      <w:r>
        <w:t xml:space="preserve">4.1 Panduan Keselamatan Kehamilan &amp; Penyusuan Ibu</w:t>
      </w:r>
    </w:p>
    <w:p>
      <w:pPr>
        <w:spacing w:after="100" w:before="60"/>
        <w:jc w:val="left"/>
      </w:pPr>
      <w:r>
        <w:rPr>
          <w:rFonts w:ascii="Segoe UI" w:cs="Segoe UI" w:eastAsia="Segoe UI" w:hAnsi="Segoe UI"/>
          <w:b w:val="false"/>
          <w:bCs w:val="false"/>
          <w:i w:val="false"/>
          <w:iCs w:val="false"/>
          <w:color w:val="1F2937"/>
          <w:sz w:val="21"/>
          <w:szCs w:val="21"/>
        </w:rPr>
        <w:t xml:space="preserve">Tab Kehamilan &amp; Penyusuan memberikan status Crystal Clear yang mudah difahami oleh preskriber bagi mengelakkan risiko teratogenik kepada janin dan bayi:</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Tab Kehamilan &amp; Penyusuan — Status Keselamatan Trimester, Nasihat Pemantauan Bayi &amp; Alternatif Selamat</w:t>
      </w:r>
    </w:p>
    <w:p>
      <w:pPr>
        <w:pStyle w:val="Heading1"/>
        <w:spacing w:after="180" w:before="360"/>
        <w:rPr>
          <w:rFonts w:ascii="Segoe UI" w:cs="Segoe UI" w:eastAsia="Segoe UI" w:hAnsi="Segoe UI"/>
          <w:b/>
          <w:bCs/>
          <w:color w:val="1E3A8A"/>
          <w:sz w:val="32"/>
          <w:szCs w:val="32"/>
        </w:rPr>
      </w:pPr>
      <w:r>
        <w:t xml:space="preserve">BAB 5: PENGENDALIAN UBAT BERISIKO TINGGI (HAM)</w:t>
      </w:r>
    </w:p>
    <w:p>
      <w:pPr>
        <w:spacing w:after="100" w:before="60"/>
        <w:jc w:val="left"/>
      </w:pPr>
      <w:r>
        <w:rPr>
          <w:rFonts w:ascii="Segoe UI" w:cs="Segoe UI" w:eastAsia="Segoe UI" w:hAnsi="Segoe UI"/>
          <w:b w:val="false"/>
          <w:bCs w:val="false"/>
          <w:i w:val="false"/>
          <w:iCs w:val="false"/>
          <w:color w:val="1F2937"/>
          <w:sz w:val="21"/>
          <w:szCs w:val="21"/>
        </w:rPr>
        <w:t xml:space="preserve">Halaman Senarai Ubat Berisiko Tinggi (/formulari/ham) menyenaraikan semua ubat yang memerlukan kawalan rapi bagi mengelakkan kemudaratan maut kepada pesakit.</w:t>
      </w:r>
    </w:p>
    <w:p>
      <w:pPr>
        <w:pStyle w:val="Heading2"/>
        <w:spacing w:after="120" w:before="260"/>
        <w:rPr>
          <w:rFonts w:ascii="Segoe UI" w:cs="Segoe UI" w:eastAsia="Segoe UI" w:hAnsi="Segoe UI"/>
          <w:b/>
          <w:bCs/>
          <w:color w:val="6D28D9"/>
          <w:sz w:val="24"/>
          <w:szCs w:val="24"/>
        </w:rPr>
      </w:pPr>
      <w:r>
        <w:t xml:space="preserve">5.1 4 Prinsip Wajib Pengendalian HAM di Wad &amp; Unit</w:t>
      </w:r>
    </w:p>
    <w:p>
      <w:pPr>
        <w:pStyle w:val="ListParagraph"/>
        <w:numPr>
          <w:ilvl w:val="0"/>
          <w:numId w:val="1"/>
        </w:numPr>
        <w:spacing w:after="50" w:before="30"/>
      </w:pPr>
      <w:r>
        <w:rPr>
          <w:rFonts w:ascii="Segoe UI" w:cs="Segoe UI" w:eastAsia="Segoe UI" w:hAnsi="Segoe UI"/>
          <w:b/>
          <w:bCs/>
          <w:color w:val="1F2937"/>
          <w:sz w:val="21"/>
          <w:szCs w:val="21"/>
        </w:rPr>
        <w:t xml:space="preserve">1. Label Merah Mandatori: </w:t>
      </w:r>
      <w:r>
        <w:rPr>
          <w:rFonts w:ascii="Segoe UI" w:cs="Segoe UI" w:eastAsia="Segoe UI" w:hAnsi="Segoe UI"/>
          <w:color w:val="1F2937"/>
          <w:sz w:val="21"/>
          <w:szCs w:val="21"/>
        </w:rPr>
        <w:t xml:space="preserve">Semua ampul, botol infusi, dan picagari HAM mesti dilekatkan pelekat merah menyala berlabel "HIGH ALERT MEDICATION".</w:t>
      </w:r>
    </w:p>
    <w:p>
      <w:pPr>
        <w:pStyle w:val="ListParagraph"/>
        <w:numPr>
          <w:ilvl w:val="0"/>
          <w:numId w:val="1"/>
        </w:numPr>
        <w:spacing w:after="50" w:before="30"/>
      </w:pPr>
      <w:r>
        <w:rPr>
          <w:rFonts w:ascii="Segoe UI" w:cs="Segoe UI" w:eastAsia="Segoe UI" w:hAnsi="Segoe UI"/>
          <w:b/>
          <w:bCs/>
          <w:color w:val="1F2937"/>
          <w:sz w:val="21"/>
          <w:szCs w:val="21"/>
        </w:rPr>
        <w:t xml:space="preserve">2. Pengasingan Storan Berkunci: </w:t>
      </w:r>
      <w:r>
        <w:rPr>
          <w:rFonts w:ascii="Segoe UI" w:cs="Segoe UI" w:eastAsia="Segoe UI" w:hAnsi="Segoe UI"/>
          <w:color w:val="1F2937"/>
          <w:sz w:val="21"/>
          <w:szCs w:val="21"/>
        </w:rPr>
        <w:t xml:space="preserve">Elektrolit pekat dan NMBA DILARANG disimpan di meja rawatan terbuka. Mesti disimpan dalam laci/loker berkunci khas.</w:t>
      </w:r>
    </w:p>
    <w:p>
      <w:pPr>
        <w:pStyle w:val="ListParagraph"/>
        <w:numPr>
          <w:ilvl w:val="0"/>
          <w:numId w:val="1"/>
        </w:numPr>
        <w:spacing w:after="50" w:before="30"/>
      </w:pPr>
      <w:r>
        <w:rPr>
          <w:rFonts w:ascii="Segoe UI" w:cs="Segoe UI" w:eastAsia="Segoe UI" w:hAnsi="Segoe UI"/>
          <w:b/>
          <w:bCs/>
          <w:color w:val="1F2937"/>
          <w:sz w:val="21"/>
          <w:szCs w:val="21"/>
        </w:rPr>
        <w:t xml:space="preserve">3. Independent Double Check (IDC): </w:t>
      </w:r>
      <w:r>
        <w:rPr>
          <w:rFonts w:ascii="Segoe UI" w:cs="Segoe UI" w:eastAsia="Segoe UI" w:hAnsi="Segoe UI"/>
          <w:color w:val="1F2937"/>
          <w:sz w:val="21"/>
          <w:szCs w:val="21"/>
        </w:rPr>
        <w:t xml:space="preserve">Dua jururawat berdaftar atau seorang doktor dan jururawat WAJIB menyemak secara bebas: Nama Pesakit, Nama Ubat, Dos, Kiraan Kepekatan, dan Had Laju Pam Infusi.</w:t>
      </w:r>
    </w:p>
    <w:p>
      <w:pPr>
        <w:pStyle w:val="ListParagraph"/>
        <w:numPr>
          <w:ilvl w:val="0"/>
          <w:numId w:val="1"/>
        </w:numPr>
        <w:spacing w:after="50" w:before="30"/>
      </w:pPr>
      <w:r>
        <w:rPr>
          <w:rFonts w:ascii="Segoe UI" w:cs="Segoe UI" w:eastAsia="Segoe UI" w:hAnsi="Segoe UI"/>
          <w:b/>
          <w:bCs/>
          <w:color w:val="1F2937"/>
          <w:sz w:val="21"/>
          <w:szCs w:val="21"/>
        </w:rPr>
        <w:t xml:space="preserve">4. Larangan Bancuhan Awal: </w:t>
      </w:r>
      <w:r>
        <w:rPr>
          <w:rFonts w:ascii="Segoe UI" w:cs="Segoe UI" w:eastAsia="Segoe UI" w:hAnsi="Segoe UI"/>
          <w:color w:val="1F2937"/>
          <w:sz w:val="21"/>
          <w:szCs w:val="21"/>
        </w:rPr>
        <w:t xml:space="preserve">Dilarang membancuh ubat HAM lebih awal tanpa arahan khusus pesakit tertentu bagi mengelakkan kekeliruan picagari.</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Halaman Senarai Ubat Berisiko Tinggi (HAM) — Menampilkan 4 Prinsip Keselamatan KKM &amp; Daftar Ubat</w:t>
      </w:r>
    </w:p>
    <w:p>
      <w:pPr>
        <w:pStyle w:val="Heading1"/>
        <w:spacing w:after="180" w:before="360"/>
        <w:rPr>
          <w:rFonts w:ascii="Segoe UI" w:cs="Segoe UI" w:eastAsia="Segoe UI" w:hAnsi="Segoe UI"/>
          <w:b/>
          <w:bCs/>
          <w:color w:val="1E3A8A"/>
          <w:sz w:val="32"/>
          <w:szCs w:val="32"/>
        </w:rPr>
      </w:pPr>
      <w:r>
        <w:t xml:space="preserve">BAB 6: DAFTAR UBAT LASA &amp; PROTOKOL TALL-MAN LETTERING</w:t>
      </w:r>
    </w:p>
    <w:p>
      <w:pPr>
        <w:spacing w:after="100" w:before="60"/>
        <w:jc w:val="left"/>
      </w:pPr>
      <w:r>
        <w:rPr>
          <w:rFonts w:ascii="Segoe UI" w:cs="Segoe UI" w:eastAsia="Segoe UI" w:hAnsi="Segoe UI"/>
          <w:b w:val="false"/>
          <w:bCs w:val="false"/>
          <w:i w:val="false"/>
          <w:iCs w:val="false"/>
          <w:color w:val="1F2937"/>
          <w:sz w:val="21"/>
          <w:szCs w:val="21"/>
        </w:rPr>
        <w:t xml:space="preserve">Halaman Daftar Ubat LASA (/formulari/lasa) memaparkan pasangan ubat rupa serupa / bunyi serupa dengan penonjolan huruf TALL-man untuk mengelakkan kesilapan pendispensan di farmasi dan wad.</w:t>
      </w:r>
    </w:p>
    <w:p>
      <w:pPr>
        <w:pStyle w:val="Heading2"/>
        <w:spacing w:after="120" w:before="260"/>
        <w:rPr>
          <w:rFonts w:ascii="Segoe UI" w:cs="Segoe UI" w:eastAsia="Segoe UI" w:hAnsi="Segoe UI"/>
          <w:b/>
          <w:bCs/>
          <w:color w:val="6D28D9"/>
          <w:sz w:val="24"/>
          <w:szCs w:val="24"/>
        </w:rPr>
      </w:pPr>
      <w:r>
        <w:t xml:space="preserve">6.1 Contoh Pasangan LASA &amp; Pengasingan Storan</w:t>
      </w:r>
    </w:p>
    <w:p>
      <w:pPr>
        <w:pStyle w:val="ListParagraph"/>
        <w:numPr>
          <w:ilvl w:val="0"/>
          <w:numId w:val="1"/>
        </w:numPr>
        <w:spacing w:after="50" w:before="30"/>
      </w:pPr>
      <w:r>
        <w:rPr>
          <w:rFonts w:ascii="Segoe UI" w:cs="Segoe UI" w:eastAsia="Segoe UI" w:hAnsi="Segoe UI"/>
          <w:b/>
          <w:bCs/>
          <w:color w:val="1F2937"/>
          <w:sz w:val="21"/>
          <w:szCs w:val="21"/>
        </w:rPr>
        <w:t xml:space="preserve">• DOBUTamine vs DOPAmine: </w:t>
      </w:r>
      <w:r>
        <w:rPr>
          <w:rFonts w:ascii="Segoe UI" w:cs="Segoe UI" w:eastAsia="Segoe UI" w:hAnsi="Segoe UI"/>
          <w:color w:val="1F2937"/>
          <w:sz w:val="21"/>
          <w:szCs w:val="21"/>
        </w:rPr>
        <w:t xml:space="preserve">DOBUTamine (Inotropik) vs DOPAmine (Vasopresor / Inotropik) — Disimpan di laci berasingan dengan penanda warna.</w:t>
      </w:r>
    </w:p>
    <w:p>
      <w:pPr>
        <w:pStyle w:val="ListParagraph"/>
        <w:numPr>
          <w:ilvl w:val="0"/>
          <w:numId w:val="1"/>
        </w:numPr>
        <w:spacing w:after="50" w:before="30"/>
      </w:pPr>
      <w:r>
        <w:rPr>
          <w:rFonts w:ascii="Segoe UI" w:cs="Segoe UI" w:eastAsia="Segoe UI" w:hAnsi="Segoe UI"/>
          <w:b/>
          <w:bCs/>
          <w:color w:val="1F2937"/>
          <w:sz w:val="21"/>
          <w:szCs w:val="21"/>
        </w:rPr>
        <w:t xml:space="preserve">• hydrALAZINE vs hydrOXYzine: </w:t>
      </w:r>
      <w:r>
        <w:rPr>
          <w:rFonts w:ascii="Segoe UI" w:cs="Segoe UI" w:eastAsia="Segoe UI" w:hAnsi="Segoe UI"/>
          <w:color w:val="1F2937"/>
          <w:sz w:val="21"/>
          <w:szCs w:val="21"/>
        </w:rPr>
        <w:t xml:space="preserve">hydrALAZINE (Vasodilator) vs hydrOXYzine (Antihistamin Sedatif) — Bekas storan warna berbeza.</w:t>
      </w:r>
    </w:p>
    <w:p>
      <w:pPr>
        <w:pStyle w:val="ListParagraph"/>
        <w:numPr>
          <w:ilvl w:val="0"/>
          <w:numId w:val="1"/>
        </w:numPr>
        <w:spacing w:after="50" w:before="30"/>
      </w:pPr>
      <w:r>
        <w:rPr>
          <w:rFonts w:ascii="Segoe UI" w:cs="Segoe UI" w:eastAsia="Segoe UI" w:hAnsi="Segoe UI"/>
          <w:b/>
          <w:bCs/>
          <w:color w:val="1F2937"/>
          <w:sz w:val="21"/>
          <w:szCs w:val="21"/>
        </w:rPr>
        <w:t xml:space="preserve">• predniSONE vs predniSOLONE: </w:t>
      </w:r>
      <w:r>
        <w:rPr>
          <w:rFonts w:ascii="Segoe UI" w:cs="Segoe UI" w:eastAsia="Segoe UI" w:hAnsi="Segoe UI"/>
          <w:color w:val="1F2937"/>
          <w:sz w:val="21"/>
          <w:szCs w:val="21"/>
        </w:rPr>
        <w:t xml:space="preserve">predniSONE vs predniSOLONE — Perbezaan formulasi dan potensi steroid.</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Daftar Pasangan Ubat LASA &amp; Panduan Huruf TALL-Man Lettering KKM</w:t>
      </w:r>
    </w:p>
    <w:p>
      <w:pPr>
        <w:pStyle w:val="Heading1"/>
        <w:spacing w:after="180" w:before="360"/>
        <w:rPr>
          <w:rFonts w:ascii="Segoe UI" w:cs="Segoe UI" w:eastAsia="Segoe UI" w:hAnsi="Segoe UI"/>
          <w:b/>
          <w:bCs/>
          <w:color w:val="1E3A8A"/>
          <w:sz w:val="32"/>
          <w:szCs w:val="32"/>
        </w:rPr>
      </w:pPr>
      <w:r>
        <w:t xml:space="preserve">BAB 7: PUSAT PROTOKOL REKONSTITUSI &amp; PELARUTAN IV</w:t>
      </w:r>
    </w:p>
    <w:p>
      <w:pPr>
        <w:spacing w:after="100" w:before="60"/>
        <w:jc w:val="left"/>
      </w:pPr>
      <w:r>
        <w:rPr>
          <w:rFonts w:ascii="Segoe UI" w:cs="Segoe UI" w:eastAsia="Segoe UI" w:hAnsi="Segoe UI"/>
          <w:b w:val="false"/>
          <w:bCs w:val="false"/>
          <w:i w:val="false"/>
          <w:iCs w:val="false"/>
          <w:color w:val="1F2937"/>
          <w:sz w:val="21"/>
          <w:szCs w:val="21"/>
        </w:rPr>
        <w:t xml:space="preserve">Halaman Protokol Pelarutan IV (/formulari/dilution) menyediakan rujukan lengkap bancuhan ubat suntikan aseptik, pelarut yang serasi (Water for Injection, Normal Saline 0.9%, Dextrose 5%), isipadu sesaran serbuk, kepekatan maksima sekatan cecair, dan keserasian tiub Y-site.</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Pusat Protokol Rekonstitusi, Pelarutan IV &amp; Keserasian Y-Site</w:t>
      </w:r>
    </w:p>
    <w:p>
      <w:pPr>
        <w:pStyle w:val="Heading1"/>
        <w:spacing w:after="180" w:before="360"/>
        <w:rPr>
          <w:rFonts w:ascii="Segoe UI" w:cs="Segoe UI" w:eastAsia="Segoe UI" w:hAnsi="Segoe UI"/>
          <w:b/>
          <w:bCs/>
          <w:color w:val="1E3A8A"/>
          <w:sz w:val="32"/>
          <w:szCs w:val="32"/>
        </w:rPr>
      </w:pPr>
      <w:r>
        <w:t xml:space="preserve">BAB 8: GARIS PANDUAN ANTIMIKROBIAL KEBANGSAAN (NAG 2024)</w:t>
      </w:r>
    </w:p>
    <w:p>
      <w:pPr>
        <w:spacing w:after="100" w:before="60"/>
        <w:jc w:val="left"/>
      </w:pPr>
      <w:r>
        <w:rPr>
          <w:rFonts w:ascii="Segoe UI" w:cs="Segoe UI" w:eastAsia="Segoe UI" w:hAnsi="Segoe UI"/>
          <w:b w:val="false"/>
          <w:bCs w:val="false"/>
          <w:i w:val="false"/>
          <w:iCs w:val="false"/>
          <w:color w:val="1F2937"/>
          <w:sz w:val="21"/>
          <w:szCs w:val="21"/>
        </w:rPr>
        <w:t xml:space="preserve">Halaman Garis Panduan NAG (/formulari/antimicrobial) memaparkan rejimen antibiotik empirik lini pertama dan kedua mengikut sistem badan (Respiratori, Saluran Kencing, Kulit &amp; Tisu Lembut, Sistem Saraf, Intra-Abdominal, Sepsis, dan Profilaksis Surgeri SAP).</w:t>
      </w:r>
    </w:p>
    <w:p>
      <w:pPr>
        <w:pStyle w:val="Heading2"/>
        <w:spacing w:after="120" w:before="260"/>
        <w:rPr>
          <w:rFonts w:ascii="Segoe UI" w:cs="Segoe UI" w:eastAsia="Segoe UI" w:hAnsi="Segoe UI"/>
          <w:b/>
          <w:bCs/>
          <w:color w:val="6D28D9"/>
          <w:sz w:val="24"/>
          <w:szCs w:val="24"/>
        </w:rPr>
      </w:pPr>
      <w:r>
        <w:t xml:space="preserve">8.1 Protokol Semakan 72 Jam Antimicrobial Stewardship (AMS)</w:t>
      </w:r>
    </w:p>
    <w:p>
      <w:pPr>
        <w:pStyle w:val="ListParagraph"/>
        <w:numPr>
          <w:ilvl w:val="0"/>
          <w:numId w:val="1"/>
        </w:numPr>
        <w:spacing w:after="50" w:before="30"/>
      </w:pPr>
      <w:r>
        <w:rPr>
          <w:rFonts w:ascii="Segoe UI" w:cs="Segoe UI" w:eastAsia="Segoe UI" w:hAnsi="Segoe UI"/>
          <w:b/>
          <w:bCs/>
          <w:color w:val="1F2937"/>
          <w:sz w:val="21"/>
          <w:szCs w:val="21"/>
        </w:rPr>
        <w:t xml:space="preserve">Hari 0: </w:t>
      </w:r>
      <w:r>
        <w:rPr>
          <w:rFonts w:ascii="Segoe UI" w:cs="Segoe UI" w:eastAsia="Segoe UI" w:hAnsi="Segoe UI"/>
          <w:color w:val="1F2937"/>
          <w:sz w:val="21"/>
          <w:szCs w:val="21"/>
        </w:rPr>
        <w:t xml:space="preserve">Mulakan antibiotik empirik berspektrum sesuai dan hantar spesimen kultur sebelum dos pertama.</w:t>
      </w:r>
    </w:p>
    <w:p>
      <w:pPr>
        <w:pStyle w:val="ListParagraph"/>
        <w:numPr>
          <w:ilvl w:val="0"/>
          <w:numId w:val="1"/>
        </w:numPr>
        <w:spacing w:after="50" w:before="30"/>
      </w:pPr>
      <w:r>
        <w:rPr>
          <w:rFonts w:ascii="Segoe UI" w:cs="Segoe UI" w:eastAsia="Segoe UI" w:hAnsi="Segoe UI"/>
          <w:b/>
          <w:bCs/>
          <w:color w:val="1F2937"/>
          <w:sz w:val="21"/>
          <w:szCs w:val="21"/>
        </w:rPr>
        <w:t xml:space="preserve">24 - 48 Jam: </w:t>
      </w:r>
      <w:r>
        <w:rPr>
          <w:rFonts w:ascii="Segoe UI" w:cs="Segoe UI" w:eastAsia="Segoe UI" w:hAnsi="Segoe UI"/>
          <w:color w:val="1F2937"/>
          <w:sz w:val="21"/>
          <w:szCs w:val="21"/>
        </w:rPr>
        <w:t xml:space="preserve">Semak keputusan awal pewarnaan Gram dan kultur darah/urin.</w:t>
      </w:r>
    </w:p>
    <w:p>
      <w:pPr>
        <w:pStyle w:val="ListParagraph"/>
        <w:numPr>
          <w:ilvl w:val="0"/>
          <w:numId w:val="1"/>
        </w:numPr>
        <w:spacing w:after="50" w:before="30"/>
      </w:pPr>
      <w:r>
        <w:rPr>
          <w:rFonts w:ascii="Segoe UI" w:cs="Segoe UI" w:eastAsia="Segoe UI" w:hAnsi="Segoe UI"/>
          <w:b/>
          <w:bCs/>
          <w:color w:val="1F2937"/>
          <w:sz w:val="21"/>
          <w:szCs w:val="21"/>
        </w:rPr>
        <w:t xml:space="preserve">72 Jam (Mandatori): </w:t>
      </w:r>
      <w:r>
        <w:rPr>
          <w:rFonts w:ascii="Segoe UI" w:cs="Segoe UI" w:eastAsia="Segoe UI" w:hAnsi="Segoe UI"/>
          <w:color w:val="1F2937"/>
          <w:sz w:val="21"/>
          <w:szCs w:val="21"/>
        </w:rPr>
        <w:t xml:space="preserve">Lakukan penilaian semula mandatori: De-eskalasi kepada antibiotik berspektrum sempit, laras dos renal, atau tukar kepada antibiotik oral sekiranya pesakit stabil.</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Garis Panduan Antimikrobial Kebangsaan (NAG 2024) Mengikut Sistem Badan</w:t>
      </w:r>
    </w:p>
    <w:p>
      <w:pPr>
        <w:pStyle w:val="Heading1"/>
        <w:spacing w:after="180" w:before="360"/>
        <w:rPr>
          <w:rFonts w:ascii="Segoe UI" w:cs="Segoe UI" w:eastAsia="Segoe UI" w:hAnsi="Segoe UI"/>
          <w:b/>
          <w:bCs/>
          <w:color w:val="1E3A8A"/>
          <w:sz w:val="32"/>
          <w:szCs w:val="32"/>
        </w:rPr>
      </w:pPr>
      <w:r>
        <w:t xml:space="preserve">BAB 9: PEMANTAUAN KUOTA FASILITI &amp; AMARAN STOK</w:t>
      </w:r>
    </w:p>
    <w:p>
      <w:pPr>
        <w:spacing w:after="100" w:before="60"/>
        <w:jc w:val="left"/>
      </w:pPr>
      <w:r>
        <w:rPr>
          <w:rFonts w:ascii="Segoe UI" w:cs="Segoe UI" w:eastAsia="Segoe UI" w:hAnsi="Segoe UI"/>
          <w:b w:val="false"/>
          <w:bCs w:val="false"/>
          <w:i w:val="false"/>
          <w:iCs w:val="false"/>
          <w:color w:val="1F2937"/>
          <w:sz w:val="21"/>
          <w:szCs w:val="21"/>
        </w:rPr>
        <w:t xml:space="preserve">Halaman Pemantauan Kuota (/formulari/quota) membolehkan pihak farmasi dan pentadbiran hospital menjejak peratusan penggunaan kuota bulanan ubat, paras amaran stok rendah, serta unjuran baki hari sebelum stok habis.</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Halaman Pemantauan Kuota Bulanan Fasiliti &amp; Amaran Stok Rendah</w:t>
      </w:r>
    </w:p>
    <w:p>
      <w:pPr>
        <w:pStyle w:val="Heading1"/>
        <w:spacing w:after="180" w:before="360"/>
        <w:rPr>
          <w:rFonts w:ascii="Segoe UI" w:cs="Segoe UI" w:eastAsia="Segoe UI" w:hAnsi="Segoe UI"/>
          <w:b/>
          <w:bCs/>
          <w:color w:val="1E3A8A"/>
          <w:sz w:val="32"/>
          <w:szCs w:val="32"/>
        </w:rPr>
      </w:pPr>
      <w:r>
        <w:t xml:space="preserve">BAB 10: MATRIKS UBAT ALTERNATIF &amp; SEMAKAN INTERAKSI</w:t>
      </w:r>
    </w:p>
    <w:p>
      <w:pPr>
        <w:spacing w:after="100" w:before="60"/>
        <w:jc w:val="left"/>
      </w:pPr>
      <w:r>
        <w:rPr>
          <w:rFonts w:ascii="Segoe UI" w:cs="Segoe UI" w:eastAsia="Segoe UI" w:hAnsi="Segoe UI"/>
          <w:b w:val="false"/>
          <w:bCs w:val="false"/>
          <w:i w:val="false"/>
          <w:iCs w:val="false"/>
          <w:color w:val="1F2937"/>
          <w:sz w:val="21"/>
          <w:szCs w:val="21"/>
        </w:rPr>
        <w:t xml:space="preserve">Sekiranya berlaku gangguan bekalan ubat, halaman Matriks Ubat Alternatif (/formulari/alternatives) menyarankan ubat pengganti setara terapeutik yang diluluskan KKM.</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Matriks Ubat Alternatif &amp; Cadangan Penggantian Terapeutik KKM</w:t>
      </w:r>
    </w:p>
    <w:p>
      <w:pPr>
        <w:pStyle w:val="Heading2"/>
        <w:spacing w:after="120" w:before="260"/>
        <w:rPr>
          <w:rFonts w:ascii="Segoe UI" w:cs="Segoe UI" w:eastAsia="Segoe UI" w:hAnsi="Segoe UI"/>
          <w:b/>
          <w:bCs/>
          <w:color w:val="6D28D9"/>
          <w:sz w:val="24"/>
          <w:szCs w:val="24"/>
        </w:rPr>
      </w:pPr>
      <w:r>
        <w:t xml:space="preserve">10.1 Alat Semak Interaksi Ubat (Drug Interaction Modal)</w:t>
      </w:r>
    </w:p>
    <w:p>
      <w:pPr>
        <w:spacing w:after="100" w:before="60"/>
        <w:jc w:val="left"/>
      </w:pPr>
      <w:r>
        <w:rPr>
          <w:rFonts w:ascii="Segoe UI" w:cs="Segoe UI" w:eastAsia="Segoe UI" w:hAnsi="Segoe UI"/>
          <w:b w:val="false"/>
          <w:bCs w:val="false"/>
          <w:i w:val="false"/>
          <w:iCs w:val="false"/>
          <w:color w:val="1F2937"/>
          <w:sz w:val="21"/>
          <w:szCs w:val="21"/>
        </w:rPr>
        <w:t xml:space="preserve">Butang "Semak Interaksi Ubat" pada bahagian atas Papan Pemuka membolehkan pengguna memilih 2 atau lebih ubat untuk mengesan interaksi berbahaya secara automatik:</w:t>
      </w:r>
    </w:p>
    <w:p>
      <w:pPr>
        <w:spacing w:after="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143250"/>
                    </a:xfrm>
                    <a:prstGeom prst="rect">
                      <a:avLst/>
                    </a:prstGeom>
                  </pic:spPr>
                </pic:pic>
              </a:graphicData>
            </a:graphic>
          </wp:inline>
        </w:drawing>
      </w:r>
    </w:p>
    <w:p>
      <w:pPr>
        <w:spacing w:after="180" w:before="20"/>
        <w:jc w:val="center"/>
      </w:pPr>
      <w:r>
        <w:rPr>
          <w:rFonts w:ascii="Segoe UI" w:cs="Segoe UI" w:eastAsia="Segoe UI" w:hAnsi="Segoe UI"/>
          <w:b/>
          <w:bCs/>
          <w:i/>
          <w:iCs/>
          <w:color w:val="4B5563"/>
          <w:sz w:val="17"/>
          <w:szCs w:val="17"/>
        </w:rPr>
        <w:t xml:space="preserve">Paparan Sebenar Sistem: Modal Semakan Interaksi Ubat — Mengesan Interaksi Ubat Berbahaya Secara Automatik</w:t>
      </w:r>
    </w:p>
    <w:p>
      <w:pPr>
        <w:pStyle w:val="Heading1"/>
        <w:spacing w:after="180" w:before="360"/>
        <w:rPr>
          <w:rFonts w:ascii="Segoe UI" w:cs="Segoe UI" w:eastAsia="Segoe UI" w:hAnsi="Segoe UI"/>
          <w:b/>
          <w:bCs/>
          <w:color w:val="1E3A8A"/>
          <w:sz w:val="32"/>
          <w:szCs w:val="32"/>
        </w:rPr>
      </w:pPr>
      <w:r>
        <w:t xml:space="preserve">PENGESAHAN &amp; KELULUSAN DOKUMEN</w:t>
      </w:r>
    </w:p>
    <w:p>
      <w:pPr>
        <w:spacing w:after="100" w:before="60"/>
        <w:jc w:val="left"/>
      </w:pPr>
      <w:r>
        <w:rPr>
          <w:rFonts w:ascii="Segoe UI" w:cs="Segoe UI" w:eastAsia="Segoe UI" w:hAnsi="Segoe UI"/>
          <w:b w:val="false"/>
          <w:bCs w:val="false"/>
          <w:i w:val="false"/>
          <w:iCs w:val="false"/>
          <w:color w:val="1F2937"/>
          <w:sz w:val="21"/>
          <w:szCs w:val="21"/>
        </w:rPr>
        <w:t xml:space="preserve">Dokumen Panduan Pengguna Rasmi MyFormulari ini disahkan untuk kegunaan operasi klinikal Hospital Lawas:</w:t>
      </w:r>
    </w:p>
    <w:p>
      <w:pPr>
        <w:spacing w:after="100" w:before="60"/>
        <w:jc w:val="left"/>
      </w:pPr>
      <w:r>
        <w:rPr>
          <w:rFonts w:ascii="Segoe UI" w:cs="Segoe UI" w:eastAsia="Segoe UI" w:hAnsi="Segoe UI"/>
          <w:b w:val="false"/>
          <w:bCs w:val="false"/>
          <w:i w:val="false"/>
          <w:iCs w:val="false"/>
          <w:color w:val="1F2937"/>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1E3A8A" w:sz="6"/>
              <w:left w:val="single" w:color="1E3A8A" w:sz="6"/>
              <w:bottom w:val="single" w:color="1E3A8A" w:sz="6"/>
              <w:right w:val="single" w:color="1E3A8A" w:sz="6"/>
            </w:tcBorders>
            <w:shd w:fill="F8FAFC" w:val="clear"/>
            <w:tcMar>
              <w:top w:type="dxa" w:w="140"/>
              <w:left w:type="dxa" w:w="160"/>
              <w:bottom w:type="dxa" w:w="140"/>
              <w:right w:type="dxa" w:w="160"/>
            </w:tcMar>
          </w:tcPr>
          <w:p>
            <w:pPr>
              <w:spacing w:after="100"/>
            </w:pPr>
            <w:r>
              <w:rPr>
                <w:b/>
                <w:bCs/>
                <w:color w:val="1E3A8A"/>
                <w:sz w:val="19"/>
                <w:szCs w:val="19"/>
              </w:rPr>
              <w:t xml:space="preserve">Disediakan Oleh:</w:t>
            </w:r>
          </w:p>
          <w:p>
            <w:pPr>
              <w:spacing w:after="50"/>
            </w:pPr>
            <w:r>
              <w:rPr>
                <w:color w:val="4B5563"/>
              </w:rPr>
              <w:t xml:space="preserve">........................................................</w:t>
            </w:r>
          </w:p>
          <w:p>
            <w:pPr>
              <w:spacing w:after="30"/>
            </w:pPr>
            <w:r>
              <w:rPr>
                <w:b/>
                <w:bCs/>
                <w:sz w:val="17"/>
                <w:szCs w:val="17"/>
              </w:rPr>
              <w:t xml:space="preserve">PEGAWAI FARMASI KLINIKAL (UF48/UF52)</w:t>
            </w:r>
          </w:p>
          <w:p>
            <w:r>
              <w:rPr>
                <w:color w:val="4B5563"/>
                <w:sz w:val="17"/>
                <w:szCs w:val="17"/>
              </w:rPr>
              <w:t xml:space="preserve">Jabatan Farmasi, Hospital Lawas</w:t>
            </w:r>
          </w:p>
        </w:tc>
        <w:tc>
          <w:tcPr>
            <w:tcBorders>
              <w:top w:val="single" w:color="1E3A8A" w:sz="6"/>
              <w:left w:val="single" w:color="1E3A8A" w:sz="6"/>
              <w:bottom w:val="single" w:color="1E3A8A" w:sz="6"/>
              <w:right w:val="single" w:color="1E3A8A" w:sz="6"/>
            </w:tcBorders>
            <w:shd w:fill="F8FAFC" w:val="clear"/>
            <w:tcMar>
              <w:top w:type="dxa" w:w="140"/>
              <w:left w:type="dxa" w:w="160"/>
              <w:bottom w:type="dxa" w:w="140"/>
              <w:right w:type="dxa" w:w="160"/>
            </w:tcMar>
          </w:tcPr>
          <w:p>
            <w:pPr>
              <w:spacing w:after="100"/>
            </w:pPr>
            <w:r>
              <w:rPr>
                <w:b/>
                <w:bCs/>
                <w:color w:val="1E3A8A"/>
                <w:sz w:val="19"/>
                <w:szCs w:val="19"/>
              </w:rPr>
              <w:t xml:space="preserve">Disemak &amp; Disahkan Oleh:</w:t>
            </w:r>
          </w:p>
          <w:p>
            <w:pPr>
              <w:spacing w:after="50"/>
            </w:pPr>
            <w:r>
              <w:rPr>
                <w:color w:val="4B5563"/>
              </w:rPr>
              <w:t xml:space="preserve">........................................................</w:t>
            </w:r>
          </w:p>
          <w:p>
            <w:pPr>
              <w:spacing w:after="30"/>
            </w:pPr>
            <w:r>
              <w:rPr>
                <w:b/>
                <w:bCs/>
                <w:sz w:val="17"/>
                <w:szCs w:val="17"/>
              </w:rPr>
              <w:t xml:space="preserve">KETUA UNIT FARMASI (UF54)</w:t>
            </w:r>
          </w:p>
          <w:p>
            <w:r>
              <w:rPr>
                <w:color w:val="4B5563"/>
                <w:sz w:val="17"/>
                <w:szCs w:val="17"/>
              </w:rPr>
              <w:t xml:space="preserve">Hospital Lawas, Sarawak</w:t>
            </w:r>
          </w:p>
        </w:tc>
        <w:tc>
          <w:tcPr>
            <w:tcBorders>
              <w:top w:val="single" w:color="1E3A8A" w:sz="6"/>
              <w:left w:val="single" w:color="1E3A8A" w:sz="6"/>
              <w:bottom w:val="single" w:color="1E3A8A" w:sz="6"/>
              <w:right w:val="single" w:color="1E3A8A" w:sz="6"/>
            </w:tcBorders>
            <w:shd w:fill="F8FAFC" w:val="clear"/>
            <w:tcMar>
              <w:top w:type="dxa" w:w="140"/>
              <w:left w:type="dxa" w:w="160"/>
              <w:bottom w:type="dxa" w:w="140"/>
              <w:right w:type="dxa" w:w="160"/>
            </w:tcMar>
          </w:tcPr>
          <w:p>
            <w:pPr>
              <w:spacing w:after="100"/>
            </w:pPr>
            <w:r>
              <w:rPr>
                <w:b/>
                <w:bCs/>
                <w:color w:val="1E3A8A"/>
                <w:sz w:val="19"/>
                <w:szCs w:val="19"/>
              </w:rPr>
              <w:t xml:space="preserve">Diluluskan Oleh:</w:t>
            </w:r>
          </w:p>
          <w:p>
            <w:pPr>
              <w:spacing w:after="50"/>
            </w:pPr>
            <w:r>
              <w:rPr>
                <w:color w:val="4B5563"/>
              </w:rPr>
              <w:t xml:space="preserve">........................................................</w:t>
            </w:r>
          </w:p>
          <w:p>
            <w:pPr>
              <w:spacing w:after="30"/>
            </w:pPr>
            <w:r>
              <w:rPr>
                <w:b/>
                <w:bCs/>
                <w:sz w:val="17"/>
                <w:szCs w:val="17"/>
              </w:rPr>
              <w:t xml:space="preserve">PENGARAH HOSPITAL (GRED UTAMA/UD54)</w:t>
            </w:r>
          </w:p>
          <w:p>
            <w:r>
              <w:rPr>
                <w:color w:val="4B5563"/>
                <w:sz w:val="17"/>
                <w:szCs w:val="17"/>
              </w:rPr>
              <w:t xml:space="preserve">Hospital Lawas, Sarawak</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4B5563"/>
        <w:sz w:val="15"/>
        <w:szCs w:val="15"/>
      </w:rPr>
      <w:t xml:space="preserve">Kementerian Kesihatan Malaysia — Dokumen Kawalan Dalaman</w:t>
    </w:r>
    <w:r>
      <w:rPr>
        <w:rFonts w:ascii="Segoe UI" w:cs="Segoe UI" w:eastAsia="Segoe UI" w:hAnsi="Segoe UI"/>
        <w:color w:val="4B5563"/>
        <w:sz w:val="15"/>
        <w:szCs w:val="15"/>
      </w:rPr>
      <w:t xml:space="preserve">   |   Halaman </w:t>
    </w:r>
    <w:r>
      <w:rPr>
        <w:rFonts w:ascii="Segoe UI" w:cs="Segoe UI" w:eastAsia="Segoe UI" w:hAnsi="Segoe UI"/>
        <w:b/>
        <w:bCs/>
        <w:color w:val="1E3A8A"/>
        <w:sz w:val="15"/>
        <w:szCs w:val="15"/>
      </w:rPr>
      <w:fldChar w:fldCharType="begin"/>
      <w:instrText xml:space="preserve">PAGE</w:instrText>
      <w:fldChar w:fldCharType="separate"/>
      <w:fldChar w:fldCharType="end"/>
    </w:r>
    <w:r>
      <w:rPr>
        <w:rFonts w:ascii="Segoe UI" w:cs="Segoe UI" w:eastAsia="Segoe UI" w:hAnsi="Segoe UI"/>
        <w:color w:val="4B5563"/>
        <w:sz w:val="15"/>
        <w:szCs w:val="15"/>
      </w:rPr>
      <w:t xml:space="preserve"> daripada </w:t>
    </w:r>
    <w:r>
      <w:rPr>
        <w:rFonts w:ascii="Segoe UI" w:cs="Segoe UI" w:eastAsia="Segoe UI" w:hAnsi="Segoe UI"/>
        <w:b/>
        <w:bCs/>
        <w:color w:val="1E3A8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4B5563"/>
        <w:sz w:val="15"/>
        <w:szCs w:val="15"/>
      </w:rPr>
      <w:t xml:space="preserve">H.O.M.E. — Panduan Pengguna Rasmi Modul MyFormulari | KKM Hospital Lawas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af69de875c3c1b607e9cb94704cf4f8dc3ab20.undefined"/><Relationship Id="rId10" Type="http://schemas.openxmlformats.org/officeDocument/2006/relationships/image" Target="media/88a706e924d69e363d077be17a60cc24c304fa28.undefined"/><Relationship Id="rId11" Type="http://schemas.openxmlformats.org/officeDocument/2006/relationships/image" Target="media/c720d8fb9ae706b39e4b70906c6410ecbaadc446.undefined"/><Relationship Id="rId12" Type="http://schemas.openxmlformats.org/officeDocument/2006/relationships/image" Target="media/956f3c98bb112fee42ac939f1edbc342b6868f4e.undefined"/><Relationship Id="rId13" Type="http://schemas.openxmlformats.org/officeDocument/2006/relationships/image" Target="media/d11519728af254df6f4cce2a953e6fd649845926.undefined"/><Relationship Id="rId14" Type="http://schemas.openxmlformats.org/officeDocument/2006/relationships/image" Target="media/60c172cb07ef5aad67041e6dc2d279f797596bf9.undefined"/><Relationship Id="rId15" Type="http://schemas.openxmlformats.org/officeDocument/2006/relationships/image" Target="media/7d3beb7de8c018310475866611e462c49c39f45c.undefined"/><Relationship Id="rId16" Type="http://schemas.openxmlformats.org/officeDocument/2006/relationships/image" Target="media/6c30f0cc9fdaca012b8885a986b0b0b92692108f.undefined"/><Relationship Id="rId17" Type="http://schemas.openxmlformats.org/officeDocument/2006/relationships/image" Target="media/86e2d40c52d0d7259d034c6861afa161a4d52da4.undefined"/><Relationship Id="rId18" Type="http://schemas.openxmlformats.org/officeDocument/2006/relationships/image" Target="media/1080aca5721ddec4cdc275515b664284bd38b10a.undefined"/><Relationship Id="rId19" Type="http://schemas.openxmlformats.org/officeDocument/2006/relationships/image" Target="media/4fa553ac0b36f524ad2bbbc4ed1abf23925fbff5.undefined"/><Relationship Id="rId20" Type="http://schemas.openxmlformats.org/officeDocument/2006/relationships/image" Target="media/e8784db9c84a12189c5494c3e1c942dfefe55fbe.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2026-08-27T14:14:20.939Z</dcterms:created>
  <dcterms:modified xsi:type="dcterms:W3CDTF">2026-08-27T14:14:20.941Z</dcterms:modified>
</cp:coreProperties>
</file>

<file path=docProps/custom.xml><?xml version="1.0" encoding="utf-8"?>
<Properties xmlns="http://schemas.openxmlformats.org/officeDocument/2006/custom-properties" xmlns:vt="http://schemas.openxmlformats.org/officeDocument/2006/docPropsVTypes"/>
</file>