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t>The project involves the development and operation of a 60-megawatt alternating current (MWac) solar photovoltaic (PV) power plant. The technology implemented includes the installation of 78 MW of direct current solar photovoltaic capacity using innovative bifacial modules and a single-axis tracking mounting system. The plant will be equipped with 535 Watt-peak monocrystalline bifacial PV modules for electricity generation, totaling 164,248 PV modules installed on an East-West single-axis tracking system. These features are designed to increase energy generation and decrease the cost per kilowatt-hour (kWh).</w:t>
        <w:br/>
        <w:br/>
        <w:t>The project is located in Kampong Chhnang Province, Cambodia, specifically in Prey Chrov Village, Kbal Toeuk Commune, Toek Phos District. It is approximately 60-70 kilometers from the capital, Phnom Penh, which is a main electricity demand center. The 60 MW solar plant covers an area of 97 hectares within the larger planned 250-hectare National Solar Park. The site is about 60 km linear distance from Phnom Penh and approximately 5 km from Thpong District.</w:t>
        <w:br/>
        <w:br/>
        <w:t>The project is expected to generate GHG emission reductions by supplying Cambodia's electricity grid with clean solar power. This transition to clean energy sources will limit the country's dependence on imported coal and other fossil fuels, thereby delaying or deferring the construction of new coal-fired plants and reducing reliance on hydropower generation. By substituting fossil fuel-based generation with solar energy, the project directly contributes to national emission reduction targets and helps to lower pollution impacts, aligning with Cambodia's Nationally Determined Contribution under the Paris Agreement to reduce GHG emissions from the energy sector.</w:t>
        <w:br/>
        <w:br/>
        <w:t>Prior to the project's implementation, Cambodia's power supply was heavily reliant on hydropower (48% of installed capacity in 2019), coal (24%), diesel, and imports from neighboring countries. The project site itself was a historically modified environment, previously used for commercial cassava plantations, and was later reportedly abandoned. At the time of the assessment, it served as a grass-field and opportunistic grazing area for local villagers. The site is situated outside the historical flood zone. In Kbal Tuek commune, where the plant is located, 22% of households lived below the national poverty line in 2015, and at that time, no households were connected to the national grid, with 61% relying on batteries for electricity.</w:t>
        <w:br/>
        <w:br/>
        <w:t>The project is expected to achieve annual greenhouse gas (GHG) emission reductions of approximately 110,700 tons of carbon dioxide equivalent (tCO2e) per annum. Given the project's 20-year power purchase agreement (PPA) term, the total reductions over its operational lifetime are estimated to be 2,214,000 tCO2e (110,700 tCO2e/year * 20 years).</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r>
              <w:t>24-March-2021</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r>
              <w:t>24-March-2021</w:t>
            </w:r>
          </w:p>
        </w:tc>
        <w:tc>
          <w:tcPr>
            <w:tcW w:w="1728" w:type="dxa"/>
            <w:tcBorders>
              <w:left w:val="single" w:sz="6" w:space="0" w:color="FFFFFF" w:themeColor="background1"/>
            </w:tcBorders>
            <w:shd w:val="clear" w:color="auto" w:fill="F2F2F2" w:themeFill="background1" w:themeFillShade="F2"/>
            <w:tcMar>
              <w:left w:w="105" w:type="dxa"/>
              <w:right w:w="105" w:type="dxa"/>
            </w:tcMar>
          </w:tcPr>
          <w:p>
            <w:r>
              <w:t>ADB/IFC Safeguards &amp; Cambodian EIA</w:t>
            </w:r>
          </w:p>
        </w:tc>
        <w:tc>
          <w:tcPr>
            <w:tcW w:w="2276" w:type="dxa"/>
            <w:tcBorders>
              <w:left w:val="single" w:sz="6" w:space="0" w:color="FFFFFF" w:themeColor="background1"/>
            </w:tcBorders>
            <w:shd w:val="clear" w:color="auto" w:fill="F2F2F2" w:themeFill="background1" w:themeFillShade="F2"/>
            <w:tcMar>
              <w:left w:w="105" w:type="dxa"/>
              <w:right w:w="105" w:type="dxa"/>
            </w:tcMar>
          </w:tcPr>
          <w:p>
            <w:r>
              <w:t>ADB</w:t>
            </w:r>
          </w:p>
        </w:tc>
        <w:tc>
          <w:tcPr>
            <w:tcW w:w="1180" w:type="dxa"/>
            <w:shd w:val="clear" w:color="auto" w:fill="F2F2F2" w:themeFill="background1" w:themeFillShade="F2"/>
            <w:tcMar>
              <w:left w:w="105" w:type="dxa"/>
              <w:right w:w="105" w:type="dxa"/>
            </w:tcMar>
          </w:tcPr>
          <w:p>
            <w:r>
              <w:t>INFO_NOT_FOUND: number of years</w:t>
            </w: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r>
              <w:t>Renewable energy generation - solar PV power plant</w:t>
            </w: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r>
              <w:t>INFO_NOT_FOUND</w:t>
            </w: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r>
              <w:t>Renewable energy generation - solar PV power plant</w:t>
            </w: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3C2E0A04" w14:textId="06A524DA" w:rsidR="4E3F391B" w:rsidRDefault="4E3F391B" w:rsidP="00AD134F">
      <w:pPr>
        <w:pStyle w:val="Instruction"/>
        <w:numPr>
          <w:ilvl w:val="0"/>
          <w:numId w:val="96"/>
        </w:numPr>
        <w:rPr>
          <w:color w:val="4F5150" w:themeColor="text2"/>
          <w:szCs w:val="21"/>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5AECC59F" w14:textId="33ED3803" w:rsidR="4E3F391B" w:rsidRDefault="4E3F391B" w:rsidP="00AD134F">
      <w:pPr>
        <w:pStyle w:val="Instruction"/>
        <w:numPr>
          <w:ilvl w:val="0"/>
          <w:numId w:val="96"/>
        </w:numPr>
        <w:rPr>
          <w:color w:val="4F5150" w:themeColor="text2"/>
          <w:szCs w:val="21"/>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t>The project activity, involving the development and operation of a 60 MWac solar photovoltaic power plant in Kampong Chhnang Province, Cambodia, is included under the scope of the VCS Program as a renewable energy project. It contributes to climate change mitigation by reducing annual greenhouse gas emissions by 110,700 tons of CO2e. No information suggests the project is excluded under Table 2.1 of the VCS Standard. The project, as Phase 1 of the planned 100 MWac Cambodian National Solar Park Project, represents a phased development of a larger activity, not a fragmentation designed to circumvent capacity limits. The remaining 40 MWac capacity will be tendered in a second phase. No specific methodology eligibility for VCS or capacity limits for an applied methodology were detailed in the provided documents, but the project adheres to international and national environmental and social standards. It has undergone an Environmental and Social Impact Assessment (ESIA) and is subject to an Environmental and Social Management Plan (ESMP) in accordance with ADB Safeguard Policy Statement (2009), World Bank Group General EHS (2007), IFC Performance Standards (2012), and Cambodian EIA requirements (Sub-decree No.72, 1999). The project is also categorized for Effective Gender Mainstreaming (EGM) and is consistent with ADB’s Strategy 2030, supporting climate change, poverty reduction, and gender equality.</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r>
        <w:t>[X] Single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r>
        <w:t>[ ] Multiple locations or project activity instances (but not a grouped project)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r>
        <w:t>[ ] Grouped project</w:t>
      </w:r>
    </w:p>
    <w:p w14:paraId="12F68215" w14:textId="7E3F4630" w:rsidR="00244B26" w:rsidRPr="002D46FC" w:rsidRDefault="00862B38" w:rsidP="00720277">
      <w:pPr>
        <w:pStyle w:val="Heading3"/>
      </w:pPr>
      <w:r>
        <w:t>[ ] 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