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14:paraId="08DB0D87" w14:textId="18BA8FB8" w:rsidR="00AC43B5" w:rsidRPr="00A33550" w:rsidRDefault="00576A41" w:rsidP="00AC43B5">
      <w:pPr>
        <w:pStyle w:val="Heading2"/>
      </w:pPr>
      <w:bookmarkStart w:id="14" w:name="_Toc164073100"/>
      <w:r w:rsidRPr="00A33550">
        <w:t>Summary Description of the Project</w:t>
      </w:r>
      <w:bookmarkEnd w:id="14"/>
    </w:p>
    <w:p>
      <w:r>
        <w:t>SECTION_COMPLETE</w:t>
      </w:r>
    </w:p>
    <w:p>
      <w:r>
        <w:t>A summary description of the technologies/measures to be implemented by the project:</w:t>
        <w:br/>
        <w:t>The project involves the development, construction, and operation of a 60 MW alternating current (MWac) utility-scale solar photovoltaic (PV) power plant. It will install 78 MW of direct current solar photovoltaic capacity using innovative bifacial modules and a single-axis tracking mounting system. The plant will be equipped with 164,248 monocrystalline bifacial photovoltaic modules, each rated at 475Wp. The system comprises 20 subsystems, each having a 3150kVA Box \u2013 Transformer, and a total of 343 sets of 175kW string inverters. Measures for climate resilience are integrated into the design, including ensuring the solar park is raised above the highest flood level, strengthening existing drainage canals, and building a storm water retention pond. A fire path break will be constructed around the project boundary, and fire-fighting equipment and trained personnel will be in place.</w:t>
      </w:r>
    </w:p>
    <w:p>
      <w:r>
        <w:t>The location of the project:</w:t>
        <w:br/>
        <w:t>The project is located in Kampong Chhnang Province, Cambodia, specifically in Prey Chrov Village, Kbal Toeuk Commune, Toeuk Phos District. It covers an area of 97 hectares. The site is situated at a linear distance of about 60 km from the capital Phnom Penh and approximately 5 km from Thpong District, with reference coordinates 11.7916\u00b0 North, 104.4047\u00b0 East.</w:t>
      </w:r>
    </w:p>
    <w:p>
      <w:r>
        <w:t>An explanation of how the project is expected to generate GHG emission reductions or carbon dioxide removals:</w:t>
        <w:br/>
        <w:t>The project is expected to generate GHG emission reductions by supplying solar power to Cambodia\u2019s electricity grid. This transition to clean energy sources will limit the country's import dependence on coal and other fossil fuels. It is anticipated to delay or defer the construction of new coal-fired plants and reduce reliance on hydropower generation, especially during dry seasons. By integrating solar energy, the project directly contributes to national emission reduction targets and helps to reduce overall pollution impacts from the energy sector.</w:t>
      </w:r>
    </w:p>
    <w:p>
      <w:r>
        <w:t>A brief description of the scenario existing prior to the implementation of the project:</w:t>
        <w:br/>
        <w:t>Prior to the project's implementation, the land designated for the power plant was primarily used for commercial cassava plantations and was later reportedly abandoned. It was a modified environment consisting mainly of scrubland and paddy fields, disturbed by human activity, and used opportunistically by local villagers for grazing. In 2015, in the Kbal Tuek commune where the plant is located, 22% of households lived below the national poverty line, no households were connected to the grid, and 61% relied on batteries as their primary source of electricity. At a national level, Cambodia's electricity supply in 2017 depended heavily on coal (44%), hydropower (34%), diesel (4%), and power imports (18%), with less than 1% from renewables. The country faced challenges including high electricity costs, dependence on conventional energy sources, and limited and intermittent power supply.</w:t>
      </w:r>
    </w:p>
    <w:p>
      <w:r>
        <w:t>An estimate of annual average and total reductions and removals:</w:t>
        <w:br/>
        <w:t>The project is expected to contribute to climate change mitigation efforts by reducing annual greenhouse gas emissions by 110,700 tons of carbon dioxide (as per Funding Proposal). The operation of the 60 MW solar PV plant will also avoid approximately 84,000 tons of carbon dioxide-equivalent (tCO2e) annually. For a lifetime, the project will contribute to the reduction of emissions up to 1,760,000 tCO2e.</w:t>
      </w:r>
    </w:p>
    <w:p w14:paraId="6242ABEA" w14:textId="29C04F37" w:rsidR="00F925BE" w:rsidRDefault="00F925BE" w:rsidP="00720277">
      <w:pPr>
        <w:pStyle w:val="Heading2"/>
      </w:pPr>
      <w:bookmarkStart w:id="15" w:name="_Toc164073101"/>
      <w:r>
        <w:t>Audit History</w:t>
      </w:r>
      <w:bookmarkEnd w:id="15"/>
      <w:r>
        <w:t xml:space="preserve"> </w:t>
      </w:r>
    </w:p>
    <w:p>
      <w:r>
        <w:t>SECTION_ATTEMPTED</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t>Audit type</w:t>
            </w:r>
          </w:p>
        </w:tc>
        <w:tc>
          <w:tcPr>
            <w:tcW w:type="dxa" w:w="1872"/>
          </w:tcPr>
          <w:p>
            <w:r>
              <w:t>Period</w:t>
            </w:r>
          </w:p>
        </w:tc>
        <w:tc>
          <w:tcPr>
            <w:tcW w:type="dxa" w:w="1872"/>
          </w:tcPr>
          <w:p>
            <w:r>
              <w:t>Program</w:t>
            </w:r>
          </w:p>
        </w:tc>
        <w:tc>
          <w:tcPr>
            <w:tcW w:type="dxa" w:w="1872"/>
          </w:tcPr>
          <w:p>
            <w:r>
              <w:t>Validation/verification body name</w:t>
            </w:r>
          </w:p>
        </w:tc>
        <w:tc>
          <w:tcPr>
            <w:tcW w:type="dxa" w:w="1872"/>
          </w:tcPr>
          <w:p>
            <w:r>
              <w:t>Number of years</w:t>
            </w:r>
          </w:p>
        </w:tc>
      </w:tr>
      <w:tr>
        <w:tc>
          <w:tcPr>
            <w:tcW w:type="dxa" w:w="1872"/>
          </w:tcPr>
          <w:p>
            <w:r>
              <w:t>Validation/verification (Initial Environmental Examination)</w:t>
            </w:r>
          </w:p>
        </w:tc>
        <w:tc>
          <w:tcPr>
            <w:tcW w:type="dxa" w:w="1872"/>
          </w:tcPr>
          <w:p>
            <w:r>
              <w:t>March-2021</w:t>
            </w:r>
          </w:p>
        </w:tc>
        <w:tc>
          <w:tcPr>
            <w:tcW w:type="dxa" w:w="1872"/>
          </w:tcPr>
          <w:p>
            <w:r>
              <w:t>ADB Safeguard Policy Statement (2009), IFC Performance Standards (2012), Cambodian Sub-decree No.72 on Environmental Impact Assessment (EIA)</w:t>
            </w:r>
          </w:p>
        </w:tc>
        <w:tc>
          <w:tcPr>
            <w:tcW w:type="dxa" w:w="1872"/>
          </w:tcPr>
          <w:p>
            <w:r>
              <w:t>Prime Road Alternative (Cambodia) Co. Ltd. (Prepared by), Asian Development Bank (Reviewed/Approved by)</w:t>
            </w:r>
          </w:p>
        </w:tc>
        <w:tc>
          <w:tcPr>
            <w:tcW w:type="dxa" w:w="1872"/>
          </w:tcPr>
          <w:p>
            <w:r>
              <w:t>INFO_NOT_FOUND: Number of years</w:t>
            </w:r>
          </w:p>
        </w:tc>
      </w:tr>
      <w:tr>
        <w:tc>
          <w:tcPr>
            <w:tcW w:type="dxa" w:w="1872"/>
          </w:tcPr>
          <w:p>
            <w:r>
              <w:t>Validation/verification (Environmental and Social Impact Assessment)</w:t>
            </w:r>
          </w:p>
        </w:tc>
        <w:tc>
          <w:tcPr>
            <w:tcW w:type="dxa" w:w="1872"/>
          </w:tcPr>
          <w:p>
            <w:r>
              <w:t>24-March-2021</w:t>
            </w:r>
          </w:p>
        </w:tc>
        <w:tc>
          <w:tcPr>
            <w:tcW w:type="dxa" w:w="1872"/>
          </w:tcPr>
          <w:p>
            <w:r>
              <w:t>ADB Safeguard Policy Statement (2009), IFC Performance Standards (2012), Cambodian Sub-decree No.72 on Environmental Impact Assessment (EIA)</w:t>
            </w:r>
          </w:p>
        </w:tc>
        <w:tc>
          <w:tcPr>
            <w:tcW w:type="dxa" w:w="1872"/>
          </w:tcPr>
          <w:p>
            <w:r>
              <w:t>Prime Road Alternative (Cambodia) Co. Ltd. (Prepared by), Asian Development Bank (Reviewed/Approved by)</w:t>
            </w:r>
          </w:p>
        </w:tc>
        <w:tc>
          <w:tcPr>
            <w:tcW w:type="dxa" w:w="1872"/>
          </w:tcPr>
          <w:p>
            <w:r>
              <w:t>INFO_NOT_FOUND: Number of years</w:t>
            </w:r>
          </w:p>
        </w:tc>
      </w:tr>
      <w:tr>
        <w:tc>
          <w:tcPr>
            <w:tcW w:type="dxa" w:w="1872"/>
          </w:tcPr>
          <w:p>
            <w:r>
              <w:t>Assessment/Review (Land Acquisition Process)</w:t>
            </w:r>
          </w:p>
        </w:tc>
        <w:tc>
          <w:tcPr>
            <w:tcW w:type="dxa" w:w="1872"/>
          </w:tcPr>
          <w:p>
            <w:r>
              <w:t>September-2020</w:t>
            </w:r>
          </w:p>
        </w:tc>
        <w:tc>
          <w:tcPr>
            <w:tcW w:type="dxa" w:w="1872"/>
          </w:tcPr>
          <w:p>
            <w:r>
              <w:t>INFO_NOT_FOUND: Program</w:t>
            </w:r>
          </w:p>
        </w:tc>
        <w:tc>
          <w:tcPr>
            <w:tcW w:type="dxa" w:w="1872"/>
          </w:tcPr>
          <w:p>
            <w:r>
              <w:t>External independent expert (a local law firm) commissioned by Electricité du Cambodge</w:t>
            </w:r>
          </w:p>
        </w:tc>
        <w:tc>
          <w:tcPr>
            <w:tcW w:type="dxa" w:w="1872"/>
          </w:tcPr>
          <w:p>
            <w:r>
              <w:t>INFO_NOT_FOUND: Number of years</w:t>
            </w:r>
          </w:p>
        </w:tc>
      </w:tr>
      <w:tr>
        <w:tc>
          <w:tcPr>
            <w:tcW w:type="dxa" w:w="1872"/>
          </w:tcPr>
          <w:p>
            <w:r>
              <w:t>Clearance/Verification (UXO)</w:t>
            </w:r>
          </w:p>
        </w:tc>
        <w:tc>
          <w:tcPr>
            <w:tcW w:type="dxa" w:w="1872"/>
          </w:tcPr>
          <w:p>
            <w:r>
              <w:t>February-2020--07-December-2020</w:t>
            </w:r>
          </w:p>
        </w:tc>
        <w:tc>
          <w:tcPr>
            <w:tcW w:type="dxa" w:w="1872"/>
          </w:tcPr>
          <w:p>
            <w:r>
              <w:t>INFO_NOT_FOUND: Program</w:t>
            </w:r>
          </w:p>
        </w:tc>
        <w:tc>
          <w:tcPr>
            <w:tcW w:type="dxa" w:w="1872"/>
          </w:tcPr>
          <w:p>
            <w:r>
              <w:t>Cambodian Mine Action and Victim Assistance Authority (CMAC)</w:t>
            </w:r>
          </w:p>
        </w:tc>
        <w:tc>
          <w:tcPr>
            <w:tcW w:type="dxa" w:w="1872"/>
          </w:tcPr>
          <w:p>
            <w:r>
              <w:t>INFO_NOT_FOUND: Number of years</w:t>
            </w:r>
          </w:p>
        </w:tc>
      </w:tr>
      <w:tr>
        <w:tc>
          <w:tcPr>
            <w:tcW w:type="dxa" w:w="1872"/>
          </w:tcPr>
          <w:p>
            <w:r>
              <w:t>Consultation/Public Participation (Village Level)</w:t>
            </w:r>
          </w:p>
        </w:tc>
        <w:tc>
          <w:tcPr>
            <w:tcW w:type="dxa" w:w="1872"/>
          </w:tcPr>
          <w:p>
            <w:r>
              <w:t>27-September-2020</w:t>
            </w:r>
          </w:p>
        </w:tc>
        <w:tc>
          <w:tcPr>
            <w:tcW w:type="dxa" w:w="1872"/>
          </w:tcPr>
          <w:p>
            <w:r>
              <w:t>ADB Safeguard Policy Statement (2009), IFC Performance Standards (2012)</w:t>
            </w:r>
          </w:p>
        </w:tc>
        <w:tc>
          <w:tcPr>
            <w:tcW w:type="dxa" w:w="1872"/>
          </w:tcPr>
          <w:p>
            <w:r>
              <w:t>Young Development Research and Consulting Co. Ltd (YDRC)</w:t>
            </w:r>
          </w:p>
        </w:tc>
        <w:tc>
          <w:tcPr>
            <w:tcW w:type="dxa" w:w="1872"/>
          </w:tcPr>
          <w:p>
            <w:r>
              <w:t>INFO_NOT_FOUND: Number of years</w:t>
            </w:r>
          </w:p>
        </w:tc>
      </w:tr>
      <w:tr>
        <w:tc>
          <w:tcPr>
            <w:tcW w:type="dxa" w:w="1872"/>
          </w:tcPr>
          <w:p>
            <w:r>
              <w:t>Consultation/Public Participation (Provincial Level)</w:t>
            </w:r>
          </w:p>
        </w:tc>
        <w:tc>
          <w:tcPr>
            <w:tcW w:type="dxa" w:w="1872"/>
          </w:tcPr>
          <w:p>
            <w:r>
              <w:t>19-October-2020</w:t>
            </w:r>
          </w:p>
        </w:tc>
        <w:tc>
          <w:tcPr>
            <w:tcW w:type="dxa" w:w="1872"/>
          </w:tcPr>
          <w:p>
            <w:r>
              <w:t>ADB Safeguard Policy Statement (2009), IFC Performance Standards (2012)</w:t>
            </w:r>
          </w:p>
        </w:tc>
        <w:tc>
          <w:tcPr>
            <w:tcW w:type="dxa" w:w="1872"/>
          </w:tcPr>
          <w:p>
            <w:r>
              <w:t>Young Development Research and Consulting Co. Ltd (YDRC)</w:t>
            </w:r>
          </w:p>
        </w:tc>
        <w:tc>
          <w:tcPr>
            <w:tcW w:type="dxa" w:w="1872"/>
          </w:tcPr>
          <w:p>
            <w:r>
              <w:t>INFO_NOT_FOUND: Number of years</w:t>
            </w:r>
          </w:p>
        </w:tc>
      </w:tr>
      <w:tr>
        <w:tc>
          <w:tcPr>
            <w:tcW w:type="dxa" w:w="1872"/>
          </w:tcPr>
          <w:p>
            <w:r>
              <w:t>Consultation/Public Participation (Initial National Solar Park Project)</w:t>
            </w:r>
          </w:p>
        </w:tc>
        <w:tc>
          <w:tcPr>
            <w:tcW w:type="dxa" w:w="1872"/>
          </w:tcPr>
          <w:p>
            <w:r>
              <w:t>May-2018</w:t>
            </w:r>
          </w:p>
        </w:tc>
        <w:tc>
          <w:tcPr>
            <w:tcW w:type="dxa" w:w="1872"/>
          </w:tcPr>
          <w:p>
            <w:r>
              <w:t>INFO_NOT_FOUND: Program</w:t>
            </w:r>
          </w:p>
        </w:tc>
        <w:tc>
          <w:tcPr>
            <w:tcW w:type="dxa" w:w="1872"/>
          </w:tcPr>
          <w:p>
            <w:r>
              <w:t>Electricit\u00e9 du Cambodge's consultants</w:t>
            </w:r>
          </w:p>
        </w:tc>
        <w:tc>
          <w:tcPr>
            <w:tcW w:type="dxa" w:w="1872"/>
          </w:tcPr>
          <w:p>
            <w:r>
              <w:t>INFO_NOT_FOUND: Number of years</w:t>
            </w:r>
          </w:p>
        </w:tc>
      </w:tr>
      <w:tr>
        <w:tc>
          <w:tcPr>
            <w:tcW w:type="dxa" w:w="1872"/>
          </w:tcPr>
          <w:p>
            <w:r>
              <w:t>Consultation/Public Participation (Initial National Solar Park Project)</w:t>
            </w:r>
          </w:p>
        </w:tc>
        <w:tc>
          <w:tcPr>
            <w:tcW w:type="dxa" w:w="1872"/>
          </w:tcPr>
          <w:p>
            <w:r>
              <w:t>July-2018</w:t>
            </w:r>
          </w:p>
        </w:tc>
        <w:tc>
          <w:tcPr>
            <w:tcW w:type="dxa" w:w="1872"/>
          </w:tcPr>
          <w:p>
            <w:r>
              <w:t>INFO_NOT_FOUND: Program</w:t>
            </w:r>
          </w:p>
        </w:tc>
        <w:tc>
          <w:tcPr>
            <w:tcW w:type="dxa" w:w="1872"/>
          </w:tcPr>
          <w:p>
            <w:r>
              <w:t>Electricit\u00e9 du Cambodge's consultants</w:t>
            </w:r>
          </w:p>
        </w:tc>
        <w:tc>
          <w:tcPr>
            <w:tcW w:type="dxa" w:w="1872"/>
          </w:tcPr>
          <w:p>
            <w:r>
              <w:t>INFO_NOT_FOUND: Number of years</w:t>
            </w:r>
          </w:p>
        </w:tc>
      </w:tr>
      <w:tr>
        <w:tc>
          <w:tcPr>
            <w:tcW w:type="dxa" w:w="1872"/>
          </w:tcPr>
          <w:p>
            <w:r>
              <w:t>Monitoring Report (to Lenders)</w:t>
            </w:r>
          </w:p>
        </w:tc>
        <w:tc>
          <w:tcPr>
            <w:tcW w:type="dxa" w:w="1872"/>
          </w:tcPr>
          <w:p>
            <w:r>
              <w:t>Bi-monthly during peak construction; Annually during operation</w:t>
            </w:r>
          </w:p>
        </w:tc>
        <w:tc>
          <w:tcPr>
            <w:tcW w:type="dxa" w:w="1872"/>
          </w:tcPr>
          <w:p>
            <w:r>
              <w:t>ADB/IFC lending requirements, Environmental and Social Management Plan</w:t>
            </w:r>
          </w:p>
        </w:tc>
        <w:tc>
          <w:tcPr>
            <w:tcW w:type="dxa" w:w="1872"/>
          </w:tcPr>
          <w:p>
            <w:r>
              <w:t>Prime Road Alternative (Cambodia) Co. Ltd. (SECU)</w:t>
            </w:r>
          </w:p>
        </w:tc>
        <w:tc>
          <w:tcPr>
            <w:tcW w:type="dxa" w:w="1872"/>
          </w:tcPr>
          <w:p>
            <w:r>
              <w:t>INFO_NOT_FOUND: Number of years</w:t>
            </w:r>
          </w:p>
        </w:tc>
      </w:tr>
      <w:tr>
        <w:tc>
          <w:tcPr>
            <w:tcW w:type="dxa" w:w="1872"/>
          </w:tcPr>
          <w:p>
            <w:r>
              <w:t>Monitoring Report (to NSP EDC's PIC)</w:t>
            </w:r>
          </w:p>
        </w:tc>
        <w:tc>
          <w:tcPr>
            <w:tcW w:type="dxa" w:w="1872"/>
          </w:tcPr>
          <w:p>
            <w:r>
              <w:t>Quarterly during construction; Annually during operation</w:t>
            </w:r>
          </w:p>
        </w:tc>
        <w:tc>
          <w:tcPr>
            <w:tcW w:type="dxa" w:w="1872"/>
          </w:tcPr>
          <w:p>
            <w:r>
              <w:t>Electricit\u00e9 du Cambodge's National Solar Park Project Implementation Consultant (PIC)</w:t>
            </w:r>
          </w:p>
        </w:tc>
        <w:tc>
          <w:tcPr>
            <w:tcW w:type="dxa" w:w="1872"/>
          </w:tcPr>
          <w:p>
            <w:r>
              <w:t>Prime Road Alternative (Cambodia) Co. Ltd. (SECU)</w:t>
            </w:r>
          </w:p>
        </w:tc>
        <w:tc>
          <w:tcPr>
            <w:tcW w:type="dxa" w:w="1872"/>
          </w:tcPr>
          <w:p>
            <w:r>
              <w:t>INFO_NOT_FOUND: Number of years</w:t>
            </w:r>
          </w:p>
        </w:tc>
      </w:tr>
      <w:tr>
        <w:tc>
          <w:tcPr>
            <w:tcW w:type="dxa" w:w="1872"/>
          </w:tcPr>
          <w:p>
            <w:r>
              <w:t>Monitoring Report (to Ministry of Environment)</w:t>
            </w:r>
          </w:p>
        </w:tc>
        <w:tc>
          <w:tcPr>
            <w:tcW w:type="dxa" w:w="1872"/>
          </w:tcPr>
          <w:p>
            <w:r>
              <w:t>Six-month and Annually</w:t>
            </w:r>
          </w:p>
        </w:tc>
        <w:tc>
          <w:tcPr>
            <w:tcW w:type="dxa" w:w="1872"/>
          </w:tcPr>
          <w:p>
            <w:r>
              <w:t>Cambodian Sub-decree on Environmental Impact Assessment Process (1999)</w:t>
            </w:r>
          </w:p>
        </w:tc>
        <w:tc>
          <w:tcPr>
            <w:tcW w:type="dxa" w:w="1872"/>
          </w:tcPr>
          <w:p>
            <w:r>
              <w:t>Prime Road Alternative (Cambodia) Co. Ltd. (SECU)</w:t>
            </w:r>
          </w:p>
        </w:tc>
        <w:tc>
          <w:tcPr>
            <w:tcW w:type="dxa" w:w="1872"/>
          </w:tcPr>
          <w:p>
            <w:r>
              <w:t>INFO_NOT_FOUND: Number of years</w:t>
            </w:r>
          </w:p>
        </w:tc>
      </w:tr>
    </w:tbl>
    <w:p w14:paraId="5815810F" w14:textId="6C06A37F" w:rsidR="00576A41" w:rsidRPr="00A33550" w:rsidRDefault="00576A41" w:rsidP="00576A41">
      <w:pPr>
        <w:pStyle w:val="Heading2"/>
      </w:pPr>
      <w:bookmarkStart w:id="16" w:name="_Toc164073102"/>
      <w:r w:rsidRPr="00A33550">
        <w:t>Sectoral Scope and Project Type</w:t>
      </w:r>
      <w:bookmarkEnd w:id="16"/>
    </w:p>
    <w:p>
      <w:r>
        <w:t>SECTION_ATTEMPTED</w:t>
      </w:r>
    </w:p>
    <w:tbl>
      <w:tblPr>
        <w:tblStyle w:val="TableGrid"/>
        <w:tblW w:type="auto" w:w="0"/>
        <w:tblLook w:firstColumn="1" w:firstRow="1" w:lastColumn="0" w:lastRow="0" w:noHBand="0" w:noVBand="1" w:val="04A0"/>
      </w:tblPr>
      <w:tblGrid>
        <w:gridCol w:w="4680"/>
        <w:gridCol w:w="4680"/>
      </w:tblGrid>
      <w:tr>
        <w:tc>
          <w:tcPr>
            <w:tcW w:type="dxa" w:w="4680"/>
          </w:tcPr>
          <w:p>
            <w:r>
              <w:t>Sectoral scope</w:t>
            </w:r>
          </w:p>
        </w:tc>
        <w:tc>
          <w:tcPr>
            <w:tcW w:type="dxa" w:w="4680"/>
          </w:tcPr>
          <w:p>
            <w:r>
              <w:t>Energy (Renewable energy generation - solar)</w:t>
            </w:r>
          </w:p>
        </w:tc>
      </w:tr>
      <w:tr>
        <w:tc>
          <w:tcPr>
            <w:tcW w:type="dxa" w:w="4680"/>
          </w:tcPr>
          <w:p>
            <w:r>
              <w:t>Project activity type</w:t>
            </w:r>
          </w:p>
        </w:tc>
        <w:tc>
          <w:tcPr>
            <w:tcW w:type="dxa" w:w="4680"/>
          </w:tcPr>
          <w:p>
            <w:r>
              <w:t>Development, construction, and operation of a 60-megawatt alternating current (MWac) utility-scale solar photovoltaic (PV) power plant</w:t>
            </w:r>
          </w:p>
        </w:tc>
      </w:tr>
    </w:tbl>
    <w:p>
      <w:r>
        <w:t>Complete the table below with information relevant for AFOLU projects:</w:t>
      </w:r>
    </w:p>
    <w:tbl>
      <w:tblPr>
        <w:tblStyle w:val="TableGrid"/>
        <w:tblW w:type="auto" w:w="0"/>
        <w:tblLook w:firstColumn="1" w:firstRow="1" w:lastColumn="0" w:lastRow="0" w:noHBand="0" w:noVBand="1" w:val="04A0"/>
      </w:tblPr>
      <w:tblGrid>
        <w:gridCol w:w="4680"/>
        <w:gridCol w:w="4680"/>
      </w:tblGrid>
      <w:tr>
        <w:tc>
          <w:tcPr>
            <w:tcW w:type="dxa" w:w="4680"/>
          </w:tcPr>
          <w:p>
            <w:r>
              <w:t>Sectoral scope</w:t>
            </w:r>
          </w:p>
        </w:tc>
        <w:tc>
          <w:tcPr>
            <w:tcW w:type="dxa" w:w="4680"/>
          </w:tcPr>
          <w:p>
            <w:r>
              <w:t>INFO_NOT_FOUND: Sectoral scope</w:t>
            </w:r>
          </w:p>
        </w:tc>
      </w:tr>
      <w:tr>
        <w:tc>
          <w:tcPr>
            <w:tcW w:type="dxa" w:w="4680"/>
          </w:tcPr>
          <w:p>
            <w:r>
              <w:t>AFOLU project category</w:t>
            </w:r>
          </w:p>
        </w:tc>
        <w:tc>
          <w:tcPr>
            <w:tcW w:type="dxa" w:w="4680"/>
          </w:tcPr>
          <w:p>
            <w:r>
              <w:t>INFO_NOT_FOUND: AFOLU project category</w:t>
            </w:r>
          </w:p>
        </w:tc>
      </w:tr>
      <w:tr>
        <w:tc>
          <w:tcPr>
            <w:tcW w:type="dxa" w:w="4680"/>
          </w:tcPr>
          <w:p>
            <w:r>
              <w:t>Project activity type</w:t>
            </w:r>
          </w:p>
        </w:tc>
        <w:tc>
          <w:tcPr>
            <w:tcW w:type="dxa" w:w="4680"/>
          </w:tcPr>
          <w:p>
            <w:r>
              <w:t>INFO_NOT_FOUND: Project activity type</w:t>
            </w:r>
          </w:p>
        </w:tc>
      </w:tr>
    </w:tbl>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r>
        <w:t>SECTION_ATTEMPTED</w:t>
      </w:r>
    </w:p>
    <w:p>
      <w:r>
        <w:t>General eligibility</w:t>
      </w:r>
    </w:p>
    <w:p>
      <w:r>
        <w:t>The project is a 60-megawatt alternating current (MWac) utility-scale solar photovoltaic (PV) power project in Kampong Chhnang Province, Cambodia, with a total installed direct current solar photovoltaic capacity of 78 MW. The operation of the 60 MW solar PV plant is expected to avoid approximately 84,000 tons of carbon dioxide-equivalent (tCO2e) annually, contributing to a reduction of emissions up to 1,760,000 tCO2e over its lifetime. The project will contribute to climate change mitigation efforts by reducing annual greenhouse gas emissions in the energy sector by 110,700 tons per year (2020 baseline: 0). The project is aligned with Cambodia's Nationally Determined Contribution on climate change under UNFCCC.</w:t>
      </w:r>
    </w:p>
    <w:p>
      <w:r>
        <w:t>INFO_NOT_FOUND: justification that the project activity is included under the scope of the VCS Program and not excluded under Table 2.1 of the VCS Standard.</w:t>
      </w:r>
    </w:p>
    <w:p>
      <w:r>
        <w:t>INFO_NOT_FOUND: information to demonstrate that the project meets requirements related to the pipeline listing deadline, the opening meeting with the validation/verification body, and the validation deadline.</w:t>
      </w:r>
    </w:p>
    <w:p>
      <w:r>
        <w:t>INFO_NOT_FOUND: demonstration that the applied methodology is eligible under the VCS Program. The project is the first phase of the planned 100 MWac Cambodian National Solar Park Project. The remaining 40 MWac of capacity in the solar park will be tendered in a second phase. INFO_NOT_FOUND: demonstration that the project is not a fragmented part of a larger project or activity that would otherwise exceed such limits, nor that no single cluster of project activity instances exceeds the capacity limit.</w:t>
      </w:r>
    </w:p>
    <w:p>
      <w:r>
        <w:t>The project is classified category B for environment, category C for involuntary resettlement, and category C for indigenous peoples under ADB's Safeguard Policy Statement (2009). An independent consultant prepared an initial environmental and social examination report for the project. No protected areas or particularly sensitive environmental receptors were identified within or adjacent to the project site. The project does not require involuntary resettlement, and no distinct and vulnerable indigenous people groups were identified in the area. The land for the 60 MW solar plant was formerly used for commercial cassava plantation and is currently described as a modified environment (disturbed by human activity) dominated by scrubland with scattered trees and paddy fields, now serving as a grass-field and grazing area for local villagers. The borrower will have 24 months to reach the commercial operations date (29 June 2022), with construction starting in 2021.</w:t>
      </w:r>
    </w:p>
    <w:p>
      <w:r>
        <w:t>AFOLU project eligibility</w:t>
      </w:r>
    </w:p>
    <w:p>
      <w:r>
        <w:t>The project is a solar photovoltaic (PV) power project, not an AFOLU project.</w:t>
      </w:r>
    </w:p>
    <w:p>
      <w:r>
        <w:t>INFO_NOT_FOUND: justification and demonstration that all selected AFOLU project categories are appropriate and that all related category requirements are met.</w:t>
      </w:r>
    </w:p>
    <w:p>
      <w:r>
        <w:t>The project land was formerly used for commercial cassava plantation and is located in a modified environment (disturbed by human activity) dominated by scrubland with scattered trees and paddy fields. The 60MW solar plant site has been historically modified for use as cassava plantations. INFO_NOT_FOUND: evidence that native ecosystems have not been converted, cleared, drained, or degraded to generate GHG credits in Section 2.4.3 below.</w:t>
      </w:r>
    </w:p>
    <w:p>
      <w:r>
        <w:t>INFO_NOT_FOUND: evidence that clearing or conversion did not take place within 10 years of the project start date for ARR, ALM, WRC, or ACoGS project areas.</w:t>
      </w:r>
    </w:p>
    <w:p>
      <w:r>
        <w:t>Transfer project eligibility</w:t>
      </w:r>
    </w:p>
    <w:p>
      <w:r>
        <w:t>INFO_NOT_FOUND: justification for how eligibility conditions have been met for transfer projects and CPAs, including the criteria in Appendix 2 and Section 3.23 (Double Counting and Participation under Other GHG Programs) of the VCS Standard.</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sdt>
        <w:sdtPr>
          <w:rPr>
            <w:rStyle w:val="SubtleEmphasis"/>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S</w:t>
      </w:r>
      <w:r w:rsidR="005762D3" w:rsidRPr="00C8179C">
        <w:rPr>
          <w:rStyle w:val="SubtleEmphasis"/>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sdt>
        <w:sdtPr>
          <w:rPr>
            <w:rStyle w:val="SubtleEmphasis"/>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74D1902F" w:rsidRPr="00C8179C">
        <w:rPr>
          <w:rStyle w:val="SubtleEmphasis"/>
          <w:rFonts w:ascii="Franklin Gothic Book" w:hAnsi="Franklin Gothic Book"/>
          <w:color w:val="auto"/>
        </w:rPr>
        <w:t>M</w:t>
      </w:r>
      <w:r w:rsidR="005762D3" w:rsidRPr="00C8179C">
        <w:rPr>
          <w:rStyle w:val="SubtleEmphasis"/>
          <w:rFonts w:ascii="Franklin Gothic Book" w:hAnsi="Franklin Gothic Book"/>
          <w:color w:val="auto"/>
        </w:rPr>
        <w:t xml:space="preserve">ultiple locations or </w:t>
      </w:r>
      <w:r w:rsidR="00E83A77" w:rsidRPr="00C8179C">
        <w:rPr>
          <w:rStyle w:val="SubtleEmphasis"/>
          <w:rFonts w:ascii="Franklin Gothic Book" w:hAnsi="Franklin Gothic Book"/>
          <w:color w:val="auto"/>
        </w:rPr>
        <w:t>project activity instances</w:t>
      </w:r>
      <w:r w:rsidR="00600A8F">
        <w:rPr>
          <w:rStyle w:val="SubtleEmphasis"/>
          <w:rFonts w:ascii="Franklin Gothic Book" w:hAnsi="Franklin Gothic Book"/>
          <w:color w:val="auto"/>
        </w:rPr>
        <w:t xml:space="preserve"> (</w:t>
      </w:r>
      <w:r w:rsidR="005762D3" w:rsidRPr="00C8179C">
        <w:rPr>
          <w:rStyle w:val="SubtleEmphasis"/>
          <w:rFonts w:ascii="Franklin Gothic Book" w:hAnsi="Franklin Gothic Book"/>
          <w:color w:val="auto"/>
        </w:rPr>
        <w:t>but not a grouped project</w:t>
      </w:r>
      <w:r w:rsidR="00600A8F">
        <w:rPr>
          <w:rStyle w:val="SubtleEmphasis"/>
          <w:rFonts w:ascii="Franklin Gothic Book" w:hAnsi="Franklin Gothic Book"/>
          <w:color w:val="auto"/>
        </w:rPr>
        <w: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sdt>
        <w:sdtPr>
          <w:rPr>
            <w:rStyle w:val="SubtleEmphasis"/>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SubtleEmphasis"/>
              <w:rFonts w:ascii="MS Gothic" w:eastAsia="MS Gothic" w:hAnsi="MS Gothic" w:hint="eastAsia"/>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G</w:t>
      </w:r>
      <w:r w:rsidR="005762D3" w:rsidRPr="00C8179C">
        <w:rPr>
          <w:rStyle w:val="SubtleEmphasis"/>
          <w:rFonts w:ascii="Franklin Gothic Book" w:hAnsi="Franklin Gothic Book"/>
          <w:color w:val="auto"/>
        </w:rPr>
        <w:t xml:space="preserve">rouped </w:t>
      </w:r>
      <w:proofErr w:type="gramStart"/>
      <w:r w:rsidR="005762D3" w:rsidRPr="00C8179C">
        <w:rPr>
          <w:rStyle w:val="SubtleEmphasis"/>
          <w:rFonts w:ascii="Franklin Gothic Book" w:hAnsi="Franklin Gothic Book"/>
          <w:color w:val="auto"/>
        </w:rPr>
        <w:t>project</w:t>
      </w:r>
      <w:proofErr w:type="gramEnd"/>
    </w:p>
    <w:p w14:paraId="12F68215" w14:textId="7E3F4630" w:rsidR="00244B26" w:rsidRPr="002D46FC" w:rsidRDefault="00862B38" w:rsidP="00720277">
      <w:pPr>
        <w:pStyle w:val="Heading3"/>
      </w:pPr>
      <w:r w:rsidRPr="002D46FC">
        <w:t>Grouped project design</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