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r>
        <w:t>SECTION_COMPLETE</w:t>
      </w:r>
    </w:p>
    <w:p w14:paraId="08DB0D87" w14:textId="18BA8FB8" w:rsidR="00AC43B5" w:rsidRPr="00A33550" w:rsidRDefault="00576A41" w:rsidP="00AC43B5">
      <w:pPr>
        <w:pStyle w:val="Heading2"/>
      </w:pPr>
      <w:r>
        <w:t>Test summary</w:t>
      </w:r>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t>Test summary</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t>Test summary</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r>
        <w:t>SECTION_COMPLETE</w:t>
      </w:r>
    </w:p>
    <w:p w14:paraId="5815810F" w14:textId="6C06A37F" w:rsidR="00576A41" w:rsidRPr="00A33550" w:rsidRDefault="00576A41" w:rsidP="00576A41">
      <w:pPr>
        <w:pStyle w:val="Heading2"/>
      </w:pPr>
      <w:r>
        <w:t>Energy</w:t>
      </w:r>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r>
              <w:t>Energy</w:t>
            </w: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r>
              <w:t>Energy</w:t>
            </w: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r>
        <w:t>SECTION_COMPLETE</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Test eligibility content</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