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r>
        <w:t>SECTION_COMPLETE</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t>Single location installation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