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BE4BA" w14:textId="77777777" w:rsidR="000933D7" w:rsidRDefault="00000000">
      <w:pPr>
        <w:spacing w:after="0"/>
        <w:ind w:firstLine="0"/>
        <w:jc w:val="center"/>
      </w:pPr>
      <w:r>
        <w:rPr>
          <w:rFonts w:eastAsia="Arial"/>
          <w:sz w:val="44"/>
        </w:rPr>
        <w:t>Profiling-Guided Inference Optimization for EVEv2</w:t>
      </w:r>
    </w:p>
    <w:p w14:paraId="21128877" w14:textId="77777777" w:rsidR="000933D7" w:rsidRDefault="00000000">
      <w:pPr>
        <w:spacing w:after="0"/>
        <w:ind w:firstLine="0"/>
        <w:jc w:val="center"/>
        <w:rPr>
          <w:rFonts w:eastAsia="Arial"/>
          <w:sz w:val="44"/>
        </w:rPr>
      </w:pPr>
      <w:r>
        <w:rPr>
          <w:rFonts w:eastAsia="Arial"/>
          <w:sz w:val="44"/>
        </w:rPr>
        <w:t>Vision-Language Model</w:t>
      </w:r>
    </w:p>
    <w:tbl>
      <w:tblPr>
        <w:tblStyle w:val="TableGrid"/>
        <w:tblpPr w:leftFromText="180" w:rightFromText="180" w:vertAnchor="text" w:horzAnchor="page" w:tblpX="1371" w:tblpY="329"/>
        <w:tblW w:w="10440" w:type="dxa"/>
        <w:tblInd w:w="0" w:type="dxa"/>
        <w:tblLayout w:type="fixed"/>
        <w:tblLook w:val="04A0" w:firstRow="1" w:lastRow="0" w:firstColumn="1" w:lastColumn="0" w:noHBand="0" w:noVBand="1"/>
      </w:tblPr>
      <w:tblGrid>
        <w:gridCol w:w="5221"/>
        <w:gridCol w:w="5219"/>
      </w:tblGrid>
      <w:tr w:rsidR="000E4C99" w14:paraId="454958C7" w14:textId="77777777" w:rsidTr="000E4C99">
        <w:trPr>
          <w:trHeight w:val="856"/>
        </w:trPr>
        <w:tc>
          <w:tcPr>
            <w:tcW w:w="5221" w:type="dxa"/>
          </w:tcPr>
          <w:p w14:paraId="5DF59EA8" w14:textId="77777777" w:rsidR="000E4C99" w:rsidRDefault="000E4C99" w:rsidP="000E4C99">
            <w:pPr>
              <w:spacing w:after="0"/>
              <w:ind w:left="172" w:firstLine="0"/>
              <w:jc w:val="left"/>
            </w:pPr>
            <w:r>
              <w:rPr>
                <w:b/>
                <w:sz w:val="20"/>
              </w:rPr>
              <w:t xml:space="preserve">            Muhammad Talha Akram</w:t>
            </w:r>
          </w:p>
          <w:p w14:paraId="32D4818D" w14:textId="77777777" w:rsidR="000E4C99" w:rsidRDefault="000E4C99" w:rsidP="000E4C99">
            <w:pPr>
              <w:spacing w:after="0"/>
              <w:ind w:left="315" w:firstLine="0"/>
              <w:jc w:val="left"/>
            </w:pPr>
            <w:r>
              <w:rPr>
                <w:i/>
                <w:sz w:val="18"/>
              </w:rPr>
              <w:t xml:space="preserve">             Dept. of AI &amp; Data Science</w:t>
            </w:r>
          </w:p>
          <w:p w14:paraId="1D7AD4FE" w14:textId="77777777" w:rsidR="000E4C99" w:rsidRDefault="000E4C99" w:rsidP="000E4C99">
            <w:pPr>
              <w:spacing w:after="0"/>
              <w:ind w:left="445" w:hanging="445"/>
              <w:jc w:val="left"/>
              <w:rPr>
                <w:i/>
                <w:sz w:val="18"/>
              </w:rPr>
            </w:pPr>
            <w:r>
              <w:rPr>
                <w:i/>
                <w:sz w:val="18"/>
              </w:rPr>
              <w:t xml:space="preserve">             FAST-NUCES, Islamabad, Pakistan </w:t>
            </w:r>
          </w:p>
          <w:p w14:paraId="0C49D4CA" w14:textId="77777777" w:rsidR="000E4C99" w:rsidRDefault="000E4C99" w:rsidP="000E4C99">
            <w:pPr>
              <w:spacing w:after="0"/>
              <w:ind w:left="445" w:hanging="445"/>
              <w:jc w:val="left"/>
            </w:pPr>
            <w:r>
              <w:rPr>
                <w:sz w:val="18"/>
              </w:rPr>
              <w:t xml:space="preserve">                     i230139@isb.nu.edu.pk</w:t>
            </w:r>
          </w:p>
        </w:tc>
        <w:tc>
          <w:tcPr>
            <w:tcW w:w="5219" w:type="dxa"/>
          </w:tcPr>
          <w:p w14:paraId="07750BEC" w14:textId="249ECCFB" w:rsidR="000E4C99" w:rsidRDefault="000E4C99" w:rsidP="000E4C99">
            <w:pPr>
              <w:spacing w:after="0"/>
              <w:jc w:val="left"/>
            </w:pPr>
            <w:r>
              <w:rPr>
                <w:b/>
                <w:sz w:val="20"/>
              </w:rPr>
              <w:t xml:space="preserve">      </w:t>
            </w:r>
            <w:r w:rsidR="00D50683">
              <w:rPr>
                <w:b/>
                <w:sz w:val="20"/>
              </w:rPr>
              <w:t xml:space="preserve">  </w:t>
            </w:r>
            <w:r>
              <w:rPr>
                <w:b/>
                <w:sz w:val="20"/>
              </w:rPr>
              <w:t xml:space="preserve">    </w:t>
            </w:r>
            <w:r w:rsidR="00D50683">
              <w:rPr>
                <w:b/>
                <w:sz w:val="20"/>
              </w:rPr>
              <w:t xml:space="preserve">   </w:t>
            </w:r>
            <w:r>
              <w:rPr>
                <w:b/>
                <w:sz w:val="20"/>
              </w:rPr>
              <w:t>Ehtisham Abid</w:t>
            </w:r>
          </w:p>
          <w:p w14:paraId="30571B9A" w14:textId="07C3B9A6" w:rsidR="000E4C99" w:rsidRDefault="000E4C99" w:rsidP="000E4C99">
            <w:pPr>
              <w:spacing w:after="0"/>
              <w:ind w:firstLine="0"/>
              <w:jc w:val="left"/>
              <w:rPr>
                <w:i/>
              </w:rPr>
            </w:pPr>
            <w:r>
              <w:rPr>
                <w:i/>
                <w:sz w:val="18"/>
              </w:rPr>
              <w:t xml:space="preserve">     </w:t>
            </w:r>
            <w:r w:rsidR="00D50683">
              <w:rPr>
                <w:i/>
                <w:sz w:val="18"/>
              </w:rPr>
              <w:t xml:space="preserve">   </w:t>
            </w:r>
            <w:r>
              <w:rPr>
                <w:i/>
                <w:sz w:val="18"/>
              </w:rPr>
              <w:t xml:space="preserve"> </w:t>
            </w:r>
            <w:r w:rsidR="00D50683">
              <w:rPr>
                <w:i/>
                <w:sz w:val="18"/>
              </w:rPr>
              <w:t xml:space="preserve">  </w:t>
            </w:r>
            <w:r>
              <w:rPr>
                <w:i/>
                <w:sz w:val="18"/>
              </w:rPr>
              <w:t xml:space="preserve">    Dept. of AI &amp; Data Science</w:t>
            </w:r>
          </w:p>
          <w:p w14:paraId="18CAA5A2" w14:textId="17614FE2" w:rsidR="000E4C99" w:rsidRDefault="000E4C99" w:rsidP="000E4C99">
            <w:pPr>
              <w:spacing w:after="0"/>
              <w:ind w:firstLine="0"/>
              <w:jc w:val="left"/>
              <w:rPr>
                <w:i/>
              </w:rPr>
            </w:pPr>
            <w:r>
              <w:rPr>
                <w:i/>
                <w:sz w:val="18"/>
              </w:rPr>
              <w:t xml:space="preserve"> </w:t>
            </w:r>
            <w:r w:rsidR="00D50683">
              <w:rPr>
                <w:i/>
                <w:sz w:val="18"/>
              </w:rPr>
              <w:t xml:space="preserve">   </w:t>
            </w:r>
            <w:r>
              <w:rPr>
                <w:i/>
                <w:sz w:val="18"/>
              </w:rPr>
              <w:t xml:space="preserve">   </w:t>
            </w:r>
            <w:r w:rsidR="00D50683">
              <w:rPr>
                <w:i/>
                <w:sz w:val="18"/>
              </w:rPr>
              <w:t xml:space="preserve">  </w:t>
            </w:r>
            <w:r>
              <w:rPr>
                <w:i/>
                <w:sz w:val="18"/>
              </w:rPr>
              <w:t>FAST-NUCES, Islamabad, Pakistan</w:t>
            </w:r>
          </w:p>
          <w:p w14:paraId="314104A7" w14:textId="553C1CF7" w:rsidR="000E4C99" w:rsidRDefault="000E4C99" w:rsidP="000E4C99">
            <w:pPr>
              <w:spacing w:after="0"/>
              <w:ind w:firstLine="0"/>
              <w:jc w:val="left"/>
              <w:rPr>
                <w:sz w:val="18"/>
              </w:rPr>
            </w:pPr>
            <w:r>
              <w:rPr>
                <w:i/>
                <w:sz w:val="18"/>
              </w:rPr>
              <w:t xml:space="preserve">   </w:t>
            </w:r>
            <w:r w:rsidR="00D50683">
              <w:rPr>
                <w:i/>
                <w:sz w:val="18"/>
              </w:rPr>
              <w:t xml:space="preserve">     </w:t>
            </w:r>
            <w:r>
              <w:rPr>
                <w:i/>
                <w:sz w:val="18"/>
              </w:rPr>
              <w:t xml:space="preserve">       </w:t>
            </w:r>
            <w:r>
              <w:rPr>
                <w:i/>
                <w:color w:val="auto"/>
                <w:sz w:val="18"/>
              </w:rPr>
              <w:t xml:space="preserve"> </w:t>
            </w:r>
            <w:hyperlink r:id="rId5">
              <w:r>
                <w:rPr>
                  <w:rStyle w:val="Hyperlink"/>
                  <w:color w:val="auto"/>
                  <w:sz w:val="18"/>
                  <w:u w:val="none"/>
                </w:rPr>
                <w:t>i230091@isb.nu.edu.pk</w:t>
              </w:r>
            </w:hyperlink>
          </w:p>
          <w:p w14:paraId="265C5B7A" w14:textId="77777777" w:rsidR="000E4C99" w:rsidRDefault="000E4C99" w:rsidP="000E4C99">
            <w:pPr>
              <w:spacing w:after="0"/>
              <w:ind w:firstLine="0"/>
              <w:jc w:val="left"/>
              <w:rPr>
                <w:sz w:val="18"/>
              </w:rPr>
            </w:pPr>
          </w:p>
          <w:p w14:paraId="402E24DF" w14:textId="77777777" w:rsidR="000E4C99" w:rsidRDefault="000E4C99" w:rsidP="000E4C99">
            <w:pPr>
              <w:spacing w:after="0"/>
              <w:ind w:firstLine="0"/>
              <w:jc w:val="left"/>
              <w:rPr>
                <w:i/>
              </w:rPr>
            </w:pPr>
          </w:p>
        </w:tc>
      </w:tr>
    </w:tbl>
    <w:p w14:paraId="56096B6A" w14:textId="77777777" w:rsidR="000933D7" w:rsidRDefault="000933D7" w:rsidP="005F7CF4">
      <w:pPr>
        <w:spacing w:after="0"/>
        <w:ind w:firstLine="0"/>
      </w:pPr>
    </w:p>
    <w:p w14:paraId="0EAE38D1" w14:textId="77777777" w:rsidR="000933D7" w:rsidRDefault="000933D7" w:rsidP="005F7CF4">
      <w:pPr>
        <w:ind w:firstLine="0"/>
        <w:sectPr w:rsidR="000933D7">
          <w:pgSz w:w="12240" w:h="15840"/>
          <w:pgMar w:top="1080" w:right="900" w:bottom="1080" w:left="900" w:header="0" w:footer="0" w:gutter="0"/>
          <w:cols w:space="720"/>
          <w:formProt w:val="0"/>
          <w:docGrid w:linePitch="100"/>
        </w:sectPr>
      </w:pPr>
    </w:p>
    <w:p w14:paraId="4CC67048" w14:textId="76DE93B1" w:rsidR="000933D7" w:rsidRDefault="00000000">
      <w:pPr>
        <w:spacing w:after="70"/>
        <w:ind w:firstLine="220"/>
        <w:rPr>
          <w:b/>
        </w:rPr>
      </w:pPr>
      <w:r>
        <w:rPr>
          <w:b/>
        </w:rPr>
        <w:t>Abstract</w:t>
      </w:r>
      <w:r w:rsidR="000E4C99">
        <w:rPr>
          <w:b/>
        </w:rPr>
        <w:t xml:space="preserve"> </w:t>
      </w:r>
      <w:r>
        <w:rPr>
          <w:b/>
        </w:rPr>
        <w:t>-</w:t>
      </w:r>
      <w:r w:rsidR="000E4C99">
        <w:rPr>
          <w:b/>
        </w:rPr>
        <w:t xml:space="preserve"> </w:t>
      </w:r>
      <w:r>
        <w:rPr>
          <w:b/>
        </w:rPr>
        <w:t>Vision-Language Models (VLMs) pose significant inference problems due to their high number of parameters, as well as two-modal input streams. This work presents a profiling-based optimization study of EVEv2-7B-HD, an encoder-free 7-billion-parameter VLM, which is deployed on the limited dual-NVIDIA Tesla T4 hardware (2 15 GB VRAM). PyTorch Profiler baseline profiling shows that a severe bottleneck in memory transfer exists: CPU-to-GPU host-to-device (</w:t>
      </w:r>
      <w:proofErr w:type="spellStart"/>
      <w:r>
        <w:rPr>
          <w:b/>
        </w:rPr>
        <w:t>HtoD</w:t>
      </w:r>
      <w:proofErr w:type="spellEnd"/>
      <w:r>
        <w:rPr>
          <w:b/>
        </w:rPr>
        <w:t xml:space="preserve">) memory transfers take 72.0% of all CUDA execution time, and only 16.1% of all execution time goes to matrix multiplication. To address this, we </w:t>
      </w:r>
      <w:proofErr w:type="gramStart"/>
      <w:r>
        <w:rPr>
          <w:b/>
        </w:rPr>
        <w:t>design</w:t>
      </w:r>
      <w:proofErr w:type="gramEnd"/>
      <w:r>
        <w:rPr>
          <w:b/>
        </w:rPr>
        <w:t xml:space="preserve"> a three-component optimization pipeline that </w:t>
      </w:r>
      <w:proofErr w:type="gramStart"/>
      <w:r>
        <w:rPr>
          <w:b/>
        </w:rPr>
        <w:t>includes</w:t>
      </w:r>
      <w:proofErr w:type="gramEnd"/>
      <w:r>
        <w:rPr>
          <w:b/>
        </w:rPr>
        <w:t xml:space="preserve"> FP16 mixed-precision inference, multi-GPU model sharding via HuggingFace Accelerate, and asynchronous </w:t>
      </w:r>
      <w:proofErr w:type="spellStart"/>
      <w:r>
        <w:rPr>
          <w:b/>
        </w:rPr>
        <w:t>DataLoader</w:t>
      </w:r>
      <w:proofErr w:type="spellEnd"/>
      <w:r>
        <w:rPr>
          <w:b/>
        </w:rPr>
        <w:t>-based CPU-GPU overlap. The optimized system achieves a 1.185x (18.5%) throughput speedup, and reduces the total inference time, over 9,000 POPE benchmark questions, down to 18.3 hours. The validation results on the POPE hallucination benchmark using accuracy validation model yields an overall F1 score of 83.78% as compared to the officially reported F1 score of 87.60%- a difference of -3.82%. These findings show that principled optimization of memory-transfer can deliver meaningful throughput improvements on commodity GPU infrastructure.</w:t>
      </w:r>
    </w:p>
    <w:p w14:paraId="73CE697F" w14:textId="77777777" w:rsidR="000933D7" w:rsidRDefault="000933D7">
      <w:pPr>
        <w:spacing w:after="70"/>
        <w:ind w:firstLine="220"/>
        <w:rPr>
          <w:b/>
        </w:rPr>
      </w:pPr>
    </w:p>
    <w:p w14:paraId="50B22A31" w14:textId="77777777" w:rsidR="000933D7" w:rsidRDefault="00000000">
      <w:pPr>
        <w:spacing w:after="80"/>
        <w:ind w:firstLine="0"/>
        <w:rPr>
          <w:b/>
        </w:rPr>
      </w:pPr>
      <w:r>
        <w:rPr>
          <w:b/>
          <w:i/>
        </w:rPr>
        <w:t>Keywords</w:t>
      </w:r>
      <w:r>
        <w:rPr>
          <w:b/>
        </w:rPr>
        <w:t>—Vision-Language Models; Inference Optimization; Mixed Precision; GPU Profiling; Memory Bottleneck; EVEv2; POPE Benchmark; HuggingFace Accelerate.</w:t>
      </w:r>
    </w:p>
    <w:p w14:paraId="5E0979C8" w14:textId="77777777" w:rsidR="000933D7" w:rsidRDefault="000933D7">
      <w:pPr>
        <w:spacing w:after="80"/>
        <w:ind w:firstLine="0"/>
      </w:pPr>
    </w:p>
    <w:p w14:paraId="2C91E1A6" w14:textId="77777777" w:rsidR="000933D7" w:rsidRDefault="00000000">
      <w:pPr>
        <w:spacing w:after="60"/>
        <w:ind w:left="10" w:hanging="10"/>
        <w:jc w:val="center"/>
      </w:pPr>
      <w:r>
        <w:rPr>
          <w:rFonts w:eastAsia="Arial"/>
          <w:sz w:val="18"/>
        </w:rPr>
        <w:t>I. INTRODUCTION</w:t>
      </w:r>
    </w:p>
    <w:p w14:paraId="738A57AC" w14:textId="77777777" w:rsidR="000933D7" w:rsidRDefault="00000000">
      <w:pPr>
        <w:ind w:firstLine="220"/>
      </w:pPr>
      <w:r>
        <w:t>The introduction of large Vision-Language Models (VLMs) in production systems does not just require representational accuracy but also computational efficiency. As models grow to billions of parameters, inference becomes a bottleneck operation, especially when hardware resources are limited to the commodity-grade GPUs.</w:t>
      </w:r>
    </w:p>
    <w:p w14:paraId="1D524E6F" w14:textId="77777777" w:rsidR="000933D7" w:rsidRDefault="00000000">
      <w:pPr>
        <w:ind w:firstLine="220"/>
      </w:pPr>
      <w:r>
        <w:t xml:space="preserve">The EVEv2 family of models </w:t>
      </w:r>
      <w:proofErr w:type="gramStart"/>
      <w:r>
        <w:t>representing</w:t>
      </w:r>
      <w:proofErr w:type="gramEnd"/>
      <w:r>
        <w:t xml:space="preserve"> a state-of-the-art encoder-free VLM which processes both visual and textual token streams together in a single transformer thus eliminating the computational redundancy of separate encoder modules in vision [1]. Although architecturally elegant, typical resource-saving implementations of standard sequential inference algorithms on resource-constrained hardware suffer severe memory transfer overhead that leaves the resource-constrained hardware idle during most of the inference cycle.</w:t>
      </w:r>
    </w:p>
    <w:p w14:paraId="7997AFFE" w14:textId="77777777" w:rsidR="000933D7" w:rsidRDefault="00000000">
      <w:pPr>
        <w:ind w:firstLine="220"/>
      </w:pPr>
      <w:r>
        <w:t xml:space="preserve">This paper describes a profiling-based, systematic optimization study which tackles these problems. We will first measure the actual bottleneck in performance by using the PyTorch Profiler instrumentation and finding that 72.0% of CUDA time is occupied. </w:t>
      </w:r>
      <w:proofErr w:type="gramStart"/>
      <w:r>
        <w:t>chewing</w:t>
      </w:r>
      <w:proofErr w:type="gramEnd"/>
      <w:r>
        <w:t xml:space="preserve"> on CPU-to-GPU memory transfers instead of computation. We then make measurements of the resulting throughput </w:t>
      </w:r>
      <w:proofErr w:type="gramStart"/>
      <w:r>
        <w:t>improvements, and</w:t>
      </w:r>
      <w:proofErr w:type="gramEnd"/>
      <w:r>
        <w:t xml:space="preserve"> validate the accuracy of the model on the POPE hallucination benchmark [4].</w:t>
      </w:r>
    </w:p>
    <w:p w14:paraId="4B47A1E7" w14:textId="77777777" w:rsidR="000933D7" w:rsidRDefault="00000000">
      <w:pPr>
        <w:spacing w:after="80"/>
        <w:ind w:firstLine="220"/>
      </w:pPr>
      <w:r>
        <w:t>The main contributions of this work are: (1) A quantitative profiling analysis showing CPU-to-GPU memory transfer is the dominant bottleneck in sequential EVEv2-7B inference, which consumes 72.0% of CUDA execution time. (2) A designed three-component optimization pipeline (FP16 mixed precision, multi-</w:t>
      </w:r>
      <w:proofErr w:type="spellStart"/>
      <w:r>
        <w:t>gpu</w:t>
      </w:r>
      <w:proofErr w:type="spellEnd"/>
      <w:r>
        <w:t xml:space="preserve"> sharding, asynchronous </w:t>
      </w:r>
      <w:proofErr w:type="spellStart"/>
      <w:r>
        <w:t>DataLoader</w:t>
      </w:r>
      <w:proofErr w:type="spellEnd"/>
      <w:r>
        <w:t xml:space="preserve">) that achieves a 1.185 x throughput performance increase under hardware constraints. (3) The reproducibility study of POPE benchmark with 83.78% overall F1 score and quantitative </w:t>
      </w:r>
      <w:proofErr w:type="spellStart"/>
      <w:r>
        <w:t>characterisation</w:t>
      </w:r>
      <w:proofErr w:type="spellEnd"/>
      <w:r>
        <w:t xml:space="preserve"> of the accuracy difference as a hardware-induced artifact.</w:t>
      </w:r>
    </w:p>
    <w:p w14:paraId="161AF3DC" w14:textId="77777777" w:rsidR="000933D7" w:rsidRDefault="000933D7">
      <w:pPr>
        <w:spacing w:after="80"/>
      </w:pPr>
    </w:p>
    <w:p w14:paraId="230A09B4" w14:textId="77777777" w:rsidR="000933D7" w:rsidRDefault="00000000">
      <w:pPr>
        <w:spacing w:after="60"/>
        <w:ind w:left="10" w:hanging="10"/>
        <w:jc w:val="center"/>
      </w:pPr>
      <w:r>
        <w:rPr>
          <w:rFonts w:eastAsia="Arial"/>
          <w:sz w:val="18"/>
        </w:rPr>
        <w:t>II. RELATED WORK</w:t>
      </w:r>
    </w:p>
    <w:p w14:paraId="5322FC81" w14:textId="77777777" w:rsidR="000933D7" w:rsidRDefault="00000000">
      <w:pPr>
        <w:pStyle w:val="Heading1"/>
        <w:ind w:left="-5"/>
      </w:pPr>
      <w:r>
        <w:t>A. Vision-Language Models and Encoder-Free Architectures</w:t>
      </w:r>
    </w:p>
    <w:p w14:paraId="003DD0F6" w14:textId="77777777" w:rsidR="000933D7" w:rsidRDefault="00000000">
      <w:pPr>
        <w:spacing w:after="80"/>
        <w:ind w:firstLine="220"/>
      </w:pPr>
      <w:r>
        <w:t xml:space="preserve">The current VLM paradigm involves using dual-encoder models where one encoder (e.g., CLIP </w:t>
      </w:r>
      <w:proofErr w:type="spellStart"/>
      <w:r>
        <w:t>ViT</w:t>
      </w:r>
      <w:proofErr w:type="spellEnd"/>
      <w:r>
        <w:t xml:space="preserve">) processes images and another encoder (e.g., CLIP </w:t>
      </w:r>
      <w:proofErr w:type="spellStart"/>
      <w:r>
        <w:t>ViT</w:t>
      </w:r>
      <w:proofErr w:type="spellEnd"/>
      <w:r>
        <w:t xml:space="preserve">) processes words before being fused with a large language model backbone, such as </w:t>
      </w:r>
      <w:proofErr w:type="spellStart"/>
      <w:r>
        <w:t>LLaVA</w:t>
      </w:r>
      <w:proofErr w:type="spellEnd"/>
      <w:r>
        <w:t xml:space="preserve"> [3], </w:t>
      </w:r>
      <w:proofErr w:type="spellStart"/>
      <w:r>
        <w:t>InstructBLIP</w:t>
      </w:r>
      <w:proofErr w:type="spellEnd"/>
      <w:r>
        <w:t xml:space="preserve">, and Flamingo. EVEv2 breaks this tradition by incorporating an encoder-free architecture, where processing flattened visual tokens in a unified transformer with text tokens. Although this design allows the reduction of the structural complexity, the inference efficiency on the commodity hardware has not been </w:t>
      </w:r>
      <w:proofErr w:type="spellStart"/>
      <w:r>
        <w:t>characterised</w:t>
      </w:r>
      <w:proofErr w:type="spellEnd"/>
      <w:r>
        <w:t xml:space="preserve"> in the literature extensively.</w:t>
      </w:r>
    </w:p>
    <w:p w14:paraId="5E8616A7" w14:textId="77777777" w:rsidR="000933D7" w:rsidRDefault="00000000">
      <w:pPr>
        <w:pStyle w:val="Heading1"/>
        <w:ind w:left="-5"/>
      </w:pPr>
      <w:r>
        <w:t>B. Inference Optimization Techniques</w:t>
      </w:r>
    </w:p>
    <w:p w14:paraId="591FE1BB" w14:textId="77777777" w:rsidR="000933D7" w:rsidRDefault="00000000">
      <w:pPr>
        <w:spacing w:after="80"/>
        <w:ind w:firstLine="220"/>
      </w:pPr>
      <w:r>
        <w:t xml:space="preserve">Optimization of throughput of large-scale model inference is a current research topic. Methods that quantize input are like GPTQ [5] and AWQ, which minimize weight memory footprints and allow larger effective batch sizes. As used in </w:t>
      </w:r>
      <w:proofErr w:type="spellStart"/>
      <w:r>
        <w:t>vLLM</w:t>
      </w:r>
      <w:proofErr w:type="spellEnd"/>
      <w:r>
        <w:t xml:space="preserve"> [6] and the </w:t>
      </w:r>
      <w:proofErr w:type="spellStart"/>
      <w:r>
        <w:t>TensorRT</w:t>
      </w:r>
      <w:proofErr w:type="spellEnd"/>
      <w:r>
        <w:t xml:space="preserve">-LLM, dynamic batching strategies </w:t>
      </w:r>
      <w:proofErr w:type="spellStart"/>
      <w:r>
        <w:t>maximise</w:t>
      </w:r>
      <w:proofErr w:type="spellEnd"/>
      <w:r>
        <w:t xml:space="preserve"> the use of GPUs by combining heterogeneous requests. Mixed-precision inference with IEEE 754 half-precision (FP16) is effective at reducing memory bandwidth requirements as well as storage footprint by about 50 percent as compared to FP32 with little fidelity effects on transformer inference [10].</w:t>
      </w:r>
    </w:p>
    <w:p w14:paraId="37239BB9" w14:textId="77777777" w:rsidR="000933D7" w:rsidRDefault="00000000">
      <w:pPr>
        <w:pStyle w:val="Heading1"/>
        <w:ind w:left="-5"/>
      </w:pPr>
      <w:r>
        <w:lastRenderedPageBreak/>
        <w:t>C. Memory-Bound GPU Inference</w:t>
      </w:r>
    </w:p>
    <w:p w14:paraId="6C19EB69" w14:textId="77777777" w:rsidR="000933D7" w:rsidRDefault="00000000">
      <w:pPr>
        <w:spacing w:after="80"/>
        <w:ind w:firstLine="220"/>
      </w:pPr>
      <w:r>
        <w:t xml:space="preserve">The ability to differentiate between compute-bound and memory-bound workloads on GPUs is a key concept underlying the optimization of systems. To infer all weights and other transformer-related information on a large transformer, typically for small batch sizes, memory bandwidth usually becomes the binding factor, with each weight matrix needing to be loaded into device memory on every forward pass [7]. The finding is supported by our profiling results in the specific case of a 7B-parameter VLM on </w:t>
      </w:r>
      <w:proofErr w:type="gramStart"/>
      <w:r>
        <w:t>a dual</w:t>
      </w:r>
      <w:proofErr w:type="gramEnd"/>
      <w:r>
        <w:t>-T4 hardware where the issue of pageable host memory -worsens the bottleneck.</w:t>
      </w:r>
    </w:p>
    <w:p w14:paraId="396907DE" w14:textId="77777777" w:rsidR="000933D7" w:rsidRDefault="00000000">
      <w:pPr>
        <w:pStyle w:val="Heading1"/>
        <w:ind w:left="-5"/>
      </w:pPr>
      <w:r>
        <w:t>D. Hallucination Evaluation in VLMs</w:t>
      </w:r>
    </w:p>
    <w:p w14:paraId="0D5F98B5" w14:textId="77777777" w:rsidR="000933D7" w:rsidRDefault="00000000">
      <w:pPr>
        <w:spacing w:after="80"/>
        <w:ind w:firstLine="220"/>
      </w:pPr>
      <w:r>
        <w:t xml:space="preserve">The POPE benchmark [4] is a rigorous evaluation of object hallucination in VLMs using binary Yes/No questions, avoiding the soft ambiguity of string-matching that is inherent in other benchmarks, such as </w:t>
      </w:r>
      <w:proofErr w:type="spellStart"/>
      <w:r>
        <w:t>TextVQA</w:t>
      </w:r>
      <w:proofErr w:type="spellEnd"/>
      <w:r>
        <w:t xml:space="preserve"> or GQA. The three partitions of POPE, which include the Random, Popular, and Adversarial partitions, test increasingly difficult hallucination scenarios.</w:t>
      </w:r>
    </w:p>
    <w:p w14:paraId="27720F0E" w14:textId="77777777" w:rsidR="000933D7" w:rsidRDefault="000933D7">
      <w:pPr>
        <w:spacing w:after="80"/>
        <w:ind w:firstLine="220"/>
      </w:pPr>
    </w:p>
    <w:p w14:paraId="5DB84182" w14:textId="77777777" w:rsidR="000933D7" w:rsidRDefault="00000000">
      <w:pPr>
        <w:spacing w:after="60"/>
        <w:ind w:left="10" w:hanging="10"/>
        <w:jc w:val="center"/>
        <w:rPr>
          <w:rFonts w:eastAsia="Arial"/>
          <w:sz w:val="18"/>
        </w:rPr>
      </w:pPr>
      <w:r>
        <w:rPr>
          <w:rFonts w:eastAsia="Arial"/>
          <w:sz w:val="18"/>
        </w:rPr>
        <w:t>III. METHODOLOGY</w:t>
      </w:r>
    </w:p>
    <w:p w14:paraId="00B605A0" w14:textId="77777777" w:rsidR="000933D7" w:rsidRDefault="00000000">
      <w:pPr>
        <w:pStyle w:val="Heading1"/>
        <w:ind w:left="-5"/>
      </w:pPr>
      <w:r>
        <w:t>A. Baseline Pipeline</w:t>
      </w:r>
    </w:p>
    <w:p w14:paraId="62028618" w14:textId="77777777" w:rsidR="000933D7" w:rsidRDefault="00000000">
      <w:pPr>
        <w:spacing w:after="80"/>
        <w:ind w:firstLine="220"/>
      </w:pPr>
      <w:r>
        <w:t xml:space="preserve">The POPE dataset is fed through the baseline inference pipeline in a batch of one sample per forward pass. Images and questions are loaded synchronously on the main thread; preprocessing is done on </w:t>
      </w:r>
      <w:proofErr w:type="gramStart"/>
      <w:r>
        <w:t>CPU</w:t>
      </w:r>
      <w:proofErr w:type="gramEnd"/>
      <w:r>
        <w:t xml:space="preserve"> and the resulting tensors are copied to GPU VRAM just before every forward pass. It is loaded in default FP32 precision using </w:t>
      </w:r>
      <w:proofErr w:type="spellStart"/>
      <w:r>
        <w:t>AutoModelForCausalLM</w:t>
      </w:r>
      <w:proofErr w:type="spellEnd"/>
      <w:r>
        <w:t xml:space="preserve"> of HuggingFace Transformers. This scheme is the least possible, </w:t>
      </w:r>
      <w:proofErr w:type="spellStart"/>
      <w:r>
        <w:t>unoptimised</w:t>
      </w:r>
      <w:proofErr w:type="spellEnd"/>
      <w:r>
        <w:t xml:space="preserve"> inference scheme, the lower bound of performance.</w:t>
      </w:r>
    </w:p>
    <w:p w14:paraId="15DF1EB0" w14:textId="77777777" w:rsidR="000933D7" w:rsidRDefault="000933D7">
      <w:pPr>
        <w:spacing w:after="80"/>
        <w:ind w:firstLine="220"/>
      </w:pPr>
    </w:p>
    <w:p w14:paraId="2BA90E52" w14:textId="77777777" w:rsidR="000933D7" w:rsidRDefault="00000000">
      <w:pPr>
        <w:pStyle w:val="Heading1"/>
        <w:ind w:left="-5"/>
      </w:pPr>
      <w:r>
        <w:t>B. System Architecture</w:t>
      </w:r>
    </w:p>
    <w:p w14:paraId="0F97251A" w14:textId="77777777" w:rsidR="000933D7" w:rsidRDefault="00000000">
      <w:pPr>
        <w:ind w:firstLine="220"/>
      </w:pPr>
      <w:r>
        <w:t xml:space="preserve">Fig. 1 represents the entire </w:t>
      </w:r>
      <w:proofErr w:type="spellStart"/>
      <w:r>
        <w:t>optimised</w:t>
      </w:r>
      <w:proofErr w:type="spellEnd"/>
      <w:r>
        <w:t xml:space="preserve"> inference pipeline, illustrating the data flow between POPE dataset and asynchronous CPU preprocessing, memory transfer, simultaneous execution of dual-</w:t>
      </w:r>
      <w:proofErr w:type="spellStart"/>
      <w:r>
        <w:t>gpu</w:t>
      </w:r>
      <w:proofErr w:type="spellEnd"/>
      <w:r>
        <w:t xml:space="preserve"> model with HuggingFace Accelerate sharding and binary generation of results.</w:t>
      </w:r>
    </w:p>
    <w:p w14:paraId="34770A99" w14:textId="77777777" w:rsidR="000933D7" w:rsidRDefault="000933D7">
      <w:pPr>
        <w:ind w:firstLine="220"/>
      </w:pPr>
    </w:p>
    <w:p w14:paraId="55DE533E" w14:textId="77777777" w:rsidR="000933D7" w:rsidRDefault="00000000">
      <w:pPr>
        <w:pStyle w:val="Heading1"/>
        <w:ind w:left="-5"/>
      </w:pPr>
      <w:r>
        <w:t>C. Profiling Instrumentation</w:t>
      </w:r>
    </w:p>
    <w:p w14:paraId="4D2C4C30" w14:textId="77777777" w:rsidR="000933D7" w:rsidRDefault="00000000">
      <w:pPr>
        <w:spacing w:after="70"/>
        <w:ind w:firstLine="220"/>
      </w:pPr>
      <w:r>
        <w:t xml:space="preserve">The PyTorch Profiler was set up to record both CPU and CUDA activity of five inference samples with a single warmup run. To isolate the major overheads, profiling of sorted kernel-level CUDA operations by cumulative CUDA time is done. Two memory transfer functions were found to be critical: </w:t>
      </w:r>
      <w:proofErr w:type="spellStart"/>
      <w:proofErr w:type="gramStart"/>
      <w:r>
        <w:t>aten</w:t>
      </w:r>
      <w:proofErr w:type="spellEnd"/>
      <w:r>
        <w:t>::</w:t>
      </w:r>
      <w:proofErr w:type="gramEnd"/>
      <w:r>
        <w:t xml:space="preserve">copy_ (tensor dispatch-level copy is triggered by </w:t>
      </w:r>
      <w:proofErr w:type="spellStart"/>
      <w:r>
        <w:t>aten</w:t>
      </w:r>
      <w:proofErr w:type="spellEnd"/>
      <w:r>
        <w:t xml:space="preserve">::.to(device) calls) and </w:t>
      </w:r>
      <w:proofErr w:type="spellStart"/>
      <w:r>
        <w:t>Memcpy</w:t>
      </w:r>
      <w:proofErr w:type="spellEnd"/>
      <w:r>
        <w:t xml:space="preserve"> </w:t>
      </w:r>
      <w:proofErr w:type="spellStart"/>
      <w:r>
        <w:t>HtoD</w:t>
      </w:r>
      <w:proofErr w:type="spellEnd"/>
      <w:r>
        <w:t xml:space="preserve"> (low-level CUDA host-to-device transfer is triggered by </w:t>
      </w:r>
      <w:proofErr w:type="spellStart"/>
      <w:r>
        <w:t>aten</w:t>
      </w:r>
      <w:proofErr w:type="spellEnd"/>
      <w:r>
        <w:t>::.to(device) calls). Collectively, these took up 72.0% of overall CUDA execution time with only 16.1% of all time going to matrix multiplication (</w:t>
      </w:r>
      <w:proofErr w:type="spellStart"/>
      <w:proofErr w:type="gramStart"/>
      <w:r>
        <w:t>aten</w:t>
      </w:r>
      <w:proofErr w:type="spellEnd"/>
      <w:r>
        <w:t>::</w:t>
      </w:r>
      <w:proofErr w:type="gramEnd"/>
      <w:r>
        <w:t xml:space="preserve">mm / </w:t>
      </w:r>
      <w:proofErr w:type="spellStart"/>
      <w:r>
        <w:t>matmul</w:t>
      </w:r>
      <w:proofErr w:type="spellEnd"/>
      <w:r>
        <w:t>).</w:t>
      </w:r>
    </w:p>
    <w:p w14:paraId="37739F09" w14:textId="77777777" w:rsidR="000933D7" w:rsidRDefault="00000000">
      <w:pPr>
        <w:spacing w:after="60"/>
        <w:ind w:firstLine="0"/>
        <w:jc w:val="left"/>
      </w:pPr>
      <w:r>
        <w:rPr>
          <w:noProof/>
        </w:rPr>
        <w:drawing>
          <wp:inline distT="0" distB="0" distL="0" distR="0" wp14:anchorId="5303F09D" wp14:editId="5932A04F">
            <wp:extent cx="2742565" cy="3206750"/>
            <wp:effectExtent l="0" t="0" r="0" b="0"/>
            <wp:docPr id="1" name="Picture 85103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51030633"/>
                    <pic:cNvPicPr>
                      <a:picLocks noChangeAspect="1" noChangeArrowheads="1"/>
                    </pic:cNvPicPr>
                  </pic:nvPicPr>
                  <pic:blipFill>
                    <a:blip r:embed="rId6"/>
                    <a:stretch>
                      <a:fillRect/>
                    </a:stretch>
                  </pic:blipFill>
                  <pic:spPr bwMode="auto">
                    <a:xfrm>
                      <a:off x="0" y="0"/>
                      <a:ext cx="2742565" cy="3206750"/>
                    </a:xfrm>
                    <a:prstGeom prst="rect">
                      <a:avLst/>
                    </a:prstGeom>
                  </pic:spPr>
                </pic:pic>
              </a:graphicData>
            </a:graphic>
          </wp:inline>
        </w:drawing>
      </w:r>
    </w:p>
    <w:p w14:paraId="69A8EEB0" w14:textId="77777777" w:rsidR="000933D7" w:rsidRDefault="00000000">
      <w:pPr>
        <w:spacing w:after="60" w:line="264" w:lineRule="auto"/>
        <w:ind w:left="10" w:hanging="10"/>
        <w:jc w:val="center"/>
      </w:pPr>
      <w:r>
        <w:rPr>
          <w:b/>
          <w:i/>
          <w:sz w:val="17"/>
        </w:rPr>
        <w:t xml:space="preserve">Fig. 1. </w:t>
      </w:r>
      <w:proofErr w:type="spellStart"/>
      <w:r>
        <w:rPr>
          <w:b/>
          <w:i/>
          <w:sz w:val="17"/>
        </w:rPr>
        <w:t>Optimised</w:t>
      </w:r>
      <w:proofErr w:type="spellEnd"/>
      <w:r>
        <w:rPr>
          <w:b/>
          <w:i/>
          <w:sz w:val="17"/>
        </w:rPr>
        <w:t xml:space="preserve"> Inference Pipeline for EVEv2-7B on Dual-GPU Hardware</w:t>
      </w:r>
    </w:p>
    <w:p w14:paraId="10D9CEA6" w14:textId="77777777" w:rsidR="000933D7" w:rsidRDefault="000933D7">
      <w:pPr>
        <w:spacing w:after="70"/>
        <w:ind w:firstLine="220"/>
      </w:pPr>
    </w:p>
    <w:p w14:paraId="0ED981B0" w14:textId="77777777" w:rsidR="000933D7" w:rsidRDefault="00000000">
      <w:pPr>
        <w:pStyle w:val="Heading2"/>
        <w:rPr>
          <w:rFonts w:ascii="Times New Roman" w:hAnsi="Times New Roman" w:cs="Times New Roman"/>
        </w:rPr>
      </w:pPr>
      <w:r>
        <w:rPr>
          <w:rFonts w:ascii="Times New Roman" w:hAnsi="Times New Roman" w:cs="Times New Roman"/>
        </w:rPr>
        <w:t>TABLE I</w:t>
      </w:r>
    </w:p>
    <w:p w14:paraId="4950E613" w14:textId="77777777" w:rsidR="000933D7" w:rsidRDefault="00000000">
      <w:pPr>
        <w:spacing w:after="0"/>
        <w:ind w:left="10" w:hanging="10"/>
        <w:jc w:val="center"/>
        <w:rPr>
          <w:i/>
          <w:sz w:val="16"/>
        </w:rPr>
      </w:pPr>
      <w:r>
        <w:rPr>
          <w:i/>
          <w:sz w:val="16"/>
        </w:rPr>
        <w:t>PyTorch Profiler CUDA Operation Distribution (Baseline)</w:t>
      </w:r>
    </w:p>
    <w:p w14:paraId="3F973607" w14:textId="77777777" w:rsidR="000933D7" w:rsidRDefault="000933D7">
      <w:pPr>
        <w:spacing w:after="0"/>
        <w:ind w:left="10" w:hanging="10"/>
        <w:jc w:val="center"/>
      </w:pPr>
    </w:p>
    <w:tbl>
      <w:tblPr>
        <w:tblStyle w:val="TableGrid"/>
        <w:tblW w:w="5040" w:type="dxa"/>
        <w:tblInd w:w="0" w:type="dxa"/>
        <w:tblLayout w:type="fixed"/>
        <w:tblCellMar>
          <w:top w:w="114" w:type="dxa"/>
          <w:left w:w="154" w:type="dxa"/>
          <w:right w:w="115" w:type="dxa"/>
        </w:tblCellMar>
        <w:tblLook w:val="04A0" w:firstRow="1" w:lastRow="0" w:firstColumn="1" w:lastColumn="0" w:noHBand="0" w:noVBand="1"/>
      </w:tblPr>
      <w:tblGrid>
        <w:gridCol w:w="2268"/>
        <w:gridCol w:w="1260"/>
        <w:gridCol w:w="1512"/>
      </w:tblGrid>
      <w:tr w:rsidR="000933D7" w14:paraId="1DF30D49" w14:textId="77777777">
        <w:trPr>
          <w:trHeight w:val="560"/>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007D31" w14:textId="77777777" w:rsidR="000933D7" w:rsidRDefault="00000000">
            <w:pPr>
              <w:spacing w:after="0"/>
              <w:ind w:right="39" w:firstLine="0"/>
              <w:jc w:val="center"/>
            </w:pPr>
            <w:r>
              <w:rPr>
                <w:b/>
                <w:sz w:val="17"/>
              </w:rPr>
              <w:t>CUDA Operation</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58CF81B0" w14:textId="77777777" w:rsidR="000933D7" w:rsidRDefault="00000000">
            <w:pPr>
              <w:spacing w:after="7"/>
              <w:ind w:right="39" w:firstLine="0"/>
              <w:jc w:val="center"/>
            </w:pPr>
            <w:r>
              <w:rPr>
                <w:b/>
                <w:sz w:val="17"/>
              </w:rPr>
              <w:t>% CUDA</w:t>
            </w:r>
          </w:p>
          <w:p w14:paraId="2BAF2251" w14:textId="77777777" w:rsidR="000933D7" w:rsidRDefault="00000000">
            <w:pPr>
              <w:spacing w:after="0"/>
              <w:ind w:right="39" w:firstLine="0"/>
              <w:jc w:val="center"/>
            </w:pPr>
            <w:r>
              <w:rPr>
                <w:b/>
                <w:sz w:val="17"/>
              </w:rPr>
              <w:t>Time</w:t>
            </w:r>
          </w:p>
        </w:tc>
        <w:tc>
          <w:tcPr>
            <w:tcW w:w="151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C44E0C" w14:textId="77777777" w:rsidR="000933D7" w:rsidRDefault="00000000">
            <w:pPr>
              <w:spacing w:after="0"/>
              <w:ind w:right="39" w:firstLine="0"/>
              <w:jc w:val="center"/>
            </w:pPr>
            <w:r>
              <w:rPr>
                <w:b/>
                <w:sz w:val="17"/>
              </w:rPr>
              <w:t>Category</w:t>
            </w:r>
          </w:p>
        </w:tc>
      </w:tr>
      <w:tr w:rsidR="000933D7" w14:paraId="2998D9AC" w14:textId="77777777">
        <w:trPr>
          <w:trHeight w:val="340"/>
        </w:trPr>
        <w:tc>
          <w:tcPr>
            <w:tcW w:w="2268" w:type="dxa"/>
            <w:tcBorders>
              <w:top w:val="single" w:sz="4" w:space="0" w:color="000000"/>
              <w:left w:val="single" w:sz="4" w:space="0" w:color="000000"/>
              <w:bottom w:val="single" w:sz="4" w:space="0" w:color="000000"/>
              <w:right w:val="single" w:sz="4" w:space="0" w:color="000000"/>
            </w:tcBorders>
          </w:tcPr>
          <w:p w14:paraId="105164CB" w14:textId="77777777" w:rsidR="000933D7" w:rsidRDefault="00000000">
            <w:pPr>
              <w:spacing w:after="0"/>
              <w:ind w:right="39" w:firstLine="0"/>
              <w:jc w:val="center"/>
            </w:pPr>
            <w:proofErr w:type="spellStart"/>
            <w:proofErr w:type="gramStart"/>
            <w:r>
              <w:rPr>
                <w:sz w:val="17"/>
              </w:rPr>
              <w:t>aten</w:t>
            </w:r>
            <w:proofErr w:type="spellEnd"/>
            <w:r>
              <w:rPr>
                <w:sz w:val="17"/>
              </w:rPr>
              <w:t>::</w:t>
            </w:r>
            <w:proofErr w:type="gramEnd"/>
            <w:r>
              <w:rPr>
                <w:sz w:val="17"/>
              </w:rPr>
              <w:t xml:space="preserve">copy_ / </w:t>
            </w:r>
            <w:proofErr w:type="spellStart"/>
            <w:r>
              <w:rPr>
                <w:sz w:val="17"/>
              </w:rPr>
              <w:t>Memcpy</w:t>
            </w:r>
            <w:proofErr w:type="spellEnd"/>
            <w:r>
              <w:rPr>
                <w:sz w:val="17"/>
              </w:rPr>
              <w:t xml:space="preserve"> </w:t>
            </w:r>
            <w:proofErr w:type="spellStart"/>
            <w:r>
              <w:rPr>
                <w:sz w:val="17"/>
              </w:rPr>
              <w:t>HtoD</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1D9466DC" w14:textId="77777777" w:rsidR="000933D7" w:rsidRDefault="00000000">
            <w:pPr>
              <w:spacing w:after="0"/>
              <w:ind w:right="39" w:firstLine="0"/>
              <w:jc w:val="center"/>
            </w:pPr>
            <w:r>
              <w:rPr>
                <w:sz w:val="17"/>
              </w:rPr>
              <w:t>72.0%</w:t>
            </w:r>
          </w:p>
        </w:tc>
        <w:tc>
          <w:tcPr>
            <w:tcW w:w="1512" w:type="dxa"/>
            <w:tcBorders>
              <w:top w:val="single" w:sz="4" w:space="0" w:color="000000"/>
              <w:left w:val="single" w:sz="4" w:space="0" w:color="000000"/>
              <w:bottom w:val="single" w:sz="4" w:space="0" w:color="000000"/>
              <w:right w:val="single" w:sz="4" w:space="0" w:color="000000"/>
            </w:tcBorders>
          </w:tcPr>
          <w:p w14:paraId="613AD8B7" w14:textId="77777777" w:rsidR="000933D7" w:rsidRDefault="00000000">
            <w:pPr>
              <w:spacing w:after="0"/>
              <w:ind w:firstLine="0"/>
              <w:jc w:val="left"/>
            </w:pPr>
            <w:r>
              <w:rPr>
                <w:sz w:val="17"/>
              </w:rPr>
              <w:t>Memory Transfer</w:t>
            </w:r>
          </w:p>
        </w:tc>
      </w:tr>
      <w:tr w:rsidR="000933D7" w14:paraId="212DBF54" w14:textId="77777777">
        <w:trPr>
          <w:trHeight w:val="340"/>
        </w:trPr>
        <w:tc>
          <w:tcPr>
            <w:tcW w:w="2268" w:type="dxa"/>
            <w:tcBorders>
              <w:top w:val="single" w:sz="4" w:space="0" w:color="000000"/>
              <w:left w:val="single" w:sz="4" w:space="0" w:color="000000"/>
              <w:bottom w:val="single" w:sz="4" w:space="0" w:color="000000"/>
              <w:right w:val="single" w:sz="4" w:space="0" w:color="000000"/>
            </w:tcBorders>
          </w:tcPr>
          <w:p w14:paraId="67E35241" w14:textId="77777777" w:rsidR="000933D7" w:rsidRDefault="00000000">
            <w:pPr>
              <w:spacing w:after="0"/>
              <w:ind w:right="39" w:firstLine="0"/>
              <w:jc w:val="center"/>
            </w:pPr>
            <w:proofErr w:type="spellStart"/>
            <w:proofErr w:type="gramStart"/>
            <w:r>
              <w:rPr>
                <w:sz w:val="17"/>
              </w:rPr>
              <w:t>aten</w:t>
            </w:r>
            <w:proofErr w:type="spellEnd"/>
            <w:r>
              <w:rPr>
                <w:sz w:val="17"/>
              </w:rPr>
              <w:t>::</w:t>
            </w:r>
            <w:proofErr w:type="gramEnd"/>
            <w:r>
              <w:rPr>
                <w:sz w:val="17"/>
              </w:rPr>
              <w:t xml:space="preserve">mm / </w:t>
            </w:r>
            <w:proofErr w:type="spellStart"/>
            <w:r>
              <w:rPr>
                <w:sz w:val="17"/>
              </w:rPr>
              <w:t>matmul</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16D77F5A" w14:textId="77777777" w:rsidR="000933D7" w:rsidRDefault="00000000">
            <w:pPr>
              <w:spacing w:after="0"/>
              <w:ind w:right="39" w:firstLine="0"/>
              <w:jc w:val="center"/>
            </w:pPr>
            <w:r>
              <w:rPr>
                <w:sz w:val="17"/>
              </w:rPr>
              <w:t>16.1%</w:t>
            </w:r>
          </w:p>
        </w:tc>
        <w:tc>
          <w:tcPr>
            <w:tcW w:w="1512" w:type="dxa"/>
            <w:tcBorders>
              <w:top w:val="single" w:sz="4" w:space="0" w:color="000000"/>
              <w:left w:val="single" w:sz="4" w:space="0" w:color="000000"/>
              <w:bottom w:val="single" w:sz="4" w:space="0" w:color="000000"/>
              <w:right w:val="single" w:sz="4" w:space="0" w:color="000000"/>
            </w:tcBorders>
          </w:tcPr>
          <w:p w14:paraId="643D5D36" w14:textId="77777777" w:rsidR="000933D7" w:rsidRDefault="00000000">
            <w:pPr>
              <w:spacing w:after="0"/>
              <w:ind w:right="39" w:firstLine="0"/>
              <w:jc w:val="center"/>
            </w:pPr>
            <w:r>
              <w:rPr>
                <w:sz w:val="17"/>
              </w:rPr>
              <w:t>Matrix Multiply</w:t>
            </w:r>
          </w:p>
        </w:tc>
      </w:tr>
      <w:tr w:rsidR="000933D7" w14:paraId="4CAB09F1" w14:textId="77777777">
        <w:trPr>
          <w:trHeight w:val="340"/>
        </w:trPr>
        <w:tc>
          <w:tcPr>
            <w:tcW w:w="2268" w:type="dxa"/>
            <w:tcBorders>
              <w:top w:val="single" w:sz="4" w:space="0" w:color="000000"/>
              <w:left w:val="single" w:sz="4" w:space="0" w:color="000000"/>
              <w:bottom w:val="single" w:sz="4" w:space="0" w:color="000000"/>
              <w:right w:val="single" w:sz="4" w:space="0" w:color="000000"/>
            </w:tcBorders>
          </w:tcPr>
          <w:p w14:paraId="7311C3C4" w14:textId="77777777" w:rsidR="000933D7" w:rsidRDefault="00000000">
            <w:pPr>
              <w:spacing w:after="0"/>
              <w:ind w:right="39" w:firstLine="0"/>
              <w:jc w:val="center"/>
            </w:pPr>
            <w:r>
              <w:rPr>
                <w:b/>
                <w:sz w:val="17"/>
              </w:rPr>
              <w:t>Other Operations</w:t>
            </w:r>
          </w:p>
        </w:tc>
        <w:tc>
          <w:tcPr>
            <w:tcW w:w="1260" w:type="dxa"/>
            <w:tcBorders>
              <w:top w:val="single" w:sz="4" w:space="0" w:color="000000"/>
              <w:left w:val="single" w:sz="4" w:space="0" w:color="000000"/>
              <w:bottom w:val="single" w:sz="4" w:space="0" w:color="000000"/>
              <w:right w:val="single" w:sz="4" w:space="0" w:color="000000"/>
            </w:tcBorders>
          </w:tcPr>
          <w:p w14:paraId="0B9036A2" w14:textId="77777777" w:rsidR="000933D7" w:rsidRDefault="00000000">
            <w:pPr>
              <w:spacing w:after="0"/>
              <w:ind w:right="39" w:firstLine="0"/>
              <w:jc w:val="center"/>
            </w:pPr>
            <w:r>
              <w:rPr>
                <w:b/>
                <w:sz w:val="17"/>
              </w:rPr>
              <w:t>11.9%</w:t>
            </w:r>
          </w:p>
        </w:tc>
        <w:tc>
          <w:tcPr>
            <w:tcW w:w="1512" w:type="dxa"/>
            <w:tcBorders>
              <w:top w:val="single" w:sz="4" w:space="0" w:color="000000"/>
              <w:left w:val="single" w:sz="4" w:space="0" w:color="000000"/>
              <w:bottom w:val="single" w:sz="4" w:space="0" w:color="000000"/>
              <w:right w:val="single" w:sz="4" w:space="0" w:color="000000"/>
            </w:tcBorders>
          </w:tcPr>
          <w:p w14:paraId="368CA537" w14:textId="77777777" w:rsidR="000933D7" w:rsidRDefault="00000000">
            <w:pPr>
              <w:spacing w:after="0"/>
              <w:ind w:right="39" w:firstLine="0"/>
              <w:jc w:val="center"/>
            </w:pPr>
            <w:r>
              <w:rPr>
                <w:b/>
                <w:sz w:val="17"/>
              </w:rPr>
              <w:t>Misc. Kernels</w:t>
            </w:r>
          </w:p>
        </w:tc>
      </w:tr>
    </w:tbl>
    <w:p w14:paraId="58A95005" w14:textId="77777777" w:rsidR="000933D7" w:rsidRDefault="000933D7">
      <w:pPr>
        <w:pStyle w:val="Heading1"/>
        <w:ind w:left="-5"/>
      </w:pPr>
    </w:p>
    <w:p w14:paraId="726FB81D" w14:textId="77777777" w:rsidR="000933D7" w:rsidRDefault="00000000">
      <w:pPr>
        <w:pStyle w:val="Heading1"/>
        <w:ind w:left="-5"/>
      </w:pPr>
      <w:r>
        <w:t>D. Optimization Strategy</w:t>
      </w:r>
    </w:p>
    <w:p w14:paraId="42F72ABE" w14:textId="77777777" w:rsidR="000933D7" w:rsidRDefault="00000000">
      <w:pPr>
        <w:ind w:firstLine="220"/>
      </w:pPr>
      <w:r>
        <w:t xml:space="preserve">FP16 Mixed-Precision Inference. Depending on the FP32 to half-precision (FP16) conversion of the model weights and activations, reduces the transfer payload per element by half. Explicit casting was used with </w:t>
      </w:r>
      <w:proofErr w:type="spellStart"/>
      <w:proofErr w:type="gramStart"/>
      <w:r>
        <w:t>torch.dtype</w:t>
      </w:r>
      <w:proofErr w:type="spellEnd"/>
      <w:proofErr w:type="gramEnd"/>
      <w:r>
        <w:t>=torch. float16 as it prevents the automatic upcasting that occurs during the HuggingFace loading of models.</w:t>
      </w:r>
    </w:p>
    <w:p w14:paraId="1F2F9EC1" w14:textId="77777777" w:rsidR="000933D7" w:rsidRDefault="00000000">
      <w:pPr>
        <w:ind w:firstLine="220"/>
      </w:pPr>
      <w:r>
        <w:t xml:space="preserve">Sharding with multi-GPUs through the Accelerate. The 7B model is larger than 15 GB VRAM of a single T4. HuggingFace Accelerate was set to divide layers using the T4 GPUs with max memory of 0 in one card and 9GiB in the other </w:t>
      </w:r>
      <w:proofErr w:type="gramStart"/>
      <w:r>
        <w:t>card, and</w:t>
      </w:r>
      <w:proofErr w:type="gramEnd"/>
      <w:r>
        <w:t xml:space="preserve"> sharing the weight storage across 18 GB of aggregate VRAM. Outer layers are disk-offloaded - a hardware constraint of the T4 platform.</w:t>
      </w:r>
    </w:p>
    <w:p w14:paraId="00EA22E4" w14:textId="77777777" w:rsidR="000933D7" w:rsidRDefault="00000000">
      <w:pPr>
        <w:ind w:firstLine="220"/>
      </w:pPr>
      <w:r>
        <w:t xml:space="preserve">Asynchronous </w:t>
      </w:r>
      <w:proofErr w:type="spellStart"/>
      <w:r>
        <w:t>DataLoader</w:t>
      </w:r>
      <w:proofErr w:type="spellEnd"/>
      <w:r>
        <w:t xml:space="preserve"> Overlap. </w:t>
      </w:r>
      <w:proofErr w:type="spellStart"/>
      <w:r>
        <w:t>cpu</w:t>
      </w:r>
      <w:proofErr w:type="spellEnd"/>
      <w:r>
        <w:t xml:space="preserve"> preprocessing of the next batch is overlapped with the execution of the current forward pass by the GPU in a use of pin-memory was omitted because of memory allocation errors due to disk-offloading interactions-a </w:t>
      </w:r>
      <w:proofErr w:type="gramStart"/>
      <w:r>
        <w:t>hardware imposed</w:t>
      </w:r>
      <w:proofErr w:type="gramEnd"/>
      <w:r>
        <w:t xml:space="preserve"> constraint.</w:t>
      </w:r>
    </w:p>
    <w:p w14:paraId="314930F6" w14:textId="77777777" w:rsidR="000933D7" w:rsidRDefault="00000000">
      <w:pPr>
        <w:spacing w:after="5"/>
        <w:ind w:left="10" w:right="-15" w:hanging="10"/>
        <w:jc w:val="right"/>
      </w:pPr>
      <w:r>
        <w:lastRenderedPageBreak/>
        <w:t xml:space="preserve">Batched Inference (BS=2). The </w:t>
      </w:r>
      <w:proofErr w:type="spellStart"/>
      <w:r>
        <w:t>amortisation</w:t>
      </w:r>
      <w:proofErr w:type="spellEnd"/>
      <w:r>
        <w:t xml:space="preserve"> of the overhead of launching a kernel and the fixed fraction of </w:t>
      </w:r>
      <w:proofErr w:type="spellStart"/>
      <w:r>
        <w:t>HtoD</w:t>
      </w:r>
      <w:proofErr w:type="spellEnd"/>
      <w:r>
        <w:t xml:space="preserve"> transfer cost between multiple samples was performed by increasing the batch size in the range of 1 to 2 (maximum size possible without out-of-memory errors).</w:t>
      </w:r>
    </w:p>
    <w:p w14:paraId="5FE826AE" w14:textId="77777777" w:rsidR="000933D7" w:rsidRDefault="000933D7">
      <w:pPr>
        <w:spacing w:after="80"/>
      </w:pPr>
    </w:p>
    <w:p w14:paraId="6820DA55" w14:textId="77777777" w:rsidR="000933D7" w:rsidRDefault="00000000">
      <w:pPr>
        <w:spacing w:after="60"/>
        <w:ind w:left="10" w:hanging="10"/>
        <w:jc w:val="center"/>
      </w:pPr>
      <w:r>
        <w:rPr>
          <w:rFonts w:eastAsia="Arial"/>
          <w:sz w:val="18"/>
        </w:rPr>
        <w:t>IV. EXPERIMENTS</w:t>
      </w:r>
    </w:p>
    <w:p w14:paraId="4F64CD70" w14:textId="77777777" w:rsidR="000933D7" w:rsidRDefault="00000000">
      <w:pPr>
        <w:pStyle w:val="Heading1"/>
        <w:ind w:left="-5"/>
      </w:pPr>
      <w:r>
        <w:t>A. Hardware and Software Environment</w:t>
      </w:r>
    </w:p>
    <w:p w14:paraId="692A245E" w14:textId="77777777" w:rsidR="000933D7" w:rsidRDefault="00000000">
      <w:pPr>
        <w:spacing w:after="80"/>
        <w:ind w:firstLine="220"/>
      </w:pPr>
      <w:r>
        <w:t xml:space="preserve">All tests were done in Kaggle Notebooks with two NVIDIA Tesla T4 GPUs (15 GB GDDR6 VRAM each, 30 GB in total). The T4 is a Turing architecture data </w:t>
      </w:r>
      <w:proofErr w:type="spellStart"/>
      <w:r>
        <w:t>centre</w:t>
      </w:r>
      <w:proofErr w:type="spellEnd"/>
      <w:r>
        <w:t xml:space="preserve"> inference GPU with 320 Tensor Cores </w:t>
      </w:r>
      <w:proofErr w:type="spellStart"/>
      <w:r>
        <w:t>optimised</w:t>
      </w:r>
      <w:proofErr w:type="spellEnd"/>
      <w:r>
        <w:t xml:space="preserve"> to FP16 and INT8. Software included PyTorch with CUDA support, HuggingFace Transformers and Accelerate, Pillow, and datasets library.</w:t>
      </w:r>
    </w:p>
    <w:p w14:paraId="10C20C75" w14:textId="77777777" w:rsidR="000933D7" w:rsidRDefault="00000000">
      <w:pPr>
        <w:pStyle w:val="Heading1"/>
        <w:spacing w:after="68"/>
        <w:ind w:left="-5"/>
      </w:pPr>
      <w:r>
        <w:t>B. Model</w:t>
      </w:r>
    </w:p>
    <w:p w14:paraId="7F64A3F7" w14:textId="77777777" w:rsidR="000933D7" w:rsidRDefault="00000000">
      <w:pPr>
        <w:tabs>
          <w:tab w:val="center" w:pos="368"/>
          <w:tab w:val="center" w:pos="1111"/>
          <w:tab w:val="center" w:pos="1944"/>
          <w:tab w:val="center" w:pos="2477"/>
          <w:tab w:val="center" w:pos="3748"/>
          <w:tab w:val="right" w:pos="5040"/>
        </w:tabs>
        <w:spacing w:after="5"/>
        <w:ind w:right="-15" w:firstLine="0"/>
        <w:jc w:val="left"/>
      </w:pPr>
      <w:r>
        <w:rPr>
          <w:rFonts w:eastAsia="Calibri"/>
          <w:sz w:val="22"/>
        </w:rPr>
        <w:tab/>
      </w:r>
      <w:r>
        <w:t xml:space="preserve">The </w:t>
      </w:r>
      <w:r>
        <w:tab/>
        <w:t xml:space="preserve">evaluated </w:t>
      </w:r>
      <w:r>
        <w:tab/>
        <w:t xml:space="preserve">model </w:t>
      </w:r>
      <w:r>
        <w:tab/>
        <w:t xml:space="preserve">is </w:t>
      </w:r>
      <w:r>
        <w:tab/>
        <w:t xml:space="preserve">BAAI/EVE-7B-HD-v2.0, a 7-billion-parameter encoder-free </w:t>
      </w:r>
      <w:proofErr w:type="spellStart"/>
      <w:r>
        <w:t>Vlm</w:t>
      </w:r>
      <w:proofErr w:type="spellEnd"/>
      <w:r>
        <w:t xml:space="preserve"> that takes in high quality image inputs. Its architecture has flattened visual tokens passively co-input with the text tokens into a single transformer, allowing end-to-end multimodal reasoning with flattened visual tokens but not a </w:t>
      </w:r>
      <w:proofErr w:type="gramStart"/>
      <w:r>
        <w:t>dedicated vision</w:t>
      </w:r>
      <w:proofErr w:type="gramEnd"/>
      <w:r>
        <w:t xml:space="preserve"> backbone.</w:t>
      </w:r>
    </w:p>
    <w:p w14:paraId="52F3352A" w14:textId="77777777" w:rsidR="000933D7" w:rsidRDefault="00000000">
      <w:pPr>
        <w:pStyle w:val="Heading1"/>
        <w:ind w:left="-5"/>
      </w:pPr>
      <w:r>
        <w:t>C. Benchmark Dataset</w:t>
      </w:r>
    </w:p>
    <w:p w14:paraId="574B5E9A" w14:textId="77777777" w:rsidR="000933D7" w:rsidRDefault="00000000">
      <w:pPr>
        <w:spacing w:after="80"/>
        <w:ind w:firstLine="220"/>
      </w:pPr>
      <w:r>
        <w:t xml:space="preserve">The POPE (Polling-based Object Proving Evaluation) benchmark consists of 9,000 binary Yes/No-questions which have an equal distribution among three categories: Random (random sampling of MSCOCO objects), Popular (frequently co-occurring objects), and Adversarial (objects that are not included in an image but frequently co-occur with some of the objects included in the image). The choice of POPE over </w:t>
      </w:r>
      <w:proofErr w:type="spellStart"/>
      <w:r>
        <w:t>TextVQA</w:t>
      </w:r>
      <w:proofErr w:type="spellEnd"/>
      <w:r>
        <w:t xml:space="preserve"> and GQA was because the binary response format in POPE anonymously and noise-free evaluation signal.</w:t>
      </w:r>
    </w:p>
    <w:p w14:paraId="01792BB1" w14:textId="77777777" w:rsidR="000933D7" w:rsidRDefault="00000000">
      <w:pPr>
        <w:pStyle w:val="Heading1"/>
        <w:ind w:left="-5"/>
      </w:pPr>
      <w:r>
        <w:t>D. Evaluation Metrics</w:t>
      </w:r>
    </w:p>
    <w:p w14:paraId="208DCE70" w14:textId="77777777" w:rsidR="000933D7" w:rsidRDefault="00000000">
      <w:pPr>
        <w:spacing w:after="80"/>
        <w:ind w:firstLine="220"/>
      </w:pPr>
      <w:r>
        <w:t>Performance is understood by throughput in queries per second (q/s), effective wall-clock time per sample, performance on the entire 9,000-question benchmark. The F1 score is used as an evaluation of accuracy in binary Yes/No predictions within individual POPE categories and the overall mean.</w:t>
      </w:r>
    </w:p>
    <w:p w14:paraId="7B356DCF" w14:textId="77777777" w:rsidR="000933D7" w:rsidRDefault="000933D7">
      <w:pPr>
        <w:spacing w:after="80"/>
        <w:ind w:firstLine="220"/>
      </w:pPr>
    </w:p>
    <w:p w14:paraId="4BC2A2B6" w14:textId="77777777" w:rsidR="000933D7" w:rsidRDefault="00000000">
      <w:pPr>
        <w:spacing w:after="60"/>
        <w:ind w:left="10" w:hanging="10"/>
        <w:jc w:val="center"/>
      </w:pPr>
      <w:r>
        <w:rPr>
          <w:rFonts w:eastAsia="Arial"/>
          <w:sz w:val="18"/>
        </w:rPr>
        <w:t>V. RESULTS &amp; DISCUSSION</w:t>
      </w:r>
    </w:p>
    <w:p w14:paraId="04E8EFC5" w14:textId="77777777" w:rsidR="000933D7" w:rsidRDefault="00000000">
      <w:pPr>
        <w:pStyle w:val="Heading1"/>
        <w:ind w:left="-5"/>
      </w:pPr>
      <w:r>
        <w:t>A. Profiling Results</w:t>
      </w:r>
    </w:p>
    <w:p w14:paraId="77430F43" w14:textId="77777777" w:rsidR="000933D7" w:rsidRDefault="00000000">
      <w:pPr>
        <w:spacing w:after="80"/>
        <w:ind w:firstLine="220"/>
      </w:pPr>
      <w:r>
        <w:t xml:space="preserve">Table I indicates the PyTorch Profiler CUDA operation analysis of the five samples of the baseline. The information clearly qualifies the pipeline to be </w:t>
      </w:r>
      <w:proofErr w:type="gramStart"/>
      <w:r>
        <w:t>memory-bound</w:t>
      </w:r>
      <w:proofErr w:type="gramEnd"/>
      <w:r>
        <w:t xml:space="preserve">. The GPU tensor cores were being run at a practical </w:t>
      </w:r>
      <w:proofErr w:type="spellStart"/>
      <w:r>
        <w:t>utilisation</w:t>
      </w:r>
      <w:proofErr w:type="spellEnd"/>
      <w:r>
        <w:t xml:space="preserve"> of only around 16% of the theoretical capacity of the cores.</w:t>
      </w:r>
    </w:p>
    <w:p w14:paraId="62AD6E1B" w14:textId="77777777" w:rsidR="000933D7" w:rsidRDefault="00000000">
      <w:pPr>
        <w:pStyle w:val="Heading1"/>
        <w:ind w:left="-5"/>
      </w:pPr>
      <w:r>
        <w:t>B. Throughput and Speedup</w:t>
      </w:r>
    </w:p>
    <w:p w14:paraId="3265E9E3" w14:textId="77777777" w:rsidR="000933D7" w:rsidRDefault="00000000">
      <w:pPr>
        <w:spacing w:after="70"/>
        <w:ind w:firstLine="220"/>
      </w:pPr>
      <w:r>
        <w:t xml:space="preserve">The </w:t>
      </w:r>
      <w:proofErr w:type="spellStart"/>
      <w:r>
        <w:t>optimised</w:t>
      </w:r>
      <w:proofErr w:type="spellEnd"/>
      <w:r>
        <w:t xml:space="preserve"> pipeline ran each batch of two samples in 14.67 s wall-clock time, with 7.33 s/sample and 0.136 q/s effective throughput a 1.185x speedup compared to the baseline 0.115 q/s. The total benchmark inference time decreased by 3.4 hours and was 18.3 hours versus 21.7 hours on the POPE evaluation comprising 9,000 questions. Table II and Fig. 2 report and </w:t>
      </w:r>
      <w:proofErr w:type="spellStart"/>
      <w:r>
        <w:t>visualise</w:t>
      </w:r>
      <w:proofErr w:type="spellEnd"/>
      <w:r>
        <w:t xml:space="preserve"> the throughput comparison, respectively.</w:t>
      </w:r>
    </w:p>
    <w:p w14:paraId="0ACA6868" w14:textId="77777777" w:rsidR="000933D7" w:rsidRDefault="000933D7">
      <w:pPr>
        <w:spacing w:after="70"/>
        <w:ind w:firstLine="220"/>
      </w:pPr>
    </w:p>
    <w:p w14:paraId="12142770" w14:textId="77777777" w:rsidR="000933D7" w:rsidRDefault="000933D7">
      <w:pPr>
        <w:spacing w:after="70"/>
        <w:ind w:firstLine="220"/>
      </w:pPr>
    </w:p>
    <w:p w14:paraId="2A39BC5F" w14:textId="77777777" w:rsidR="000933D7" w:rsidRDefault="00000000">
      <w:pPr>
        <w:pStyle w:val="Heading2"/>
        <w:rPr>
          <w:rFonts w:ascii="Times New Roman" w:hAnsi="Times New Roman" w:cs="Times New Roman"/>
        </w:rPr>
      </w:pPr>
      <w:r>
        <w:rPr>
          <w:rFonts w:ascii="Times New Roman" w:hAnsi="Times New Roman" w:cs="Times New Roman"/>
        </w:rPr>
        <w:t>TABLE II</w:t>
      </w:r>
    </w:p>
    <w:p w14:paraId="03FC4356" w14:textId="77777777" w:rsidR="000933D7" w:rsidRDefault="00000000">
      <w:pPr>
        <w:spacing w:after="0"/>
        <w:ind w:left="10" w:hanging="10"/>
        <w:jc w:val="center"/>
      </w:pPr>
      <w:r>
        <w:rPr>
          <w:i/>
          <w:sz w:val="16"/>
        </w:rPr>
        <w:t xml:space="preserve">Inference Throughput Comparison — Baseline vs. </w:t>
      </w:r>
      <w:proofErr w:type="spellStart"/>
      <w:r>
        <w:rPr>
          <w:i/>
          <w:sz w:val="16"/>
        </w:rPr>
        <w:t>Optimised</w:t>
      </w:r>
      <w:proofErr w:type="spellEnd"/>
      <w:r>
        <w:rPr>
          <w:i/>
          <w:sz w:val="16"/>
        </w:rPr>
        <w:t xml:space="preserve"> Pipeline</w:t>
      </w:r>
    </w:p>
    <w:tbl>
      <w:tblPr>
        <w:tblStyle w:val="TableGrid"/>
        <w:tblW w:w="5040" w:type="dxa"/>
        <w:tblInd w:w="0" w:type="dxa"/>
        <w:tblLayout w:type="fixed"/>
        <w:tblCellMar>
          <w:top w:w="110" w:type="dxa"/>
          <w:left w:w="134" w:type="dxa"/>
          <w:right w:w="115" w:type="dxa"/>
        </w:tblCellMar>
        <w:tblLook w:val="04A0" w:firstRow="1" w:lastRow="0" w:firstColumn="1" w:lastColumn="0" w:noHBand="0" w:noVBand="1"/>
      </w:tblPr>
      <w:tblGrid>
        <w:gridCol w:w="1513"/>
        <w:gridCol w:w="1108"/>
        <w:gridCol w:w="1210"/>
        <w:gridCol w:w="1209"/>
      </w:tblGrid>
      <w:tr w:rsidR="000933D7" w14:paraId="5C3531A1" w14:textId="77777777">
        <w:trPr>
          <w:trHeight w:val="560"/>
        </w:trPr>
        <w:tc>
          <w:tcPr>
            <w:tcW w:w="151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AFDDE8" w14:textId="77777777" w:rsidR="000933D7" w:rsidRDefault="00000000">
            <w:pPr>
              <w:spacing w:after="0"/>
              <w:ind w:right="19" w:firstLine="0"/>
              <w:jc w:val="center"/>
            </w:pPr>
            <w:r>
              <w:rPr>
                <w:b/>
                <w:sz w:val="17"/>
              </w:rPr>
              <w:t>Configuration</w:t>
            </w:r>
          </w:p>
        </w:tc>
        <w:tc>
          <w:tcPr>
            <w:tcW w:w="1108" w:type="dxa"/>
            <w:tcBorders>
              <w:top w:val="single" w:sz="4" w:space="0" w:color="000000"/>
              <w:left w:val="single" w:sz="4" w:space="0" w:color="000000"/>
              <w:bottom w:val="single" w:sz="4" w:space="0" w:color="000000"/>
              <w:right w:val="single" w:sz="4" w:space="0" w:color="000000"/>
            </w:tcBorders>
            <w:shd w:val="clear" w:color="auto" w:fill="D9D9D9"/>
          </w:tcPr>
          <w:p w14:paraId="18E0F8CE" w14:textId="77777777" w:rsidR="000933D7" w:rsidRDefault="00000000">
            <w:pPr>
              <w:spacing w:after="7"/>
              <w:ind w:firstLine="0"/>
              <w:jc w:val="left"/>
            </w:pPr>
            <w:r>
              <w:rPr>
                <w:b/>
                <w:sz w:val="17"/>
              </w:rPr>
              <w:t>Time/Samp</w:t>
            </w:r>
          </w:p>
          <w:p w14:paraId="09B5C37E" w14:textId="77777777" w:rsidR="000933D7" w:rsidRDefault="00000000">
            <w:pPr>
              <w:spacing w:after="0"/>
              <w:ind w:right="19" w:firstLine="0"/>
              <w:jc w:val="center"/>
            </w:pPr>
            <w:r>
              <w:rPr>
                <w:b/>
                <w:sz w:val="17"/>
              </w:rPr>
              <w:t>le</w:t>
            </w:r>
          </w:p>
        </w:tc>
        <w:tc>
          <w:tcPr>
            <w:tcW w:w="1210" w:type="dxa"/>
            <w:tcBorders>
              <w:top w:val="single" w:sz="4" w:space="0" w:color="000000"/>
              <w:left w:val="single" w:sz="4" w:space="0" w:color="000000"/>
              <w:bottom w:val="single" w:sz="4" w:space="0" w:color="000000"/>
              <w:right w:val="single" w:sz="4" w:space="0" w:color="000000"/>
            </w:tcBorders>
            <w:shd w:val="clear" w:color="auto" w:fill="D9D9D9"/>
          </w:tcPr>
          <w:p w14:paraId="1D196549" w14:textId="77777777" w:rsidR="000933D7" w:rsidRDefault="00000000">
            <w:pPr>
              <w:spacing w:after="7"/>
              <w:ind w:left="27" w:firstLine="0"/>
              <w:jc w:val="left"/>
            </w:pPr>
            <w:r>
              <w:rPr>
                <w:b/>
                <w:sz w:val="17"/>
              </w:rPr>
              <w:t>Throughput</w:t>
            </w:r>
          </w:p>
          <w:p w14:paraId="724F50F2" w14:textId="77777777" w:rsidR="000933D7" w:rsidRDefault="00000000">
            <w:pPr>
              <w:spacing w:after="0"/>
              <w:ind w:right="19" w:firstLine="0"/>
              <w:jc w:val="center"/>
            </w:pPr>
            <w:r>
              <w:rPr>
                <w:b/>
                <w:sz w:val="17"/>
              </w:rPr>
              <w:t>(q/s)</w:t>
            </w:r>
          </w:p>
        </w:tc>
        <w:tc>
          <w:tcPr>
            <w:tcW w:w="1209" w:type="dxa"/>
            <w:tcBorders>
              <w:top w:val="single" w:sz="4" w:space="0" w:color="000000"/>
              <w:left w:val="single" w:sz="4" w:space="0" w:color="000000"/>
              <w:bottom w:val="single" w:sz="4" w:space="0" w:color="000000"/>
              <w:right w:val="single" w:sz="4" w:space="0" w:color="000000"/>
            </w:tcBorders>
            <w:shd w:val="clear" w:color="auto" w:fill="D9D9D9"/>
          </w:tcPr>
          <w:p w14:paraId="67E1534A" w14:textId="77777777" w:rsidR="000933D7" w:rsidRDefault="00000000">
            <w:pPr>
              <w:spacing w:after="7"/>
              <w:ind w:right="19" w:firstLine="0"/>
              <w:jc w:val="center"/>
            </w:pPr>
            <w:r>
              <w:rPr>
                <w:b/>
                <w:sz w:val="17"/>
              </w:rPr>
              <w:t>Total (9K</w:t>
            </w:r>
          </w:p>
          <w:p w14:paraId="4A4535FE" w14:textId="77777777" w:rsidR="000933D7" w:rsidRDefault="00000000">
            <w:pPr>
              <w:spacing w:after="0"/>
              <w:ind w:right="19" w:firstLine="0"/>
              <w:jc w:val="center"/>
            </w:pPr>
            <w:r>
              <w:rPr>
                <w:b/>
                <w:sz w:val="17"/>
              </w:rPr>
              <w:t>Qs)</w:t>
            </w:r>
          </w:p>
        </w:tc>
      </w:tr>
      <w:tr w:rsidR="000933D7" w14:paraId="086E6E19" w14:textId="77777777">
        <w:trPr>
          <w:trHeight w:val="780"/>
        </w:trPr>
        <w:tc>
          <w:tcPr>
            <w:tcW w:w="1512" w:type="dxa"/>
            <w:tcBorders>
              <w:top w:val="single" w:sz="4" w:space="0" w:color="000000"/>
              <w:left w:val="single" w:sz="4" w:space="0" w:color="000000"/>
              <w:bottom w:val="single" w:sz="4" w:space="0" w:color="000000"/>
              <w:right w:val="single" w:sz="4" w:space="0" w:color="000000"/>
            </w:tcBorders>
          </w:tcPr>
          <w:p w14:paraId="7FBDDDF4" w14:textId="77777777" w:rsidR="000933D7" w:rsidRDefault="00000000">
            <w:pPr>
              <w:spacing w:after="7"/>
              <w:ind w:right="19" w:firstLine="0"/>
              <w:jc w:val="center"/>
            </w:pPr>
            <w:r>
              <w:rPr>
                <w:sz w:val="17"/>
              </w:rPr>
              <w:t>Baseline</w:t>
            </w:r>
          </w:p>
          <w:p w14:paraId="31F8CC22" w14:textId="77777777" w:rsidR="000933D7" w:rsidRDefault="00000000">
            <w:pPr>
              <w:spacing w:after="7"/>
              <w:ind w:right="19" w:firstLine="0"/>
              <w:jc w:val="center"/>
            </w:pPr>
            <w:r>
              <w:rPr>
                <w:sz w:val="17"/>
              </w:rPr>
              <w:t>(Sequential,</w:t>
            </w:r>
          </w:p>
          <w:p w14:paraId="30BBFCCF" w14:textId="77777777" w:rsidR="000933D7" w:rsidRDefault="00000000">
            <w:pPr>
              <w:spacing w:after="0"/>
              <w:ind w:right="19" w:firstLine="0"/>
              <w:jc w:val="center"/>
            </w:pPr>
            <w:r>
              <w:rPr>
                <w:sz w:val="17"/>
              </w:rPr>
              <w:t>BS=1)</w:t>
            </w:r>
          </w:p>
        </w:tc>
        <w:tc>
          <w:tcPr>
            <w:tcW w:w="1108" w:type="dxa"/>
            <w:tcBorders>
              <w:top w:val="single" w:sz="4" w:space="0" w:color="000000"/>
              <w:left w:val="single" w:sz="4" w:space="0" w:color="000000"/>
              <w:bottom w:val="single" w:sz="4" w:space="0" w:color="000000"/>
              <w:right w:val="single" w:sz="4" w:space="0" w:color="000000"/>
            </w:tcBorders>
            <w:vAlign w:val="center"/>
          </w:tcPr>
          <w:p w14:paraId="36DE5D7A" w14:textId="77777777" w:rsidR="000933D7" w:rsidRDefault="00000000">
            <w:pPr>
              <w:spacing w:after="0"/>
              <w:ind w:right="19" w:firstLine="0"/>
              <w:jc w:val="center"/>
            </w:pPr>
            <w:r>
              <w:rPr>
                <w:sz w:val="17"/>
              </w:rPr>
              <w:t>8.70 s</w:t>
            </w:r>
          </w:p>
        </w:tc>
        <w:tc>
          <w:tcPr>
            <w:tcW w:w="1210" w:type="dxa"/>
            <w:tcBorders>
              <w:top w:val="single" w:sz="4" w:space="0" w:color="000000"/>
              <w:left w:val="single" w:sz="4" w:space="0" w:color="000000"/>
              <w:bottom w:val="single" w:sz="4" w:space="0" w:color="000000"/>
              <w:right w:val="single" w:sz="4" w:space="0" w:color="000000"/>
            </w:tcBorders>
            <w:vAlign w:val="center"/>
          </w:tcPr>
          <w:p w14:paraId="0BB4E7B7" w14:textId="77777777" w:rsidR="000933D7" w:rsidRDefault="00000000">
            <w:pPr>
              <w:spacing w:after="0"/>
              <w:ind w:right="19" w:firstLine="0"/>
              <w:jc w:val="center"/>
            </w:pPr>
            <w:r>
              <w:rPr>
                <w:sz w:val="17"/>
              </w:rPr>
              <w:t>0.115</w:t>
            </w:r>
          </w:p>
        </w:tc>
        <w:tc>
          <w:tcPr>
            <w:tcW w:w="1209" w:type="dxa"/>
            <w:tcBorders>
              <w:top w:val="single" w:sz="4" w:space="0" w:color="000000"/>
              <w:left w:val="single" w:sz="4" w:space="0" w:color="000000"/>
              <w:bottom w:val="single" w:sz="4" w:space="0" w:color="000000"/>
              <w:right w:val="single" w:sz="4" w:space="0" w:color="000000"/>
            </w:tcBorders>
            <w:vAlign w:val="center"/>
          </w:tcPr>
          <w:p w14:paraId="362A1B84" w14:textId="77777777" w:rsidR="000933D7" w:rsidRDefault="00000000">
            <w:pPr>
              <w:spacing w:after="0"/>
              <w:ind w:right="19" w:firstLine="0"/>
              <w:jc w:val="center"/>
            </w:pPr>
            <w:r>
              <w:rPr>
                <w:rFonts w:ascii="Cambria Math" w:eastAsia="Segoe UI Symbol" w:hAnsi="Cambria Math" w:cs="Cambria Math"/>
                <w:sz w:val="17"/>
              </w:rPr>
              <w:t>∼</w:t>
            </w:r>
            <w:r>
              <w:rPr>
                <w:sz w:val="17"/>
              </w:rPr>
              <w:t xml:space="preserve">21.7 </w:t>
            </w:r>
            <w:proofErr w:type="spellStart"/>
            <w:r>
              <w:rPr>
                <w:sz w:val="17"/>
              </w:rPr>
              <w:t>hrs</w:t>
            </w:r>
            <w:proofErr w:type="spellEnd"/>
          </w:p>
        </w:tc>
      </w:tr>
      <w:tr w:rsidR="000933D7" w14:paraId="7A19C1D3" w14:textId="77777777">
        <w:trPr>
          <w:trHeight w:val="780"/>
        </w:trPr>
        <w:tc>
          <w:tcPr>
            <w:tcW w:w="1512" w:type="dxa"/>
            <w:tcBorders>
              <w:top w:val="single" w:sz="4" w:space="0" w:color="000000"/>
              <w:left w:val="single" w:sz="4" w:space="0" w:color="000000"/>
              <w:bottom w:val="single" w:sz="4" w:space="0" w:color="000000"/>
              <w:right w:val="single" w:sz="4" w:space="0" w:color="000000"/>
            </w:tcBorders>
          </w:tcPr>
          <w:p w14:paraId="0F827214" w14:textId="77777777" w:rsidR="000933D7" w:rsidRDefault="00000000">
            <w:pPr>
              <w:spacing w:after="7"/>
              <w:ind w:left="13" w:firstLine="0"/>
              <w:jc w:val="left"/>
            </w:pPr>
            <w:r>
              <w:rPr>
                <w:sz w:val="17"/>
              </w:rPr>
              <w:t>Optimized (FP16,</w:t>
            </w:r>
          </w:p>
          <w:p w14:paraId="1A5F1733" w14:textId="77777777" w:rsidR="000933D7" w:rsidRDefault="00000000">
            <w:pPr>
              <w:spacing w:after="7"/>
              <w:ind w:right="19" w:firstLine="0"/>
              <w:jc w:val="center"/>
            </w:pPr>
            <w:r>
              <w:rPr>
                <w:sz w:val="17"/>
              </w:rPr>
              <w:t>BS=2,</w:t>
            </w:r>
          </w:p>
          <w:p w14:paraId="4D09C044" w14:textId="77777777" w:rsidR="000933D7" w:rsidRDefault="00000000">
            <w:pPr>
              <w:spacing w:after="0"/>
              <w:ind w:right="19" w:firstLine="0"/>
              <w:jc w:val="center"/>
            </w:pPr>
            <w:r>
              <w:rPr>
                <w:sz w:val="17"/>
              </w:rPr>
              <w:t>Workers=2)</w:t>
            </w:r>
          </w:p>
        </w:tc>
        <w:tc>
          <w:tcPr>
            <w:tcW w:w="1108" w:type="dxa"/>
            <w:tcBorders>
              <w:top w:val="single" w:sz="4" w:space="0" w:color="000000"/>
              <w:left w:val="single" w:sz="4" w:space="0" w:color="000000"/>
              <w:bottom w:val="single" w:sz="4" w:space="0" w:color="000000"/>
              <w:right w:val="single" w:sz="4" w:space="0" w:color="000000"/>
            </w:tcBorders>
            <w:vAlign w:val="center"/>
          </w:tcPr>
          <w:p w14:paraId="0A21C826" w14:textId="77777777" w:rsidR="000933D7" w:rsidRDefault="00000000">
            <w:pPr>
              <w:spacing w:after="0"/>
              <w:ind w:right="19" w:firstLine="0"/>
              <w:jc w:val="center"/>
            </w:pPr>
            <w:r>
              <w:rPr>
                <w:sz w:val="17"/>
              </w:rPr>
              <w:t>7.33 s</w:t>
            </w:r>
          </w:p>
        </w:tc>
        <w:tc>
          <w:tcPr>
            <w:tcW w:w="1210" w:type="dxa"/>
            <w:tcBorders>
              <w:top w:val="single" w:sz="4" w:space="0" w:color="000000"/>
              <w:left w:val="single" w:sz="4" w:space="0" w:color="000000"/>
              <w:bottom w:val="single" w:sz="4" w:space="0" w:color="000000"/>
              <w:right w:val="single" w:sz="4" w:space="0" w:color="000000"/>
            </w:tcBorders>
            <w:vAlign w:val="center"/>
          </w:tcPr>
          <w:p w14:paraId="4D080C4E" w14:textId="77777777" w:rsidR="000933D7" w:rsidRDefault="00000000">
            <w:pPr>
              <w:spacing w:after="0"/>
              <w:ind w:right="19" w:firstLine="0"/>
              <w:jc w:val="center"/>
            </w:pPr>
            <w:r>
              <w:rPr>
                <w:sz w:val="17"/>
              </w:rPr>
              <w:t>0.136</w:t>
            </w:r>
          </w:p>
        </w:tc>
        <w:tc>
          <w:tcPr>
            <w:tcW w:w="1209" w:type="dxa"/>
            <w:tcBorders>
              <w:top w:val="single" w:sz="4" w:space="0" w:color="000000"/>
              <w:left w:val="single" w:sz="4" w:space="0" w:color="000000"/>
              <w:bottom w:val="single" w:sz="4" w:space="0" w:color="000000"/>
              <w:right w:val="single" w:sz="4" w:space="0" w:color="000000"/>
            </w:tcBorders>
            <w:vAlign w:val="center"/>
          </w:tcPr>
          <w:p w14:paraId="48CCF682" w14:textId="77777777" w:rsidR="000933D7" w:rsidRDefault="00000000">
            <w:pPr>
              <w:spacing w:after="0"/>
              <w:ind w:right="19" w:firstLine="0"/>
              <w:jc w:val="center"/>
            </w:pPr>
            <w:r>
              <w:rPr>
                <w:rFonts w:ascii="Cambria Math" w:eastAsia="Segoe UI Symbol" w:hAnsi="Cambria Math" w:cs="Cambria Math"/>
                <w:sz w:val="17"/>
              </w:rPr>
              <w:t>∼</w:t>
            </w:r>
            <w:r>
              <w:rPr>
                <w:sz w:val="17"/>
              </w:rPr>
              <w:t xml:space="preserve">18.3 </w:t>
            </w:r>
            <w:proofErr w:type="spellStart"/>
            <w:r>
              <w:rPr>
                <w:sz w:val="17"/>
              </w:rPr>
              <w:t>hrs</w:t>
            </w:r>
            <w:proofErr w:type="spellEnd"/>
          </w:p>
        </w:tc>
      </w:tr>
      <w:tr w:rsidR="000933D7" w14:paraId="0738C442" w14:textId="77777777">
        <w:trPr>
          <w:trHeight w:val="560"/>
        </w:trPr>
        <w:tc>
          <w:tcPr>
            <w:tcW w:w="1512" w:type="dxa"/>
            <w:tcBorders>
              <w:top w:val="single" w:sz="4" w:space="0" w:color="000000"/>
              <w:left w:val="single" w:sz="4" w:space="0" w:color="000000"/>
              <w:bottom w:val="single" w:sz="4" w:space="0" w:color="000000"/>
              <w:right w:val="single" w:sz="4" w:space="0" w:color="000000"/>
            </w:tcBorders>
            <w:vAlign w:val="center"/>
          </w:tcPr>
          <w:p w14:paraId="492DAB5F" w14:textId="77777777" w:rsidR="000933D7" w:rsidRDefault="00000000">
            <w:pPr>
              <w:spacing w:after="0"/>
              <w:ind w:right="19" w:firstLine="0"/>
              <w:jc w:val="center"/>
            </w:pPr>
            <w:r>
              <w:rPr>
                <w:b/>
                <w:sz w:val="17"/>
              </w:rPr>
              <w:t>Improvement</w:t>
            </w:r>
          </w:p>
        </w:tc>
        <w:tc>
          <w:tcPr>
            <w:tcW w:w="1108" w:type="dxa"/>
            <w:tcBorders>
              <w:top w:val="single" w:sz="4" w:space="0" w:color="000000"/>
              <w:left w:val="single" w:sz="4" w:space="0" w:color="000000"/>
              <w:bottom w:val="single" w:sz="4" w:space="0" w:color="000000"/>
              <w:right w:val="single" w:sz="4" w:space="0" w:color="000000"/>
            </w:tcBorders>
            <w:vAlign w:val="center"/>
          </w:tcPr>
          <w:p w14:paraId="78142EC1" w14:textId="77777777" w:rsidR="000933D7" w:rsidRDefault="00000000">
            <w:pPr>
              <w:spacing w:after="0"/>
              <w:ind w:right="19" w:firstLine="0"/>
              <w:jc w:val="center"/>
            </w:pPr>
            <w:r>
              <w:rPr>
                <w:rFonts w:eastAsia="Segoe UI Symbol"/>
                <w:sz w:val="17"/>
              </w:rPr>
              <w:t>−</w:t>
            </w:r>
            <w:r>
              <w:rPr>
                <w:b/>
                <w:sz w:val="17"/>
              </w:rPr>
              <w:t>15.7%</w:t>
            </w:r>
          </w:p>
        </w:tc>
        <w:tc>
          <w:tcPr>
            <w:tcW w:w="1210" w:type="dxa"/>
            <w:tcBorders>
              <w:top w:val="single" w:sz="4" w:space="0" w:color="000000"/>
              <w:left w:val="single" w:sz="4" w:space="0" w:color="000000"/>
              <w:bottom w:val="single" w:sz="4" w:space="0" w:color="000000"/>
              <w:right w:val="single" w:sz="4" w:space="0" w:color="000000"/>
            </w:tcBorders>
            <w:vAlign w:val="center"/>
          </w:tcPr>
          <w:p w14:paraId="39529AC0" w14:textId="77777777" w:rsidR="000933D7" w:rsidRDefault="00000000">
            <w:pPr>
              <w:spacing w:after="0"/>
              <w:ind w:right="19" w:firstLine="0"/>
              <w:jc w:val="center"/>
            </w:pPr>
            <w:r>
              <w:rPr>
                <w:b/>
                <w:sz w:val="17"/>
              </w:rPr>
              <w:t>+18.5%</w:t>
            </w:r>
          </w:p>
        </w:tc>
        <w:tc>
          <w:tcPr>
            <w:tcW w:w="1209" w:type="dxa"/>
            <w:tcBorders>
              <w:top w:val="single" w:sz="4" w:space="0" w:color="000000"/>
              <w:left w:val="single" w:sz="4" w:space="0" w:color="000000"/>
              <w:bottom w:val="single" w:sz="4" w:space="0" w:color="000000"/>
              <w:right w:val="single" w:sz="4" w:space="0" w:color="000000"/>
            </w:tcBorders>
          </w:tcPr>
          <w:p w14:paraId="31077C50" w14:textId="77777777" w:rsidR="000933D7" w:rsidRDefault="00000000">
            <w:pPr>
              <w:spacing w:after="0"/>
              <w:ind w:firstLine="0"/>
              <w:jc w:val="center"/>
            </w:pPr>
            <w:r>
              <w:rPr>
                <w:rFonts w:eastAsia="Segoe UI Symbol"/>
                <w:sz w:val="17"/>
              </w:rPr>
              <w:t>−</w:t>
            </w:r>
            <w:r>
              <w:rPr>
                <w:b/>
                <w:sz w:val="17"/>
              </w:rPr>
              <w:t xml:space="preserve">3.4 </w:t>
            </w:r>
            <w:proofErr w:type="spellStart"/>
            <w:r>
              <w:rPr>
                <w:b/>
                <w:sz w:val="17"/>
              </w:rPr>
              <w:t>hrs</w:t>
            </w:r>
            <w:proofErr w:type="spellEnd"/>
            <w:r>
              <w:rPr>
                <w:b/>
                <w:sz w:val="17"/>
              </w:rPr>
              <w:t xml:space="preserve"> saved</w:t>
            </w:r>
          </w:p>
        </w:tc>
      </w:tr>
    </w:tbl>
    <w:p w14:paraId="27CDDE7C" w14:textId="77777777" w:rsidR="000933D7" w:rsidRDefault="000933D7">
      <w:pPr>
        <w:spacing w:after="60"/>
        <w:ind w:firstLine="0"/>
        <w:jc w:val="left"/>
      </w:pPr>
    </w:p>
    <w:p w14:paraId="1FDD11F7" w14:textId="77777777" w:rsidR="000933D7" w:rsidRDefault="000933D7">
      <w:pPr>
        <w:spacing w:after="60"/>
        <w:ind w:firstLine="0"/>
        <w:jc w:val="left"/>
      </w:pPr>
    </w:p>
    <w:p w14:paraId="7F06FF2D" w14:textId="77777777" w:rsidR="000933D7" w:rsidRDefault="000933D7">
      <w:pPr>
        <w:spacing w:after="60"/>
        <w:ind w:firstLine="0"/>
        <w:jc w:val="left"/>
      </w:pPr>
    </w:p>
    <w:p w14:paraId="4A78685E" w14:textId="77777777" w:rsidR="000933D7" w:rsidRDefault="00000000">
      <w:pPr>
        <w:spacing w:after="60"/>
        <w:ind w:firstLine="0"/>
        <w:jc w:val="left"/>
      </w:pPr>
      <w:r>
        <w:rPr>
          <w:noProof/>
        </w:rPr>
        <w:drawing>
          <wp:inline distT="0" distB="0" distL="0" distR="0" wp14:anchorId="063CD869" wp14:editId="6746E239">
            <wp:extent cx="3200400" cy="1447800"/>
            <wp:effectExtent l="0" t="0" r="0" b="0"/>
            <wp:docPr id="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2"/>
                    <pic:cNvPicPr>
                      <a:picLocks noChangeAspect="1" noChangeArrowheads="1"/>
                    </pic:cNvPicPr>
                  </pic:nvPicPr>
                  <pic:blipFill>
                    <a:blip r:embed="rId7"/>
                    <a:stretch>
                      <a:fillRect/>
                    </a:stretch>
                  </pic:blipFill>
                  <pic:spPr bwMode="auto">
                    <a:xfrm>
                      <a:off x="0" y="0"/>
                      <a:ext cx="3200400" cy="1447800"/>
                    </a:xfrm>
                    <a:prstGeom prst="rect">
                      <a:avLst/>
                    </a:prstGeom>
                  </pic:spPr>
                </pic:pic>
              </a:graphicData>
            </a:graphic>
          </wp:inline>
        </w:drawing>
      </w:r>
    </w:p>
    <w:p w14:paraId="0848C448" w14:textId="77777777" w:rsidR="000933D7" w:rsidRDefault="00000000">
      <w:pPr>
        <w:spacing w:after="60" w:line="264" w:lineRule="auto"/>
        <w:ind w:left="10" w:hanging="10"/>
        <w:jc w:val="center"/>
        <w:rPr>
          <w:b/>
          <w:i/>
          <w:sz w:val="17"/>
        </w:rPr>
      </w:pPr>
      <w:r>
        <w:rPr>
          <w:b/>
          <w:i/>
          <w:sz w:val="17"/>
        </w:rPr>
        <w:t xml:space="preserve">Fig. 2. EVEv2 Inference: Baseline vs. </w:t>
      </w:r>
      <w:proofErr w:type="spellStart"/>
      <w:r>
        <w:rPr>
          <w:b/>
          <w:i/>
          <w:sz w:val="17"/>
        </w:rPr>
        <w:t>Optimised</w:t>
      </w:r>
      <w:proofErr w:type="spellEnd"/>
      <w:r>
        <w:rPr>
          <w:b/>
          <w:i/>
          <w:sz w:val="17"/>
        </w:rPr>
        <w:t xml:space="preserve"> Pipeline</w:t>
      </w:r>
    </w:p>
    <w:p w14:paraId="6A9EA15F" w14:textId="77777777" w:rsidR="000933D7" w:rsidRDefault="000933D7">
      <w:pPr>
        <w:spacing w:after="60" w:line="264" w:lineRule="auto"/>
        <w:ind w:left="10" w:hanging="10"/>
        <w:jc w:val="center"/>
      </w:pPr>
    </w:p>
    <w:p w14:paraId="62A1A196" w14:textId="77777777" w:rsidR="000933D7" w:rsidRDefault="00000000">
      <w:pPr>
        <w:pStyle w:val="Heading1"/>
        <w:ind w:left="-5"/>
      </w:pPr>
      <w:r>
        <w:t>C. Accuracy Validation</w:t>
      </w:r>
    </w:p>
    <w:p w14:paraId="6DC0DCCB" w14:textId="77777777" w:rsidR="000933D7" w:rsidRDefault="00000000">
      <w:pPr>
        <w:spacing w:after="70"/>
        <w:ind w:firstLine="220"/>
      </w:pPr>
      <w:r>
        <w:t xml:space="preserve">The </w:t>
      </w:r>
      <w:proofErr w:type="spellStart"/>
      <w:r>
        <w:t>optimised</w:t>
      </w:r>
      <w:proofErr w:type="spellEnd"/>
      <w:r>
        <w:t xml:space="preserve"> model has a high hallucination resistance across all POPE categories with an overall F1 of 83.78% compared to the officially reported 87.60%. The entire POPE results are presented in Table III and plotted in Fig. 3. The largest aggregate gap (−3.82%), is largest in the Adversarial split (−5.10%), again as predicted by the hypothesis that the FP16 rounding errors and disk-offloading latency disproportionately affect numerically sensitive borderline predictions.</w:t>
      </w:r>
    </w:p>
    <w:p w14:paraId="1AE347C4" w14:textId="77777777" w:rsidR="000933D7" w:rsidRDefault="000933D7">
      <w:pPr>
        <w:spacing w:after="70"/>
        <w:ind w:firstLine="220"/>
      </w:pPr>
    </w:p>
    <w:p w14:paraId="1C44F2F6" w14:textId="77777777" w:rsidR="000933D7" w:rsidRDefault="00000000">
      <w:pPr>
        <w:pStyle w:val="Heading2"/>
        <w:rPr>
          <w:rFonts w:ascii="Times New Roman" w:hAnsi="Times New Roman" w:cs="Times New Roman"/>
        </w:rPr>
      </w:pPr>
      <w:r>
        <w:rPr>
          <w:rFonts w:ascii="Times New Roman" w:hAnsi="Times New Roman" w:cs="Times New Roman"/>
        </w:rPr>
        <w:t>TABLE III</w:t>
      </w:r>
    </w:p>
    <w:p w14:paraId="1C298928" w14:textId="77777777" w:rsidR="000933D7" w:rsidRDefault="00000000">
      <w:pPr>
        <w:spacing w:after="0"/>
        <w:ind w:left="10" w:hanging="10"/>
        <w:jc w:val="center"/>
      </w:pPr>
      <w:r>
        <w:rPr>
          <w:i/>
          <w:sz w:val="16"/>
        </w:rPr>
        <w:t xml:space="preserve">POPE Benchmark F1 Scores — </w:t>
      </w:r>
      <w:proofErr w:type="spellStart"/>
      <w:r>
        <w:rPr>
          <w:i/>
          <w:sz w:val="16"/>
        </w:rPr>
        <w:t>Optimised</w:t>
      </w:r>
      <w:proofErr w:type="spellEnd"/>
      <w:r>
        <w:rPr>
          <w:i/>
          <w:sz w:val="16"/>
        </w:rPr>
        <w:t xml:space="preserve"> vs. Official EVEv2</w:t>
      </w:r>
    </w:p>
    <w:tbl>
      <w:tblPr>
        <w:tblStyle w:val="TableGrid"/>
        <w:tblW w:w="5040" w:type="dxa"/>
        <w:tblInd w:w="0" w:type="dxa"/>
        <w:tblLayout w:type="fixed"/>
        <w:tblCellMar>
          <w:top w:w="109" w:type="dxa"/>
          <w:left w:w="123" w:type="dxa"/>
          <w:right w:w="115" w:type="dxa"/>
        </w:tblCellMar>
        <w:tblLook w:val="04A0" w:firstRow="1" w:lastRow="0" w:firstColumn="1" w:lastColumn="0" w:noHBand="0" w:noVBand="1"/>
      </w:tblPr>
      <w:tblGrid>
        <w:gridCol w:w="1412"/>
        <w:gridCol w:w="1209"/>
        <w:gridCol w:w="1260"/>
        <w:gridCol w:w="1159"/>
      </w:tblGrid>
      <w:tr w:rsidR="000933D7" w14:paraId="42CD0651" w14:textId="77777777">
        <w:trPr>
          <w:trHeight w:val="340"/>
        </w:trPr>
        <w:tc>
          <w:tcPr>
            <w:tcW w:w="1411" w:type="dxa"/>
            <w:tcBorders>
              <w:top w:val="single" w:sz="4" w:space="0" w:color="000000"/>
              <w:left w:val="single" w:sz="4" w:space="0" w:color="000000"/>
              <w:bottom w:val="single" w:sz="4" w:space="0" w:color="000000"/>
              <w:right w:val="single" w:sz="4" w:space="0" w:color="000000"/>
            </w:tcBorders>
            <w:shd w:val="clear" w:color="auto" w:fill="D9D9D9"/>
          </w:tcPr>
          <w:p w14:paraId="007F8972" w14:textId="77777777" w:rsidR="000933D7" w:rsidRDefault="00000000">
            <w:pPr>
              <w:spacing w:after="0"/>
              <w:ind w:firstLine="0"/>
              <w:jc w:val="left"/>
            </w:pPr>
            <w:r>
              <w:rPr>
                <w:b/>
                <w:sz w:val="17"/>
              </w:rPr>
              <w:t>POPE Category</w:t>
            </w:r>
          </w:p>
        </w:tc>
        <w:tc>
          <w:tcPr>
            <w:tcW w:w="1209" w:type="dxa"/>
            <w:tcBorders>
              <w:top w:val="single" w:sz="4" w:space="0" w:color="000000"/>
              <w:left w:val="single" w:sz="4" w:space="0" w:color="000000"/>
              <w:bottom w:val="single" w:sz="4" w:space="0" w:color="000000"/>
              <w:right w:val="single" w:sz="4" w:space="0" w:color="000000"/>
            </w:tcBorders>
            <w:shd w:val="clear" w:color="auto" w:fill="D9D9D9"/>
          </w:tcPr>
          <w:p w14:paraId="37C87996" w14:textId="77777777" w:rsidR="000933D7" w:rsidRDefault="00000000">
            <w:pPr>
              <w:spacing w:after="0"/>
              <w:ind w:right="7" w:firstLine="0"/>
              <w:jc w:val="center"/>
            </w:pPr>
            <w:r>
              <w:rPr>
                <w:b/>
                <w:sz w:val="17"/>
              </w:rPr>
              <w:t>Our F1</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Pr>
          <w:p w14:paraId="20ED388D" w14:textId="77777777" w:rsidR="000933D7" w:rsidRDefault="00000000">
            <w:pPr>
              <w:spacing w:after="0"/>
              <w:ind w:right="7" w:firstLine="0"/>
              <w:jc w:val="center"/>
            </w:pPr>
            <w:r>
              <w:rPr>
                <w:b/>
                <w:sz w:val="17"/>
              </w:rPr>
              <w:t>Official F1</w:t>
            </w:r>
          </w:p>
        </w:tc>
        <w:tc>
          <w:tcPr>
            <w:tcW w:w="1159" w:type="dxa"/>
            <w:tcBorders>
              <w:top w:val="single" w:sz="4" w:space="0" w:color="000000"/>
              <w:left w:val="single" w:sz="4" w:space="0" w:color="000000"/>
              <w:bottom w:val="single" w:sz="4" w:space="0" w:color="000000"/>
              <w:right w:val="single" w:sz="4" w:space="0" w:color="000000"/>
            </w:tcBorders>
            <w:shd w:val="clear" w:color="auto" w:fill="D9D9D9"/>
          </w:tcPr>
          <w:p w14:paraId="479F3BFC" w14:textId="77777777" w:rsidR="000933D7" w:rsidRDefault="00000000">
            <w:pPr>
              <w:spacing w:after="0"/>
              <w:ind w:right="7" w:firstLine="0"/>
              <w:jc w:val="center"/>
            </w:pPr>
            <w:r>
              <w:rPr>
                <w:b/>
                <w:sz w:val="17"/>
              </w:rPr>
              <w:t>Delta</w:t>
            </w:r>
          </w:p>
        </w:tc>
      </w:tr>
      <w:tr w:rsidR="000933D7" w14:paraId="703AD51A" w14:textId="77777777">
        <w:trPr>
          <w:trHeight w:val="340"/>
        </w:trPr>
        <w:tc>
          <w:tcPr>
            <w:tcW w:w="1411" w:type="dxa"/>
            <w:tcBorders>
              <w:top w:val="single" w:sz="4" w:space="0" w:color="000000"/>
              <w:left w:val="single" w:sz="4" w:space="0" w:color="000000"/>
              <w:bottom w:val="single" w:sz="4" w:space="0" w:color="000000"/>
              <w:right w:val="single" w:sz="4" w:space="0" w:color="000000"/>
            </w:tcBorders>
          </w:tcPr>
          <w:p w14:paraId="4E782E1D" w14:textId="77777777" w:rsidR="000933D7" w:rsidRDefault="00000000">
            <w:pPr>
              <w:spacing w:after="0"/>
              <w:ind w:right="7" w:firstLine="0"/>
              <w:jc w:val="center"/>
            </w:pPr>
            <w:r>
              <w:rPr>
                <w:sz w:val="17"/>
              </w:rPr>
              <w:t>Random</w:t>
            </w:r>
          </w:p>
        </w:tc>
        <w:tc>
          <w:tcPr>
            <w:tcW w:w="1209" w:type="dxa"/>
            <w:tcBorders>
              <w:top w:val="single" w:sz="4" w:space="0" w:color="000000"/>
              <w:left w:val="single" w:sz="4" w:space="0" w:color="000000"/>
              <w:bottom w:val="single" w:sz="4" w:space="0" w:color="000000"/>
              <w:right w:val="single" w:sz="4" w:space="0" w:color="000000"/>
            </w:tcBorders>
          </w:tcPr>
          <w:p w14:paraId="738DDC75" w14:textId="77777777" w:rsidR="000933D7" w:rsidRDefault="00000000">
            <w:pPr>
              <w:spacing w:after="0"/>
              <w:ind w:right="7" w:firstLine="0"/>
              <w:jc w:val="center"/>
            </w:pPr>
            <w:r>
              <w:rPr>
                <w:sz w:val="17"/>
              </w:rPr>
              <w:t>85.40%</w:t>
            </w:r>
          </w:p>
        </w:tc>
        <w:tc>
          <w:tcPr>
            <w:tcW w:w="1260" w:type="dxa"/>
            <w:tcBorders>
              <w:top w:val="single" w:sz="4" w:space="0" w:color="000000"/>
              <w:left w:val="single" w:sz="4" w:space="0" w:color="000000"/>
              <w:bottom w:val="single" w:sz="4" w:space="0" w:color="000000"/>
              <w:right w:val="single" w:sz="4" w:space="0" w:color="000000"/>
            </w:tcBorders>
          </w:tcPr>
          <w:p w14:paraId="244F711D" w14:textId="77777777" w:rsidR="000933D7" w:rsidRDefault="00000000">
            <w:pPr>
              <w:spacing w:after="0"/>
              <w:ind w:right="7" w:firstLine="0"/>
              <w:jc w:val="center"/>
            </w:pPr>
            <w:r>
              <w:rPr>
                <w:sz w:val="17"/>
              </w:rPr>
              <w:t>87.60%</w:t>
            </w:r>
          </w:p>
        </w:tc>
        <w:tc>
          <w:tcPr>
            <w:tcW w:w="1159" w:type="dxa"/>
            <w:tcBorders>
              <w:top w:val="single" w:sz="4" w:space="0" w:color="000000"/>
              <w:left w:val="single" w:sz="4" w:space="0" w:color="000000"/>
              <w:bottom w:val="single" w:sz="4" w:space="0" w:color="000000"/>
              <w:right w:val="single" w:sz="4" w:space="0" w:color="000000"/>
            </w:tcBorders>
          </w:tcPr>
          <w:p w14:paraId="16B31BB6" w14:textId="77777777" w:rsidR="000933D7" w:rsidRDefault="00000000">
            <w:pPr>
              <w:spacing w:after="0"/>
              <w:ind w:right="7" w:firstLine="0"/>
              <w:jc w:val="center"/>
            </w:pPr>
            <w:r>
              <w:rPr>
                <w:rFonts w:eastAsia="Segoe UI Symbol"/>
                <w:sz w:val="17"/>
              </w:rPr>
              <w:t>−</w:t>
            </w:r>
            <w:r>
              <w:rPr>
                <w:sz w:val="17"/>
              </w:rPr>
              <w:t>2.20%</w:t>
            </w:r>
          </w:p>
        </w:tc>
      </w:tr>
      <w:tr w:rsidR="000933D7" w14:paraId="1C693F4E" w14:textId="77777777">
        <w:trPr>
          <w:trHeight w:val="340"/>
        </w:trPr>
        <w:tc>
          <w:tcPr>
            <w:tcW w:w="1411" w:type="dxa"/>
            <w:tcBorders>
              <w:top w:val="single" w:sz="4" w:space="0" w:color="000000"/>
              <w:left w:val="single" w:sz="4" w:space="0" w:color="000000"/>
              <w:bottom w:val="single" w:sz="4" w:space="0" w:color="000000"/>
              <w:right w:val="single" w:sz="4" w:space="0" w:color="000000"/>
            </w:tcBorders>
          </w:tcPr>
          <w:p w14:paraId="1C0E4B4C" w14:textId="77777777" w:rsidR="000933D7" w:rsidRDefault="00000000">
            <w:pPr>
              <w:spacing w:after="0"/>
              <w:ind w:right="7" w:firstLine="0"/>
              <w:jc w:val="center"/>
            </w:pPr>
            <w:r>
              <w:rPr>
                <w:sz w:val="17"/>
              </w:rPr>
              <w:t>Popular</w:t>
            </w:r>
          </w:p>
        </w:tc>
        <w:tc>
          <w:tcPr>
            <w:tcW w:w="1209" w:type="dxa"/>
            <w:tcBorders>
              <w:top w:val="single" w:sz="4" w:space="0" w:color="000000"/>
              <w:left w:val="single" w:sz="4" w:space="0" w:color="000000"/>
              <w:bottom w:val="single" w:sz="4" w:space="0" w:color="000000"/>
              <w:right w:val="single" w:sz="4" w:space="0" w:color="000000"/>
            </w:tcBorders>
          </w:tcPr>
          <w:p w14:paraId="6B6B5808" w14:textId="77777777" w:rsidR="000933D7" w:rsidRDefault="00000000">
            <w:pPr>
              <w:spacing w:after="0"/>
              <w:ind w:right="7" w:firstLine="0"/>
              <w:jc w:val="center"/>
            </w:pPr>
            <w:r>
              <w:rPr>
                <w:sz w:val="17"/>
              </w:rPr>
              <w:t>83.44%</w:t>
            </w:r>
          </w:p>
        </w:tc>
        <w:tc>
          <w:tcPr>
            <w:tcW w:w="1260" w:type="dxa"/>
            <w:tcBorders>
              <w:top w:val="single" w:sz="4" w:space="0" w:color="000000"/>
              <w:left w:val="single" w:sz="4" w:space="0" w:color="000000"/>
              <w:bottom w:val="single" w:sz="4" w:space="0" w:color="000000"/>
              <w:right w:val="single" w:sz="4" w:space="0" w:color="000000"/>
            </w:tcBorders>
          </w:tcPr>
          <w:p w14:paraId="101D184E" w14:textId="77777777" w:rsidR="000933D7" w:rsidRDefault="00000000">
            <w:pPr>
              <w:spacing w:after="0"/>
              <w:ind w:right="7" w:firstLine="0"/>
              <w:jc w:val="center"/>
            </w:pPr>
            <w:r>
              <w:rPr>
                <w:sz w:val="17"/>
              </w:rPr>
              <w:t>87.60%</w:t>
            </w:r>
          </w:p>
        </w:tc>
        <w:tc>
          <w:tcPr>
            <w:tcW w:w="1159" w:type="dxa"/>
            <w:tcBorders>
              <w:top w:val="single" w:sz="4" w:space="0" w:color="000000"/>
              <w:left w:val="single" w:sz="4" w:space="0" w:color="000000"/>
              <w:bottom w:val="single" w:sz="4" w:space="0" w:color="000000"/>
              <w:right w:val="single" w:sz="4" w:space="0" w:color="000000"/>
            </w:tcBorders>
          </w:tcPr>
          <w:p w14:paraId="473A234E" w14:textId="77777777" w:rsidR="000933D7" w:rsidRDefault="00000000">
            <w:pPr>
              <w:spacing w:after="0"/>
              <w:ind w:right="7" w:firstLine="0"/>
              <w:jc w:val="center"/>
            </w:pPr>
            <w:r>
              <w:rPr>
                <w:rFonts w:eastAsia="Segoe UI Symbol"/>
                <w:sz w:val="17"/>
              </w:rPr>
              <w:t>−</w:t>
            </w:r>
            <w:r>
              <w:rPr>
                <w:sz w:val="17"/>
              </w:rPr>
              <w:t>4.16%</w:t>
            </w:r>
          </w:p>
        </w:tc>
      </w:tr>
      <w:tr w:rsidR="000933D7" w14:paraId="1E43CF02" w14:textId="77777777">
        <w:trPr>
          <w:trHeight w:val="340"/>
        </w:trPr>
        <w:tc>
          <w:tcPr>
            <w:tcW w:w="1411" w:type="dxa"/>
            <w:tcBorders>
              <w:top w:val="single" w:sz="4" w:space="0" w:color="000000"/>
              <w:left w:val="single" w:sz="4" w:space="0" w:color="000000"/>
              <w:bottom w:val="single" w:sz="4" w:space="0" w:color="000000"/>
              <w:right w:val="single" w:sz="4" w:space="0" w:color="000000"/>
            </w:tcBorders>
          </w:tcPr>
          <w:p w14:paraId="0CAE5042" w14:textId="77777777" w:rsidR="000933D7" w:rsidRDefault="00000000">
            <w:pPr>
              <w:spacing w:after="0"/>
              <w:ind w:right="7" w:firstLine="0"/>
              <w:jc w:val="center"/>
            </w:pPr>
            <w:r>
              <w:rPr>
                <w:sz w:val="17"/>
              </w:rPr>
              <w:t>Adversarial</w:t>
            </w:r>
          </w:p>
        </w:tc>
        <w:tc>
          <w:tcPr>
            <w:tcW w:w="1209" w:type="dxa"/>
            <w:tcBorders>
              <w:top w:val="single" w:sz="4" w:space="0" w:color="000000"/>
              <w:left w:val="single" w:sz="4" w:space="0" w:color="000000"/>
              <w:bottom w:val="single" w:sz="4" w:space="0" w:color="000000"/>
              <w:right w:val="single" w:sz="4" w:space="0" w:color="000000"/>
            </w:tcBorders>
          </w:tcPr>
          <w:p w14:paraId="16499AF1" w14:textId="77777777" w:rsidR="000933D7" w:rsidRDefault="00000000">
            <w:pPr>
              <w:spacing w:after="0"/>
              <w:ind w:right="7" w:firstLine="0"/>
              <w:jc w:val="center"/>
            </w:pPr>
            <w:r>
              <w:rPr>
                <w:sz w:val="17"/>
              </w:rPr>
              <w:t>82.50%</w:t>
            </w:r>
          </w:p>
        </w:tc>
        <w:tc>
          <w:tcPr>
            <w:tcW w:w="1260" w:type="dxa"/>
            <w:tcBorders>
              <w:top w:val="single" w:sz="4" w:space="0" w:color="000000"/>
              <w:left w:val="single" w:sz="4" w:space="0" w:color="000000"/>
              <w:bottom w:val="single" w:sz="4" w:space="0" w:color="000000"/>
              <w:right w:val="single" w:sz="4" w:space="0" w:color="000000"/>
            </w:tcBorders>
          </w:tcPr>
          <w:p w14:paraId="20C9D46A" w14:textId="77777777" w:rsidR="000933D7" w:rsidRDefault="00000000">
            <w:pPr>
              <w:spacing w:after="0"/>
              <w:ind w:right="7" w:firstLine="0"/>
              <w:jc w:val="center"/>
            </w:pPr>
            <w:r>
              <w:rPr>
                <w:sz w:val="17"/>
              </w:rPr>
              <w:t>87.60%</w:t>
            </w:r>
          </w:p>
        </w:tc>
        <w:tc>
          <w:tcPr>
            <w:tcW w:w="1159" w:type="dxa"/>
            <w:tcBorders>
              <w:top w:val="single" w:sz="4" w:space="0" w:color="000000"/>
              <w:left w:val="single" w:sz="4" w:space="0" w:color="000000"/>
              <w:bottom w:val="single" w:sz="4" w:space="0" w:color="000000"/>
              <w:right w:val="single" w:sz="4" w:space="0" w:color="000000"/>
            </w:tcBorders>
          </w:tcPr>
          <w:p w14:paraId="79E69735" w14:textId="77777777" w:rsidR="000933D7" w:rsidRDefault="00000000">
            <w:pPr>
              <w:spacing w:after="0"/>
              <w:ind w:right="7" w:firstLine="0"/>
              <w:jc w:val="center"/>
            </w:pPr>
            <w:r>
              <w:rPr>
                <w:rFonts w:eastAsia="Segoe UI Symbol"/>
                <w:sz w:val="17"/>
              </w:rPr>
              <w:t>−</w:t>
            </w:r>
            <w:r>
              <w:rPr>
                <w:sz w:val="17"/>
              </w:rPr>
              <w:t>5.10%</w:t>
            </w:r>
          </w:p>
        </w:tc>
      </w:tr>
      <w:tr w:rsidR="000933D7" w14:paraId="7D01E381" w14:textId="77777777">
        <w:trPr>
          <w:trHeight w:val="340"/>
        </w:trPr>
        <w:tc>
          <w:tcPr>
            <w:tcW w:w="1411" w:type="dxa"/>
            <w:tcBorders>
              <w:top w:val="single" w:sz="4" w:space="0" w:color="000000"/>
              <w:left w:val="single" w:sz="4" w:space="0" w:color="000000"/>
              <w:bottom w:val="single" w:sz="4" w:space="0" w:color="000000"/>
              <w:right w:val="single" w:sz="4" w:space="0" w:color="000000"/>
            </w:tcBorders>
          </w:tcPr>
          <w:p w14:paraId="2A6931DB" w14:textId="77777777" w:rsidR="000933D7" w:rsidRDefault="00000000">
            <w:pPr>
              <w:spacing w:after="0"/>
              <w:ind w:right="7" w:firstLine="0"/>
              <w:jc w:val="center"/>
            </w:pPr>
            <w:r>
              <w:rPr>
                <w:b/>
                <w:sz w:val="17"/>
              </w:rPr>
              <w:t>Overall Avg</w:t>
            </w:r>
          </w:p>
        </w:tc>
        <w:tc>
          <w:tcPr>
            <w:tcW w:w="1209" w:type="dxa"/>
            <w:tcBorders>
              <w:top w:val="single" w:sz="4" w:space="0" w:color="000000"/>
              <w:left w:val="single" w:sz="4" w:space="0" w:color="000000"/>
              <w:bottom w:val="single" w:sz="4" w:space="0" w:color="000000"/>
              <w:right w:val="single" w:sz="4" w:space="0" w:color="000000"/>
            </w:tcBorders>
          </w:tcPr>
          <w:p w14:paraId="20AA65E4" w14:textId="77777777" w:rsidR="000933D7" w:rsidRDefault="00000000">
            <w:pPr>
              <w:spacing w:after="0"/>
              <w:ind w:right="7" w:firstLine="0"/>
              <w:jc w:val="center"/>
            </w:pPr>
            <w:r>
              <w:rPr>
                <w:b/>
                <w:sz w:val="17"/>
              </w:rPr>
              <w:t>83.78%</w:t>
            </w:r>
          </w:p>
        </w:tc>
        <w:tc>
          <w:tcPr>
            <w:tcW w:w="1260" w:type="dxa"/>
            <w:tcBorders>
              <w:top w:val="single" w:sz="4" w:space="0" w:color="000000"/>
              <w:left w:val="single" w:sz="4" w:space="0" w:color="000000"/>
              <w:bottom w:val="single" w:sz="4" w:space="0" w:color="000000"/>
              <w:right w:val="single" w:sz="4" w:space="0" w:color="000000"/>
            </w:tcBorders>
          </w:tcPr>
          <w:p w14:paraId="4413B2AC" w14:textId="77777777" w:rsidR="000933D7" w:rsidRDefault="00000000">
            <w:pPr>
              <w:spacing w:after="0"/>
              <w:ind w:right="7" w:firstLine="0"/>
              <w:jc w:val="center"/>
            </w:pPr>
            <w:r>
              <w:rPr>
                <w:b/>
                <w:sz w:val="17"/>
              </w:rPr>
              <w:t>87.60%</w:t>
            </w:r>
          </w:p>
        </w:tc>
        <w:tc>
          <w:tcPr>
            <w:tcW w:w="1159" w:type="dxa"/>
            <w:tcBorders>
              <w:top w:val="single" w:sz="4" w:space="0" w:color="000000"/>
              <w:left w:val="single" w:sz="4" w:space="0" w:color="000000"/>
              <w:bottom w:val="single" w:sz="4" w:space="0" w:color="000000"/>
              <w:right w:val="single" w:sz="4" w:space="0" w:color="000000"/>
            </w:tcBorders>
          </w:tcPr>
          <w:p w14:paraId="42BA37F7" w14:textId="77777777" w:rsidR="000933D7" w:rsidRDefault="00000000">
            <w:pPr>
              <w:spacing w:after="0"/>
              <w:ind w:right="7" w:firstLine="0"/>
              <w:jc w:val="center"/>
            </w:pPr>
            <w:r>
              <w:rPr>
                <w:rFonts w:eastAsia="Segoe UI Symbol"/>
                <w:sz w:val="17"/>
              </w:rPr>
              <w:t>−</w:t>
            </w:r>
            <w:r>
              <w:rPr>
                <w:b/>
                <w:sz w:val="17"/>
              </w:rPr>
              <w:t>3.82%</w:t>
            </w:r>
          </w:p>
        </w:tc>
      </w:tr>
    </w:tbl>
    <w:p w14:paraId="4C81D7D4" w14:textId="77777777" w:rsidR="000933D7" w:rsidRDefault="00000000">
      <w:pPr>
        <w:pStyle w:val="Heading1"/>
        <w:ind w:left="0" w:firstLine="0"/>
      </w:pPr>
      <w:r>
        <w:lastRenderedPageBreak/>
        <w:t>D. Analysis of the Accuracy Gap</w:t>
      </w:r>
    </w:p>
    <w:p w14:paraId="2C41C58C" w14:textId="77777777" w:rsidR="000933D7" w:rsidRDefault="00000000">
      <w:pPr>
        <w:ind w:firstLine="220"/>
      </w:pPr>
      <w:r>
        <w:t>The gap in accuracy observed is credited to two compounding mechanisms which are hardware induced. First, the EVEv2-7B model in FP16 would use about 14 GB of the device memory- a little more than the combined total of 18 GB of the two T4s when one considers the activations and KV cache. PyTorch logs specifically verify disk offloading: "Some parameters are on the meta device because they were offloaded to the disk. Disk-offloaded parameters are read via PCIe transfers at significantly lower bandwidth than accessing VRAM, which introduces both latency and instability in precision in intermediate activations.</w:t>
      </w:r>
    </w:p>
    <w:p w14:paraId="7244440E" w14:textId="77777777" w:rsidR="000933D7" w:rsidRDefault="00000000">
      <w:pPr>
        <w:ind w:firstLine="220"/>
      </w:pPr>
      <w:r>
        <w:t xml:space="preserve">Second, FP16 precision is a source of rounding error in numerically sensitive operations, e.g. </w:t>
      </w:r>
      <w:proofErr w:type="spellStart"/>
      <w:r>
        <w:t>softmax</w:t>
      </w:r>
      <w:proofErr w:type="spellEnd"/>
      <w:r>
        <w:t xml:space="preserve"> normalization and layer normalization. Although contemporary transformers are widely resistant to FP16 inference [10], the build-up of these errors over 7 billion parameters can cause subtle distributional changes in the output logits, especially to ambiguous POPE Adversarial queries.</w:t>
      </w:r>
    </w:p>
    <w:p w14:paraId="3FF3AFC4" w14:textId="77777777" w:rsidR="000933D7" w:rsidRDefault="00000000">
      <w:pPr>
        <w:spacing w:after="80"/>
        <w:ind w:firstLine="220"/>
      </w:pPr>
      <w:r>
        <w:t>More importantly, the 83.78% F1 score is a success in a severely hardware-constrained environment, instead of an algorithm failure. The model has practical utility hallucination resistant disk-offloaded weights on a platform on which it was not optimally dimensioned.</w:t>
      </w:r>
    </w:p>
    <w:p w14:paraId="02AAD497" w14:textId="77777777" w:rsidR="000933D7" w:rsidRDefault="000933D7">
      <w:pPr>
        <w:spacing w:after="80"/>
        <w:ind w:firstLine="220"/>
      </w:pPr>
    </w:p>
    <w:p w14:paraId="6EAA44EC" w14:textId="3CD7C2A2" w:rsidR="000933D7" w:rsidRDefault="000E4C99">
      <w:pPr>
        <w:spacing w:after="60"/>
        <w:ind w:firstLine="0"/>
        <w:jc w:val="left"/>
      </w:pPr>
      <w:r w:rsidRPr="000E4C99">
        <w:drawing>
          <wp:inline distT="0" distB="0" distL="0" distR="0" wp14:anchorId="3C52A27C" wp14:editId="5A228C42">
            <wp:extent cx="3287352" cy="1950236"/>
            <wp:effectExtent l="0" t="0" r="0" b="0"/>
            <wp:docPr id="33943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38996" name=""/>
                    <pic:cNvPicPr/>
                  </pic:nvPicPr>
                  <pic:blipFill>
                    <a:blip r:embed="rId8"/>
                    <a:stretch>
                      <a:fillRect/>
                    </a:stretch>
                  </pic:blipFill>
                  <pic:spPr>
                    <a:xfrm>
                      <a:off x="0" y="0"/>
                      <a:ext cx="3340316" cy="1981657"/>
                    </a:xfrm>
                    <a:prstGeom prst="rect">
                      <a:avLst/>
                    </a:prstGeom>
                  </pic:spPr>
                </pic:pic>
              </a:graphicData>
            </a:graphic>
          </wp:inline>
        </w:drawing>
      </w:r>
    </w:p>
    <w:p w14:paraId="1523080D" w14:textId="77777777" w:rsidR="000933D7" w:rsidRDefault="00000000">
      <w:pPr>
        <w:spacing w:after="60" w:line="264" w:lineRule="auto"/>
        <w:ind w:left="10" w:hanging="10"/>
        <w:jc w:val="center"/>
      </w:pPr>
      <w:r>
        <w:rPr>
          <w:b/>
          <w:i/>
          <w:sz w:val="17"/>
        </w:rPr>
        <w:t>Fig. 3. EVEv2-7B-HD: POPE Benchmark Results (Random / Popular / Adversarial Splits)</w:t>
      </w:r>
    </w:p>
    <w:p w14:paraId="7BF89DEE" w14:textId="77777777" w:rsidR="000933D7" w:rsidRDefault="00000000">
      <w:pPr>
        <w:pStyle w:val="Heading1"/>
        <w:ind w:left="-5"/>
      </w:pPr>
      <w:r>
        <w:t>E. Efficacy of Optimizations</w:t>
      </w:r>
    </w:p>
    <w:p w14:paraId="0BCFB10B" w14:textId="77777777" w:rsidR="000933D7" w:rsidRDefault="00000000">
      <w:pPr>
        <w:spacing w:after="80"/>
        <w:ind w:firstLine="220"/>
      </w:pPr>
      <w:r>
        <w:t xml:space="preserve">The fact that the throughput increased by 18.5% is a direct verification of the profiling hypothesis. FP16 casting reduced the per-transfer payload by 50%; asynchronous </w:t>
      </w:r>
      <w:proofErr w:type="spellStart"/>
      <w:r>
        <w:t>DataLoader</w:t>
      </w:r>
      <w:proofErr w:type="spellEnd"/>
      <w:r>
        <w:t xml:space="preserve"> workers partially hid preprocessing latency behind GPU compute. Speedup is limited by hardware and not algorithmic: the VRAM limit was </w:t>
      </w:r>
      <w:proofErr w:type="spellStart"/>
      <w:r>
        <w:t>pin_memory</w:t>
      </w:r>
      <w:proofErr w:type="spellEnd"/>
      <w:r>
        <w:t xml:space="preserve">, and the disk-offloading interactions limited the </w:t>
      </w:r>
      <w:proofErr w:type="spellStart"/>
      <w:r>
        <w:t>pin_memory</w:t>
      </w:r>
      <w:proofErr w:type="spellEnd"/>
      <w:r>
        <w:t xml:space="preserve"> limit itself. With </w:t>
      </w:r>
      <w:proofErr w:type="gramStart"/>
      <w:r>
        <w:t>higher-VRAM</w:t>
      </w:r>
      <w:proofErr w:type="gramEnd"/>
      <w:r>
        <w:t xml:space="preserve"> hardware (e.g., A100 40 GB) these improvements would be significantly increased by batch sizes of 816 and </w:t>
      </w:r>
      <w:proofErr w:type="spellStart"/>
      <w:r>
        <w:t>pin_memory</w:t>
      </w:r>
      <w:proofErr w:type="spellEnd"/>
      <w:r>
        <w:t xml:space="preserve"> enabled.</w:t>
      </w:r>
    </w:p>
    <w:p w14:paraId="39C7B6F5" w14:textId="77777777" w:rsidR="000933D7" w:rsidRDefault="000933D7">
      <w:pPr>
        <w:spacing w:after="80"/>
        <w:ind w:firstLine="220"/>
      </w:pPr>
    </w:p>
    <w:p w14:paraId="3DC2A52D" w14:textId="77777777" w:rsidR="000933D7" w:rsidRDefault="00000000">
      <w:pPr>
        <w:spacing w:after="60"/>
        <w:ind w:left="10" w:hanging="10"/>
        <w:jc w:val="center"/>
      </w:pPr>
      <w:r>
        <w:rPr>
          <w:rFonts w:eastAsia="Arial"/>
          <w:sz w:val="18"/>
        </w:rPr>
        <w:t>VI. CONCLUSION</w:t>
      </w:r>
    </w:p>
    <w:p w14:paraId="6F4796D2" w14:textId="77777777" w:rsidR="000933D7" w:rsidRDefault="00000000">
      <w:pPr>
        <w:ind w:firstLine="220"/>
      </w:pPr>
      <w:r>
        <w:t xml:space="preserve">This is a rigorous, profiling-based </w:t>
      </w:r>
      <w:proofErr w:type="spellStart"/>
      <w:r>
        <w:t>optimisation</w:t>
      </w:r>
      <w:proofErr w:type="spellEnd"/>
      <w:r>
        <w:t xml:space="preserve"> study of the EVEv2-7B-HD encoder-free vision-language model on constrained dual-NVIDIA Tesla T4 CPU hardware. With the </w:t>
      </w:r>
      <w:r>
        <w:t xml:space="preserve">instrumentation of PyTorch Profiler, we establish that 72.0 percent of CUDA execution time of the baseline sequential pipeline are consumed by CPU-to-GPU memory transfers- a finding that directly drives a targeted, three-component </w:t>
      </w:r>
      <w:proofErr w:type="spellStart"/>
      <w:r>
        <w:t>optimisation</w:t>
      </w:r>
      <w:proofErr w:type="spellEnd"/>
      <w:r>
        <w:t xml:space="preserve"> strategy.</w:t>
      </w:r>
    </w:p>
    <w:p w14:paraId="2871F093" w14:textId="77777777" w:rsidR="000933D7" w:rsidRDefault="00000000">
      <w:pPr>
        <w:ind w:firstLine="220"/>
      </w:pPr>
      <w:r>
        <w:t>The throughput improvement is 1.185× obtaining a 9,000 POPE question total inference time of 18.3 to 21.7 hours with the engineered pipeline, which combines FP16 mixed-precision inference, multi-</w:t>
      </w:r>
      <w:proofErr w:type="spellStart"/>
      <w:r>
        <w:t>gpu</w:t>
      </w:r>
      <w:proofErr w:type="spellEnd"/>
      <w:r>
        <w:t xml:space="preserve"> model sharding, and asynchronous </w:t>
      </w:r>
      <w:proofErr w:type="spellStart"/>
      <w:r>
        <w:t>DataLoader</w:t>
      </w:r>
      <w:proofErr w:type="spellEnd"/>
      <w:r>
        <w:t>-based CPU-</w:t>
      </w:r>
      <w:proofErr w:type="spellStart"/>
      <w:r>
        <w:t>gpu</w:t>
      </w:r>
      <w:proofErr w:type="spellEnd"/>
      <w:r>
        <w:t xml:space="preserve"> overlap. The overall POPE F1 score of 83.78 indicates </w:t>
      </w:r>
      <w:proofErr w:type="gramStart"/>
      <w:r>
        <w:t>a</w:t>
      </w:r>
      <w:proofErr w:type="gramEnd"/>
      <w:r>
        <w:t xml:space="preserve"> 83.78% accuracy validation; the -3.82% difference between it and the official 87.60% is exactly due to the disk-offloading caused by hardware.</w:t>
      </w:r>
    </w:p>
    <w:p w14:paraId="3626FBAA" w14:textId="77777777" w:rsidR="000933D7" w:rsidRDefault="00000000">
      <w:pPr>
        <w:spacing w:after="80"/>
        <w:ind w:firstLine="220"/>
      </w:pPr>
      <w:r>
        <w:t xml:space="preserve">An 18.5% rise in throughput confirms the initial profiling assumption. Because FP16 casting cut data size per transfer in half, less time was spent moving inputs. Preprocessing delays were masked somewhat since </w:t>
      </w:r>
      <w:proofErr w:type="spellStart"/>
      <w:r>
        <w:t>DataLoader</w:t>
      </w:r>
      <w:proofErr w:type="spellEnd"/>
      <w:r>
        <w:t xml:space="preserve"> operated asynchronously. Yet gains hit a ceiling - not due to code flaws but physical constraints. Available VRAM capped how much memory could remain pinned. Even that limit shrank when disk offloading came into play. Given more memory - </w:t>
      </w:r>
      <w:proofErr w:type="gramStart"/>
      <w:r>
        <w:t>like on</w:t>
      </w:r>
      <w:proofErr w:type="gramEnd"/>
      <w:r>
        <w:t xml:space="preserve"> an A100 with 40 GB - batch counts might reach 816. Pinning would then operate freely, pushing results further.</w:t>
      </w:r>
    </w:p>
    <w:p w14:paraId="10916E72" w14:textId="77777777" w:rsidR="000933D7" w:rsidRDefault="000933D7">
      <w:pPr>
        <w:spacing w:after="80"/>
        <w:ind w:firstLine="220"/>
      </w:pPr>
    </w:p>
    <w:p w14:paraId="3646BC0B" w14:textId="77777777" w:rsidR="000933D7" w:rsidRDefault="000933D7">
      <w:pPr>
        <w:spacing w:after="80"/>
        <w:ind w:firstLine="220"/>
      </w:pPr>
    </w:p>
    <w:p w14:paraId="52A8C76A" w14:textId="77777777" w:rsidR="000933D7" w:rsidRDefault="00000000">
      <w:pPr>
        <w:spacing w:after="0"/>
        <w:ind w:left="10" w:hanging="10"/>
        <w:jc w:val="center"/>
      </w:pPr>
      <w:r>
        <w:rPr>
          <w:rFonts w:eastAsia="Arial"/>
          <w:sz w:val="18"/>
        </w:rPr>
        <w:t>REFERENCES</w:t>
      </w:r>
    </w:p>
    <w:p w14:paraId="2FF70A0C" w14:textId="77777777" w:rsidR="000933D7" w:rsidRDefault="000933D7">
      <w:pPr>
        <w:spacing w:after="71"/>
        <w:ind w:firstLine="0"/>
        <w:jc w:val="left"/>
      </w:pPr>
    </w:p>
    <w:p w14:paraId="33492E59" w14:textId="77777777" w:rsidR="000933D7" w:rsidRDefault="00000000">
      <w:pPr>
        <w:numPr>
          <w:ilvl w:val="0"/>
          <w:numId w:val="1"/>
        </w:numPr>
        <w:spacing w:after="40"/>
        <w:ind w:right="-15" w:hanging="265"/>
      </w:pPr>
      <w:r>
        <w:rPr>
          <w:sz w:val="16"/>
        </w:rPr>
        <w:t xml:space="preserve">H. Diao et al., "EVE: Efficient Vision-Language Foundation Model </w:t>
      </w:r>
      <w:proofErr w:type="spellStart"/>
      <w:r>
        <w:rPr>
          <w:sz w:val="16"/>
        </w:rPr>
        <w:t>withElastic</w:t>
      </w:r>
      <w:proofErr w:type="spellEnd"/>
      <w:r>
        <w:rPr>
          <w:sz w:val="16"/>
        </w:rPr>
        <w:t xml:space="preserve"> Visual Experts," </w:t>
      </w:r>
      <w:proofErr w:type="spellStart"/>
      <w:r>
        <w:rPr>
          <w:i/>
          <w:sz w:val="16"/>
        </w:rPr>
        <w:t>arXiv</w:t>
      </w:r>
      <w:proofErr w:type="spellEnd"/>
      <w:r>
        <w:rPr>
          <w:i/>
          <w:sz w:val="16"/>
        </w:rPr>
        <w:t xml:space="preserve"> preprint arXiv:2402.09009</w:t>
      </w:r>
      <w:r>
        <w:rPr>
          <w:sz w:val="16"/>
        </w:rPr>
        <w:t>, 2024.</w:t>
      </w:r>
    </w:p>
    <w:p w14:paraId="1983EAD2" w14:textId="77777777" w:rsidR="000933D7" w:rsidRDefault="00000000">
      <w:pPr>
        <w:numPr>
          <w:ilvl w:val="0"/>
          <w:numId w:val="1"/>
        </w:numPr>
        <w:spacing w:after="40"/>
        <w:ind w:right="-15" w:hanging="265"/>
      </w:pPr>
      <w:r>
        <w:rPr>
          <w:sz w:val="16"/>
        </w:rPr>
        <w:t>BAAI, "EVE-7B-HD-v2.0," HuggingFace Model Hub, 2024. [Online]. Available: https://huggingface.co/BAAI/EVE-7B-HD-v2.0</w:t>
      </w:r>
    </w:p>
    <w:p w14:paraId="74D42FA3" w14:textId="77777777" w:rsidR="000933D7" w:rsidRDefault="00000000">
      <w:pPr>
        <w:numPr>
          <w:ilvl w:val="0"/>
          <w:numId w:val="1"/>
        </w:numPr>
        <w:spacing w:after="40"/>
        <w:ind w:right="-15" w:hanging="265"/>
      </w:pPr>
      <w:r>
        <w:rPr>
          <w:sz w:val="16"/>
        </w:rPr>
        <w:t>H. Liu, C. Li, Q. Wu, and Y. J. Lee, "Visual Instruction Tuning (</w:t>
      </w:r>
      <w:proofErr w:type="spellStart"/>
      <w:r>
        <w:rPr>
          <w:sz w:val="16"/>
        </w:rPr>
        <w:t>LLaVA</w:t>
      </w:r>
      <w:proofErr w:type="spellEnd"/>
      <w:r>
        <w:rPr>
          <w:sz w:val="16"/>
        </w:rPr>
        <w:t xml:space="preserve">),"in </w:t>
      </w:r>
      <w:r>
        <w:rPr>
          <w:i/>
          <w:sz w:val="16"/>
        </w:rPr>
        <w:t xml:space="preserve">Proc. </w:t>
      </w:r>
      <w:proofErr w:type="spellStart"/>
      <w:r>
        <w:rPr>
          <w:i/>
          <w:sz w:val="16"/>
        </w:rPr>
        <w:t>NeurIPS</w:t>
      </w:r>
      <w:proofErr w:type="spellEnd"/>
      <w:r>
        <w:rPr>
          <w:sz w:val="16"/>
        </w:rPr>
        <w:t>, 2023.</w:t>
      </w:r>
    </w:p>
    <w:p w14:paraId="0B3466A5" w14:textId="77777777" w:rsidR="000933D7" w:rsidRDefault="00000000">
      <w:pPr>
        <w:numPr>
          <w:ilvl w:val="0"/>
          <w:numId w:val="1"/>
        </w:numPr>
        <w:spacing w:after="40"/>
        <w:ind w:right="-15" w:hanging="265"/>
      </w:pPr>
      <w:r>
        <w:rPr>
          <w:sz w:val="16"/>
        </w:rPr>
        <w:t>Y. Li, Y. Du, K. Zhou, J. Wang, W. X. Zhao, and J. R. Wen, "</w:t>
      </w:r>
      <w:proofErr w:type="spellStart"/>
      <w:r>
        <w:rPr>
          <w:sz w:val="16"/>
        </w:rPr>
        <w:t>EvaluatingObject</w:t>
      </w:r>
      <w:proofErr w:type="spellEnd"/>
      <w:r>
        <w:rPr>
          <w:sz w:val="16"/>
        </w:rPr>
        <w:t xml:space="preserve"> Hallucination in Large Vision-Language Models," in </w:t>
      </w:r>
      <w:r>
        <w:rPr>
          <w:i/>
          <w:sz w:val="16"/>
        </w:rPr>
        <w:t>Proc. EMNLP</w:t>
      </w:r>
      <w:r>
        <w:rPr>
          <w:sz w:val="16"/>
        </w:rPr>
        <w:t>, 2023.</w:t>
      </w:r>
    </w:p>
    <w:p w14:paraId="7452871A" w14:textId="77777777" w:rsidR="000933D7" w:rsidRDefault="00000000">
      <w:pPr>
        <w:numPr>
          <w:ilvl w:val="0"/>
          <w:numId w:val="1"/>
        </w:numPr>
        <w:spacing w:after="40"/>
        <w:ind w:right="-15" w:hanging="265"/>
      </w:pPr>
      <w:r>
        <w:rPr>
          <w:sz w:val="16"/>
        </w:rPr>
        <w:t xml:space="preserve">E. </w:t>
      </w:r>
      <w:proofErr w:type="spellStart"/>
      <w:r>
        <w:rPr>
          <w:sz w:val="16"/>
        </w:rPr>
        <w:t>Frantar</w:t>
      </w:r>
      <w:proofErr w:type="spellEnd"/>
      <w:r>
        <w:rPr>
          <w:sz w:val="16"/>
        </w:rPr>
        <w:t xml:space="preserve">, S. </w:t>
      </w:r>
      <w:proofErr w:type="spellStart"/>
      <w:r>
        <w:rPr>
          <w:sz w:val="16"/>
        </w:rPr>
        <w:t>Ashkboos</w:t>
      </w:r>
      <w:proofErr w:type="spellEnd"/>
      <w:r>
        <w:rPr>
          <w:sz w:val="16"/>
        </w:rPr>
        <w:t xml:space="preserve">, T. Hoefler, and D. </w:t>
      </w:r>
      <w:proofErr w:type="spellStart"/>
      <w:r>
        <w:rPr>
          <w:sz w:val="16"/>
        </w:rPr>
        <w:t>Alistarh</w:t>
      </w:r>
      <w:proofErr w:type="spellEnd"/>
      <w:r>
        <w:rPr>
          <w:sz w:val="16"/>
        </w:rPr>
        <w:t xml:space="preserve">, "GPTQ: </w:t>
      </w:r>
      <w:proofErr w:type="spellStart"/>
      <w:r>
        <w:rPr>
          <w:sz w:val="16"/>
        </w:rPr>
        <w:t>AccuratePost</w:t>
      </w:r>
      <w:proofErr w:type="spellEnd"/>
      <w:r>
        <w:rPr>
          <w:sz w:val="16"/>
        </w:rPr>
        <w:t xml:space="preserve">-Training Quantization for Generative Pre-trained Transformers," </w:t>
      </w:r>
      <w:r>
        <w:rPr>
          <w:i/>
          <w:sz w:val="16"/>
        </w:rPr>
        <w:t>arXiv:2210.17323</w:t>
      </w:r>
      <w:r>
        <w:rPr>
          <w:sz w:val="16"/>
        </w:rPr>
        <w:t>, 2022.</w:t>
      </w:r>
    </w:p>
    <w:p w14:paraId="1D15F55F" w14:textId="77777777" w:rsidR="000933D7" w:rsidRDefault="00000000">
      <w:pPr>
        <w:numPr>
          <w:ilvl w:val="0"/>
          <w:numId w:val="1"/>
        </w:numPr>
        <w:spacing w:after="40"/>
        <w:ind w:right="-15" w:hanging="265"/>
      </w:pPr>
      <w:r>
        <w:rPr>
          <w:sz w:val="16"/>
        </w:rPr>
        <w:t xml:space="preserve">W. Kwon et al., "Efficient Memory Management for Large </w:t>
      </w:r>
      <w:proofErr w:type="spellStart"/>
      <w:r>
        <w:rPr>
          <w:sz w:val="16"/>
        </w:rPr>
        <w:t>LanguageModel</w:t>
      </w:r>
      <w:proofErr w:type="spellEnd"/>
      <w:r>
        <w:rPr>
          <w:sz w:val="16"/>
        </w:rPr>
        <w:t xml:space="preserve"> Serving with </w:t>
      </w:r>
      <w:proofErr w:type="spellStart"/>
      <w:r>
        <w:rPr>
          <w:sz w:val="16"/>
        </w:rPr>
        <w:t>PagedAttention</w:t>
      </w:r>
      <w:proofErr w:type="spellEnd"/>
      <w:r>
        <w:rPr>
          <w:sz w:val="16"/>
        </w:rPr>
        <w:t xml:space="preserve">," in </w:t>
      </w:r>
      <w:r>
        <w:rPr>
          <w:i/>
          <w:sz w:val="16"/>
        </w:rPr>
        <w:t>Proc. SOSP</w:t>
      </w:r>
      <w:r>
        <w:rPr>
          <w:sz w:val="16"/>
        </w:rPr>
        <w:t>, 2023.</w:t>
      </w:r>
    </w:p>
    <w:p w14:paraId="6E72F9FA" w14:textId="77777777" w:rsidR="000933D7" w:rsidRDefault="00000000">
      <w:pPr>
        <w:numPr>
          <w:ilvl w:val="0"/>
          <w:numId w:val="1"/>
        </w:numPr>
        <w:spacing w:after="40"/>
        <w:ind w:right="-15" w:hanging="265"/>
      </w:pPr>
      <w:r>
        <w:rPr>
          <w:sz w:val="16"/>
        </w:rPr>
        <w:t>T. Dao, D. Y. Fu, S. Ermon, A. Rudra, and C. Re, "</w:t>
      </w:r>
      <w:proofErr w:type="spellStart"/>
      <w:r>
        <w:rPr>
          <w:sz w:val="16"/>
        </w:rPr>
        <w:t>FlashAttention</w:t>
      </w:r>
      <w:proofErr w:type="spellEnd"/>
      <w:r>
        <w:rPr>
          <w:sz w:val="16"/>
        </w:rPr>
        <w:t xml:space="preserve">: </w:t>
      </w:r>
      <w:proofErr w:type="spellStart"/>
      <w:r>
        <w:rPr>
          <w:sz w:val="16"/>
        </w:rPr>
        <w:t>Fastand</w:t>
      </w:r>
      <w:proofErr w:type="spellEnd"/>
      <w:r>
        <w:rPr>
          <w:sz w:val="16"/>
        </w:rPr>
        <w:t xml:space="preserve"> Memory-Efficient Exact Attention with IO-Awareness," in </w:t>
      </w:r>
      <w:r>
        <w:rPr>
          <w:i/>
          <w:sz w:val="16"/>
        </w:rPr>
        <w:t xml:space="preserve">Proc. </w:t>
      </w:r>
      <w:proofErr w:type="spellStart"/>
      <w:r>
        <w:rPr>
          <w:i/>
          <w:sz w:val="16"/>
        </w:rPr>
        <w:t>NeurIPS</w:t>
      </w:r>
      <w:proofErr w:type="spellEnd"/>
      <w:r>
        <w:rPr>
          <w:sz w:val="16"/>
        </w:rPr>
        <w:t>, 2022.</w:t>
      </w:r>
    </w:p>
    <w:p w14:paraId="4BECDC10" w14:textId="77777777" w:rsidR="000933D7" w:rsidRDefault="00000000">
      <w:pPr>
        <w:numPr>
          <w:ilvl w:val="0"/>
          <w:numId w:val="1"/>
        </w:numPr>
        <w:spacing w:after="40"/>
        <w:ind w:right="-15" w:hanging="265"/>
      </w:pPr>
      <w:r>
        <w:rPr>
          <w:sz w:val="16"/>
        </w:rPr>
        <w:t xml:space="preserve">HuggingFace, "Accelerate: A simple way to use distributed </w:t>
      </w:r>
      <w:proofErr w:type="spellStart"/>
      <w:r>
        <w:rPr>
          <w:sz w:val="16"/>
        </w:rPr>
        <w:t>computingwith</w:t>
      </w:r>
      <w:proofErr w:type="spellEnd"/>
      <w:r>
        <w:rPr>
          <w:sz w:val="16"/>
        </w:rPr>
        <w:t xml:space="preserve"> PyTorch," 2023. [Online]. Available: https://huggingface.co/docs/accelerate</w:t>
      </w:r>
    </w:p>
    <w:p w14:paraId="58C32F8C" w14:textId="77777777" w:rsidR="000933D7" w:rsidRDefault="00000000">
      <w:pPr>
        <w:numPr>
          <w:ilvl w:val="0"/>
          <w:numId w:val="1"/>
        </w:numPr>
        <w:spacing w:after="40"/>
        <w:ind w:right="-15" w:hanging="265"/>
      </w:pPr>
      <w:r>
        <w:rPr>
          <w:sz w:val="16"/>
        </w:rPr>
        <w:t xml:space="preserve">PyTorch Team, "PyTorch Profiler," 2023. [Online]. Available: https://pytorch.org/tutorials/recipes/recipes/profiler_recipe.html [10] P. </w:t>
      </w:r>
      <w:proofErr w:type="spellStart"/>
      <w:r>
        <w:rPr>
          <w:sz w:val="16"/>
        </w:rPr>
        <w:t>Micikevicius</w:t>
      </w:r>
      <w:proofErr w:type="spellEnd"/>
      <w:r>
        <w:rPr>
          <w:sz w:val="16"/>
        </w:rPr>
        <w:t xml:space="preserve"> et al., "Mixed Precision Training," in </w:t>
      </w:r>
      <w:r>
        <w:rPr>
          <w:i/>
          <w:sz w:val="16"/>
        </w:rPr>
        <w:t>Proc. ICLR</w:t>
      </w:r>
      <w:r>
        <w:rPr>
          <w:sz w:val="16"/>
        </w:rPr>
        <w:t>, 2018.</w:t>
      </w:r>
    </w:p>
    <w:sectPr w:rsidR="000933D7">
      <w:type w:val="continuous"/>
      <w:pgSz w:w="12240" w:h="15840"/>
      <w:pgMar w:top="1080" w:right="900" w:bottom="1080" w:left="900" w:header="0" w:footer="0" w:gutter="0"/>
      <w:cols w:num="2" w:space="36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60331"/>
    <w:multiLevelType w:val="multilevel"/>
    <w:tmpl w:val="437C80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A270D9D"/>
    <w:multiLevelType w:val="multilevel"/>
    <w:tmpl w:val="D728BB46"/>
    <w:lvl w:ilvl="0">
      <w:start w:val="1"/>
      <w:numFmt w:val="decimal"/>
      <w:lvlText w:val="[%1]"/>
      <w:lvlJc w:val="left"/>
      <w:pPr>
        <w:tabs>
          <w:tab w:val="num" w:pos="0"/>
        </w:tabs>
        <w:ind w:left="265"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lvl w:ilvl="1">
      <w:start w:val="1"/>
      <w:numFmt w:val="lowerLetter"/>
      <w:lvlText w:val="%2"/>
      <w:lvlJc w:val="left"/>
      <w:pPr>
        <w:tabs>
          <w:tab w:val="num" w:pos="0"/>
        </w:tabs>
        <w:ind w:left="1080"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lvl w:ilvl="2">
      <w:start w:val="1"/>
      <w:numFmt w:val="lowerRoman"/>
      <w:lvlText w:val="%3"/>
      <w:lvlJc w:val="left"/>
      <w:pPr>
        <w:tabs>
          <w:tab w:val="num" w:pos="0"/>
        </w:tabs>
        <w:ind w:left="1800"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lvl w:ilvl="3">
      <w:start w:val="1"/>
      <w:numFmt w:val="decimal"/>
      <w:lvlText w:val="%4"/>
      <w:lvlJc w:val="left"/>
      <w:pPr>
        <w:tabs>
          <w:tab w:val="num" w:pos="0"/>
        </w:tabs>
        <w:ind w:left="2520"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lvl w:ilvl="4">
      <w:start w:val="1"/>
      <w:numFmt w:val="lowerLetter"/>
      <w:lvlText w:val="%5"/>
      <w:lvlJc w:val="left"/>
      <w:pPr>
        <w:tabs>
          <w:tab w:val="num" w:pos="0"/>
        </w:tabs>
        <w:ind w:left="3240"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lvl w:ilvl="5">
      <w:start w:val="1"/>
      <w:numFmt w:val="lowerRoman"/>
      <w:lvlText w:val="%6"/>
      <w:lvlJc w:val="left"/>
      <w:pPr>
        <w:tabs>
          <w:tab w:val="num" w:pos="0"/>
        </w:tabs>
        <w:ind w:left="3960"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lvl w:ilvl="6">
      <w:start w:val="1"/>
      <w:numFmt w:val="decimal"/>
      <w:lvlText w:val="%7"/>
      <w:lvlJc w:val="left"/>
      <w:pPr>
        <w:tabs>
          <w:tab w:val="num" w:pos="0"/>
        </w:tabs>
        <w:ind w:left="4680"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lvl w:ilvl="7">
      <w:start w:val="1"/>
      <w:numFmt w:val="lowerLetter"/>
      <w:lvlText w:val="%8"/>
      <w:lvlJc w:val="left"/>
      <w:pPr>
        <w:tabs>
          <w:tab w:val="num" w:pos="0"/>
        </w:tabs>
        <w:ind w:left="5400"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lvl w:ilvl="8">
      <w:start w:val="1"/>
      <w:numFmt w:val="lowerRoman"/>
      <w:lvlText w:val="%9"/>
      <w:lvlJc w:val="left"/>
      <w:pPr>
        <w:tabs>
          <w:tab w:val="num" w:pos="0"/>
        </w:tabs>
        <w:ind w:left="6120" w:firstLine="0"/>
      </w:pPr>
      <w:rPr>
        <w:rFonts w:ascii="Times New Roman" w:eastAsia="Times New Roman" w:hAnsi="Times New Roman" w:cs="Times New Roman"/>
        <w:b w:val="0"/>
        <w:i w:val="0"/>
        <w:strike w:val="0"/>
        <w:dstrike w:val="0"/>
        <w:color w:val="000000"/>
        <w:position w:val="0"/>
        <w:sz w:val="16"/>
        <w:szCs w:val="16"/>
        <w:u w:val="none" w:color="000000"/>
        <w:shd w:val="clear" w:color="auto" w:fill="auto"/>
        <w:vertAlign w:val="baseline"/>
      </w:rPr>
    </w:lvl>
  </w:abstractNum>
  <w:num w:numId="1" w16cid:durableId="571699227">
    <w:abstractNumId w:val="1"/>
  </w:num>
  <w:num w:numId="2" w16cid:durableId="140999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autoHyphenation/>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3D7"/>
    <w:rsid w:val="000933D7"/>
    <w:rsid w:val="000E4C99"/>
    <w:rsid w:val="005F7CF4"/>
    <w:rsid w:val="00CB6548"/>
    <w:rsid w:val="00D5068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CBA7"/>
  <w15:docId w15:val="{8937780C-7857-432F-A884-116475D4C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firstLine="2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42" w:line="259" w:lineRule="auto"/>
      <w:ind w:left="10" w:hanging="10"/>
      <w:outlineLvl w:val="0"/>
    </w:pPr>
    <w:rPr>
      <w:rFonts w:ascii="Times New Roman" w:eastAsia="Times New Roman" w:hAnsi="Times New Roman" w:cs="Times New Roman"/>
      <w:i/>
      <w:color w:val="000000"/>
      <w:sz w:val="19"/>
    </w:rPr>
  </w:style>
  <w:style w:type="paragraph" w:styleId="Heading2">
    <w:name w:val="heading 2"/>
    <w:next w:val="Normal"/>
    <w:link w:val="Heading2Char"/>
    <w:uiPriority w:val="9"/>
    <w:unhideWhenUsed/>
    <w:qFormat/>
    <w:pPr>
      <w:keepNext/>
      <w:keepLines/>
      <w:spacing w:after="41" w:line="259" w:lineRule="auto"/>
      <w:ind w:left="10" w:hanging="10"/>
      <w:jc w:val="center"/>
      <w:outlineLvl w:val="1"/>
    </w:pPr>
    <w:rPr>
      <w:rFonts w:ascii="Arial" w:eastAsia="Arial" w:hAnsi="Arial" w:cs="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Arial" w:eastAsia="Arial" w:hAnsi="Arial" w:cs="Arial"/>
      <w:b/>
      <w:color w:val="000000"/>
      <w:sz w:val="16"/>
    </w:rPr>
  </w:style>
  <w:style w:type="character" w:customStyle="1" w:styleId="Heading1Char">
    <w:name w:val="Heading 1 Char"/>
    <w:link w:val="Heading1"/>
    <w:qFormat/>
    <w:rPr>
      <w:rFonts w:ascii="Times New Roman" w:eastAsia="Times New Roman" w:hAnsi="Times New Roman" w:cs="Times New Roman"/>
      <w:i/>
      <w:color w:val="000000"/>
      <w:sz w:val="19"/>
    </w:rPr>
  </w:style>
  <w:style w:type="character" w:styleId="Hyperlink">
    <w:name w:val="Hyperlink"/>
    <w:basedOn w:val="DefaultParagraphFont"/>
    <w:uiPriority w:val="99"/>
    <w:unhideWhenUsed/>
    <w:rsid w:val="004D1ABD"/>
    <w:rPr>
      <w:color w:val="467886" w:themeColor="hyperlink"/>
      <w:u w:val="single"/>
    </w:rPr>
  </w:style>
  <w:style w:type="character" w:styleId="UnresolvedMention">
    <w:name w:val="Unresolved Mention"/>
    <w:basedOn w:val="DefaultParagraphFont"/>
    <w:uiPriority w:val="99"/>
    <w:semiHidden/>
    <w:unhideWhenUsed/>
    <w:qFormat/>
    <w:rsid w:val="004D1AB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4D1ABD"/>
    <w:pPr>
      <w:ind w:left="720"/>
      <w:contextualSpacing/>
    </w:pPr>
  </w:style>
  <w:style w:type="paragraph" w:customStyle="1" w:styleId="FrameContents">
    <w:name w:val="Frame Contents"/>
    <w:basedOn w:val="Normal"/>
    <w:qFormat/>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mailto:i230091@isb.nu.edu.p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2600</Words>
  <Characters>14821</Characters>
  <Application>Microsoft Office Word</Application>
  <DocSecurity>0</DocSecurity>
  <Lines>123</Lines>
  <Paragraphs>34</Paragraphs>
  <ScaleCrop>false</ScaleCrop>
  <Company/>
  <LinksUpToDate>false</LinksUpToDate>
  <CharactersWithSpaces>17387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dc:description/>
  <cp:lastModifiedBy>Ehtisham Abid</cp:lastModifiedBy>
  <cp:revision>35</cp:revision>
  <cp:lastPrinted>2026-05-03T16:43:00Z</cp:lastPrinted>
  <dcterms:created xsi:type="dcterms:W3CDTF">2026-05-03T16:43:00Z</dcterms:created>
  <dcterms:modified xsi:type="dcterms:W3CDTF">2026-05-03T18:26:00Z</dcterms:modified>
  <dc:language>en-US</dc:language>
</cp:coreProperties>
</file>